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CIAF-LCM with Governance Gates</w:t>
      </w:r>
    </w:p>
    <w:p>
      <w:pPr>
        <w:jc w:val="center"/>
      </w:pPr>
      <w:r>
        <w:rPr>
          <w:i/>
          <w:sz w:val="24"/>
        </w:rPr>
        <w:t>Updated Enforcement Model Aligned to Policy Evaluations, Gate Evaluations, and Pre-Action Proof</w:t>
      </w:r>
    </w:p>
    <w:p>
      <w:pPr>
        <w:jc w:val="center"/>
      </w:pPr>
      <w:r>
        <w:rPr>
          <w:i/>
        </w:rPr>
        <w:t>Denzil Greenwood | CognitiveInsight.ai | April 2026</w:t>
      </w:r>
    </w:p>
    <w:p/>
    <w:p>
      <w:pPr>
        <w:pStyle w:val="Heading1"/>
      </w:pPr>
      <w:r>
        <w:t>Abstract</w:t>
      </w:r>
    </w:p>
    <w:p>
      <w:r>
        <w:t>This updated gates paper focuses on how policy logic becomes enforceable outcomes. It distinguishes rule-level policy evaluations from gate-level decisions, explains deny-by-default behavior, and maps gate outcomes to receipts, evidence objects, overrides, escalations, and agent pre-action proof.</w:t>
      </w:r>
    </w:p>
    <w:p>
      <w:pPr>
        <w:pStyle w:val="Heading1"/>
      </w:pPr>
      <w:r>
        <w:t>1. Enforcement Claim</w:t>
      </w:r>
    </w:p>
    <w:p>
      <w:r>
        <w:t>Governance gates are the enforcement points in CIAF-LCM. They evaluate whether a lifecycle event, deployment transition, artifact release, privacy operation, shadow AI response, or agent action satisfies the applicable policy conditions. They produce one of four primary outcomes: approve, deny, escalate, or inspect.</w:t>
      </w:r>
    </w:p>
    <w:tbl>
      <w:tblPr>
        <w:tblStyle w:val="TableGrid"/>
        <w:tblW w:type="auto" w:w="0"/>
        <w:tblLook w:firstColumn="1" w:firstRow="1" w:lastColumn="0" w:lastRow="0" w:noHBand="0" w:noVBand="1" w:val="04A0"/>
      </w:tblPr>
      <w:tblGrid>
        <w:gridCol w:w="10080"/>
      </w:tblGrid>
      <w:tr>
        <w:trPr>
          <w:tblHeader w:val="true"/>
          <w:cantSplit/>
        </w:trPr>
        <w:tc>
          <w:tcPr>
            <w:tcW w:type="dxa" w:w="10080"/>
            <w:shd w:fill="F2F6F8"/>
          </w:tcPr>
          <w:p>
            <w:pPr>
              <w:spacing w:after="80"/>
            </w:pPr>
            <w:r>
              <w:rPr>
                <w:sz w:val="18"/>
              </w:rPr>
            </w:r>
            <w:r>
              <w:rPr>
                <w:b/>
                <w:sz w:val="18"/>
              </w:rPr>
              <w:t>Gate invariant</w:t>
            </w:r>
          </w:p>
          <w:p>
            <w:pPr>
              <w:pStyle w:val="BodyText"/>
              <w:spacing w:after="40"/>
            </w:pPr>
            <w:r>
              <w:rPr>
                <w:sz w:val="18"/>
              </w:rPr>
              <w:t>A gate evaluation should exist before a governed consequential action proceeds.</w:t>
            </w:r>
          </w:p>
          <w:p>
            <w:pPr>
              <w:pStyle w:val="BodyText"/>
              <w:spacing w:after="40"/>
            </w:pPr>
            <w:r>
              <w:rPr>
                <w:sz w:val="18"/>
              </w:rPr>
              <w:t>A denied action is not a missing event. It is a successful governance event and should create a denial receipt.</w:t>
            </w:r>
          </w:p>
          <w:p>
            <w:pPr>
              <w:pStyle w:val="BodyText"/>
              <w:spacing w:after="40"/>
            </w:pPr>
            <w:r>
              <w:rPr>
                <w:sz w:val="18"/>
              </w:rPr>
              <w:t>An override is not an erasure of failure. It is a separate evidence-bearing decision with authority, rationale, timestamp, and reviewer identity.</w:t>
            </w:r>
          </w:p>
        </w:tc>
      </w:tr>
    </w:tbl>
    <w:p/>
    <w:p>
      <w:pPr>
        <w:pStyle w:val="Heading1"/>
      </w:pPr>
      <w:r>
        <w:t>2. Policy Evaluation vs Gate Evaluation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vAlign w:val="center"/>
          </w:tcPr>
          <w:p>
            <w:pPr>
              <w:spacing w:after="0"/>
            </w:pPr>
            <w:r>
              <w:rPr>
                <w:sz w:val="18"/>
              </w:rPr>
            </w:r>
            <w:r>
              <w:rPr>
                <w:b/>
                <w:sz w:val="18"/>
              </w:rPr>
              <w:t>Level</w:t>
            </w:r>
          </w:p>
        </w:tc>
        <w:tc>
          <w:tcPr>
            <w:tcW w:type="dxa" w:w="2520"/>
            <w:shd w:fill="D9EAF7"/>
            <w:vAlign w:val="center"/>
          </w:tcPr>
          <w:p>
            <w:pPr>
              <w:spacing w:after="0"/>
            </w:pPr>
            <w:r>
              <w:rPr>
                <w:sz w:val="18"/>
              </w:rPr>
            </w:r>
            <w:r>
              <w:rPr>
                <w:b/>
                <w:sz w:val="18"/>
              </w:rPr>
              <w:t>Database object</w:t>
            </w:r>
          </w:p>
        </w:tc>
        <w:tc>
          <w:tcPr>
            <w:tcW w:type="dxa" w:w="2520"/>
            <w:shd w:fill="D9EAF7"/>
            <w:vAlign w:val="center"/>
          </w:tcPr>
          <w:p>
            <w:pPr>
              <w:spacing w:after="0"/>
            </w:pPr>
            <w:r>
              <w:rPr>
                <w:sz w:val="18"/>
              </w:rPr>
            </w:r>
            <w:r>
              <w:rPr>
                <w:b/>
                <w:sz w:val="18"/>
              </w:rPr>
              <w:t>Question answered</w:t>
            </w:r>
          </w:p>
        </w:tc>
        <w:tc>
          <w:tcPr>
            <w:tcW w:type="dxa" w:w="2520"/>
            <w:shd w:fill="D9EAF7"/>
            <w:vAlign w:val="center"/>
          </w:tcPr>
          <w:p>
            <w:pPr>
              <w:spacing w:after="0"/>
            </w:pPr>
            <w:r>
              <w:rPr>
                <w:sz w:val="18"/>
              </w:rPr>
            </w:r>
            <w:r>
              <w:rPr>
                <w:b/>
                <w:sz w:val="18"/>
              </w:rPr>
              <w:t>Output</w:t>
            </w:r>
          </w:p>
        </w:tc>
      </w:tr>
      <w:tr>
        <w:trPr>
          <w:cantSplit/>
        </w:trPr>
        <w:tc>
          <w:tcPr>
            <w:tcW w:type="dxa" w:w="2520"/>
            <w:vAlign w:val="top"/>
          </w:tcPr>
          <w:p>
            <w:pPr>
              <w:spacing w:after="0"/>
            </w:pPr>
            <w:r>
              <w:rPr>
                <w:sz w:val="18"/>
              </w:rPr>
            </w:r>
            <w:r>
              <w:rPr>
                <w:b w:val="0"/>
                <w:sz w:val="18"/>
              </w:rPr>
              <w:t>Rule level</w:t>
            </w:r>
          </w:p>
        </w:tc>
        <w:tc>
          <w:tcPr>
            <w:tcW w:type="dxa" w:w="2520"/>
            <w:vAlign w:val="top"/>
          </w:tcPr>
          <w:p>
            <w:pPr>
              <w:spacing w:after="0"/>
            </w:pPr>
            <w:r>
              <w:rPr>
                <w:sz w:val="18"/>
              </w:rPr>
            </w:r>
            <w:r>
              <w:rPr>
                <w:b w:val="0"/>
                <w:sz w:val="18"/>
              </w:rPr>
              <w:t>policy_evaluations</w:t>
            </w:r>
          </w:p>
        </w:tc>
        <w:tc>
          <w:tcPr>
            <w:tcW w:type="dxa" w:w="2520"/>
            <w:vAlign w:val="top"/>
          </w:tcPr>
          <w:p>
            <w:pPr>
              <w:spacing w:after="0"/>
            </w:pPr>
            <w:r>
              <w:rPr>
                <w:sz w:val="18"/>
              </w:rPr>
            </w:r>
            <w:r>
              <w:rPr>
                <w:b w:val="0"/>
                <w:sz w:val="18"/>
              </w:rPr>
              <w:t>Did this individual rule pass, fail, warn, or error for this resource?</w:t>
            </w:r>
          </w:p>
        </w:tc>
        <w:tc>
          <w:tcPr>
            <w:tcW w:type="dxa" w:w="2520"/>
            <w:vAlign w:val="top"/>
          </w:tcPr>
          <w:p>
            <w:pPr>
              <w:spacing w:after="0"/>
            </w:pPr>
            <w:r>
              <w:rPr>
                <w:sz w:val="18"/>
              </w:rPr>
            </w:r>
            <w:r>
              <w:rPr>
                <w:b w:val="0"/>
                <w:sz w:val="18"/>
              </w:rPr>
              <w:t>rule_status, rule_message, rule_evaluation_payload, evaluation_hash.</w:t>
            </w:r>
          </w:p>
        </w:tc>
      </w:tr>
      <w:tr>
        <w:trPr>
          <w:cantSplit/>
        </w:trPr>
        <w:tc>
          <w:tcPr>
            <w:tcW w:type="dxa" w:w="2520"/>
            <w:vAlign w:val="top"/>
          </w:tcPr>
          <w:p>
            <w:pPr>
              <w:spacing w:after="0"/>
            </w:pPr>
            <w:r>
              <w:rPr>
                <w:sz w:val="18"/>
              </w:rPr>
            </w:r>
            <w:r>
              <w:rPr>
                <w:b w:val="0"/>
                <w:sz w:val="18"/>
              </w:rPr>
              <w:t>Gate level</w:t>
            </w:r>
          </w:p>
        </w:tc>
        <w:tc>
          <w:tcPr>
            <w:tcW w:type="dxa" w:w="2520"/>
            <w:vAlign w:val="top"/>
          </w:tcPr>
          <w:p>
            <w:pPr>
              <w:spacing w:after="0"/>
            </w:pPr>
            <w:r>
              <w:rPr>
                <w:sz w:val="18"/>
              </w:rPr>
            </w:r>
            <w:r>
              <w:rPr>
                <w:b w:val="0"/>
                <w:sz w:val="18"/>
              </w:rPr>
              <w:t>gate_evaluations</w:t>
            </w:r>
          </w:p>
        </w:tc>
        <w:tc>
          <w:tcPr>
            <w:tcW w:type="dxa" w:w="2520"/>
            <w:vAlign w:val="top"/>
          </w:tcPr>
          <w:p>
            <w:pPr>
              <w:spacing w:after="0"/>
            </w:pPr>
            <w:r>
              <w:rPr>
                <w:sz w:val="18"/>
              </w:rPr>
            </w:r>
            <w:r>
              <w:rPr>
                <w:b w:val="0"/>
                <w:sz w:val="18"/>
              </w:rPr>
              <w:t>Given all relevant rule results, what control outcome applies?</w:t>
            </w:r>
          </w:p>
        </w:tc>
        <w:tc>
          <w:tcPr>
            <w:tcW w:type="dxa" w:w="2520"/>
            <w:vAlign w:val="top"/>
          </w:tcPr>
          <w:p>
            <w:pPr>
              <w:spacing w:after="0"/>
            </w:pPr>
            <w:r>
              <w:rPr>
                <w:sz w:val="18"/>
              </w:rPr>
            </w:r>
            <w:r>
              <w:rPr>
                <w:b w:val="0"/>
                <w:sz w:val="18"/>
              </w:rPr>
              <w:t>gate_outcome, evaluation_status, counts, override fields, decision_reason_code.</w:t>
            </w:r>
          </w:p>
        </w:tc>
      </w:tr>
      <w:tr>
        <w:trPr>
          <w:cantSplit/>
        </w:trPr>
        <w:tc>
          <w:tcPr>
            <w:tcW w:type="dxa" w:w="2520"/>
            <w:vAlign w:val="top"/>
          </w:tcPr>
          <w:p>
            <w:pPr>
              <w:spacing w:after="0"/>
            </w:pPr>
            <w:r>
              <w:rPr>
                <w:sz w:val="18"/>
              </w:rPr>
            </w:r>
            <w:r>
              <w:rPr>
                <w:b w:val="0"/>
                <w:sz w:val="18"/>
              </w:rPr>
              <w:t>Evidence level</w:t>
            </w:r>
          </w:p>
        </w:tc>
        <w:tc>
          <w:tcPr>
            <w:tcW w:type="dxa" w:w="2520"/>
            <w:vAlign w:val="top"/>
          </w:tcPr>
          <w:p>
            <w:pPr>
              <w:spacing w:after="0"/>
            </w:pPr>
            <w:r>
              <w:rPr>
                <w:sz w:val="18"/>
              </w:rPr>
            </w:r>
            <w:r>
              <w:rPr>
                <w:b w:val="0"/>
                <w:sz w:val="18"/>
              </w:rPr>
              <w:t>receipts, evidence_objects</w:t>
            </w:r>
          </w:p>
        </w:tc>
        <w:tc>
          <w:tcPr>
            <w:tcW w:type="dxa" w:w="2520"/>
            <w:vAlign w:val="top"/>
          </w:tcPr>
          <w:p>
            <w:pPr>
              <w:spacing w:after="0"/>
            </w:pPr>
            <w:r>
              <w:rPr>
                <w:sz w:val="18"/>
              </w:rPr>
            </w:r>
            <w:r>
              <w:rPr>
                <w:b w:val="0"/>
                <w:sz w:val="18"/>
              </w:rPr>
              <w:t>What proof records the outcome?</w:t>
            </w:r>
          </w:p>
        </w:tc>
        <w:tc>
          <w:tcPr>
            <w:tcW w:type="dxa" w:w="2520"/>
            <w:vAlign w:val="top"/>
          </w:tcPr>
          <w:p>
            <w:pPr>
              <w:spacing w:after="0"/>
            </w:pPr>
            <w:r>
              <w:rPr>
                <w:sz w:val="18"/>
              </w:rPr>
            </w:r>
            <w:r>
              <w:rPr>
                <w:b w:val="0"/>
                <w:sz w:val="18"/>
              </w:rPr>
              <w:t>receipt, evidence payload, lineage links.</w:t>
            </w:r>
          </w:p>
        </w:tc>
      </w:tr>
    </w:tbl>
    <w:p/>
    <w:p>
      <w:pPr>
        <w:pStyle w:val="Heading1"/>
      </w:pPr>
      <w:r>
        <w:t>3. Gate Outcomes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Outcome</w:t>
            </w:r>
          </w:p>
        </w:tc>
        <w:tc>
          <w:tcPr>
            <w:tcW w:type="dxa" w:w="3360"/>
            <w:shd w:fill="D9EAF7"/>
            <w:vAlign w:val="center"/>
          </w:tcPr>
          <w:p>
            <w:pPr>
              <w:spacing w:after="0"/>
            </w:pPr>
            <w:r>
              <w:rPr>
                <w:sz w:val="18"/>
              </w:rPr>
            </w:r>
            <w:r>
              <w:rPr>
                <w:b/>
                <w:sz w:val="18"/>
              </w:rPr>
              <w:t>Meaning</w:t>
            </w:r>
          </w:p>
        </w:tc>
        <w:tc>
          <w:tcPr>
            <w:tcW w:type="dxa" w:w="3360"/>
            <w:shd w:fill="D9EAF7"/>
            <w:vAlign w:val="center"/>
          </w:tcPr>
          <w:p>
            <w:pPr>
              <w:spacing w:after="0"/>
            </w:pPr>
            <w:r>
              <w:rPr>
                <w:sz w:val="18"/>
              </w:rPr>
            </w:r>
            <w:r>
              <w:rPr>
                <w:b/>
                <w:sz w:val="18"/>
              </w:rPr>
              <w:t>Expected evidence</w:t>
            </w:r>
          </w:p>
        </w:tc>
      </w:tr>
      <w:tr>
        <w:trPr>
          <w:cantSplit/>
        </w:trPr>
        <w:tc>
          <w:tcPr>
            <w:tcW w:type="dxa" w:w="3360"/>
            <w:vAlign w:val="top"/>
          </w:tcPr>
          <w:p>
            <w:pPr>
              <w:spacing w:after="0"/>
            </w:pPr>
            <w:r>
              <w:rPr>
                <w:sz w:val="18"/>
              </w:rPr>
            </w:r>
            <w:r>
              <w:rPr>
                <w:b w:val="0"/>
                <w:sz w:val="18"/>
              </w:rPr>
              <w:t>Approve</w:t>
            </w:r>
          </w:p>
        </w:tc>
        <w:tc>
          <w:tcPr>
            <w:tcW w:type="dxa" w:w="3360"/>
            <w:vAlign w:val="top"/>
          </w:tcPr>
          <w:p>
            <w:pPr>
              <w:spacing w:after="0"/>
            </w:pPr>
            <w:r>
              <w:rPr>
                <w:sz w:val="18"/>
              </w:rPr>
            </w:r>
            <w:r>
              <w:rPr>
                <w:b w:val="0"/>
                <w:sz w:val="18"/>
              </w:rPr>
              <w:t>Required conditions were satisfied and action may proceed.</w:t>
            </w:r>
          </w:p>
        </w:tc>
        <w:tc>
          <w:tcPr>
            <w:tcW w:type="dxa" w:w="3360"/>
            <w:vAlign w:val="top"/>
          </w:tcPr>
          <w:p>
            <w:pPr>
              <w:spacing w:after="0"/>
            </w:pPr>
            <w:r>
              <w:rPr>
                <w:sz w:val="18"/>
              </w:rPr>
            </w:r>
            <w:r>
              <w:rPr>
                <w:b w:val="0"/>
                <w:sz w:val="18"/>
              </w:rPr>
              <w:t>approval/control receipt, policy/gate references, rule counts.</w:t>
            </w:r>
          </w:p>
        </w:tc>
      </w:tr>
      <w:tr>
        <w:trPr>
          <w:cantSplit/>
        </w:trPr>
        <w:tc>
          <w:tcPr>
            <w:tcW w:type="dxa" w:w="3360"/>
            <w:vAlign w:val="top"/>
          </w:tcPr>
          <w:p>
            <w:pPr>
              <w:spacing w:after="0"/>
            </w:pPr>
            <w:r>
              <w:rPr>
                <w:sz w:val="18"/>
              </w:rPr>
            </w:r>
            <w:r>
              <w:rPr>
                <w:b w:val="0"/>
                <w:sz w:val="18"/>
              </w:rPr>
              <w:t>Deny</w:t>
            </w:r>
          </w:p>
        </w:tc>
        <w:tc>
          <w:tcPr>
            <w:tcW w:type="dxa" w:w="3360"/>
            <w:vAlign w:val="top"/>
          </w:tcPr>
          <w:p>
            <w:pPr>
              <w:spacing w:after="0"/>
            </w:pPr>
            <w:r>
              <w:rPr>
                <w:sz w:val="18"/>
              </w:rPr>
            </w:r>
            <w:r>
              <w:rPr>
                <w:b w:val="0"/>
                <w:sz w:val="18"/>
              </w:rPr>
              <w:t>Required conditions failed and action must not proceed.</w:t>
            </w:r>
          </w:p>
        </w:tc>
        <w:tc>
          <w:tcPr>
            <w:tcW w:type="dxa" w:w="3360"/>
            <w:vAlign w:val="top"/>
          </w:tcPr>
          <w:p>
            <w:pPr>
              <w:spacing w:after="0"/>
            </w:pPr>
            <w:r>
              <w:rPr>
                <w:sz w:val="18"/>
              </w:rPr>
            </w:r>
            <w:r>
              <w:rPr>
                <w:b w:val="0"/>
                <w:sz w:val="18"/>
              </w:rPr>
              <w:t>denial receipt, failed rule references, reason code, attempted resource/action.</w:t>
            </w:r>
          </w:p>
        </w:tc>
      </w:tr>
      <w:tr>
        <w:trPr>
          <w:cantSplit/>
        </w:trPr>
        <w:tc>
          <w:tcPr>
            <w:tcW w:type="dxa" w:w="3360"/>
            <w:vAlign w:val="top"/>
          </w:tcPr>
          <w:p>
            <w:pPr>
              <w:spacing w:after="0"/>
            </w:pPr>
            <w:r>
              <w:rPr>
                <w:sz w:val="18"/>
              </w:rPr>
            </w:r>
            <w:r>
              <w:rPr>
                <w:b w:val="0"/>
                <w:sz w:val="18"/>
              </w:rPr>
              <w:t>Escalate</w:t>
            </w:r>
          </w:p>
        </w:tc>
        <w:tc>
          <w:tcPr>
            <w:tcW w:type="dxa" w:w="3360"/>
            <w:vAlign w:val="top"/>
          </w:tcPr>
          <w:p>
            <w:pPr>
              <w:spacing w:after="0"/>
            </w:pPr>
            <w:r>
              <w:rPr>
                <w:sz w:val="18"/>
              </w:rPr>
            </w:r>
            <w:r>
              <w:rPr>
                <w:b w:val="0"/>
                <w:sz w:val="18"/>
              </w:rPr>
              <w:t>System requires human or higher-level review before action.</w:t>
            </w:r>
          </w:p>
        </w:tc>
        <w:tc>
          <w:tcPr>
            <w:tcW w:type="dxa" w:w="3360"/>
            <w:vAlign w:val="top"/>
          </w:tcPr>
          <w:p>
            <w:pPr>
              <w:spacing w:after="0"/>
            </w:pPr>
            <w:r>
              <w:rPr>
                <w:sz w:val="18"/>
              </w:rPr>
            </w:r>
            <w:r>
              <w:rPr>
                <w:b w:val="0"/>
                <w:sz w:val="18"/>
              </w:rPr>
              <w:t>escalation receipt, reviewer queue/event, required authority, due time if applicable.</w:t>
            </w:r>
          </w:p>
        </w:tc>
      </w:tr>
      <w:tr>
        <w:trPr>
          <w:cantSplit/>
        </w:trPr>
        <w:tc>
          <w:tcPr>
            <w:tcW w:type="dxa" w:w="3360"/>
            <w:vAlign w:val="top"/>
          </w:tcPr>
          <w:p>
            <w:pPr>
              <w:spacing w:after="0"/>
            </w:pPr>
            <w:r>
              <w:rPr>
                <w:sz w:val="18"/>
              </w:rPr>
            </w:r>
            <w:r>
              <w:rPr>
                <w:b w:val="0"/>
                <w:sz w:val="18"/>
              </w:rPr>
              <w:t>Inspect</w:t>
            </w:r>
          </w:p>
        </w:tc>
        <w:tc>
          <w:tcPr>
            <w:tcW w:type="dxa" w:w="3360"/>
            <w:vAlign w:val="top"/>
          </w:tcPr>
          <w:p>
            <w:pPr>
              <w:spacing w:after="0"/>
            </w:pPr>
            <w:r>
              <w:rPr>
                <w:sz w:val="18"/>
              </w:rPr>
            </w:r>
            <w:r>
              <w:rPr>
                <w:b w:val="0"/>
                <w:sz w:val="18"/>
              </w:rPr>
              <w:t>Action may be paused, sampled, or allowed with enhanced evidence collection.</w:t>
            </w:r>
          </w:p>
        </w:tc>
        <w:tc>
          <w:tcPr>
            <w:tcW w:type="dxa" w:w="3360"/>
            <w:vAlign w:val="top"/>
          </w:tcPr>
          <w:p>
            <w:pPr>
              <w:spacing w:after="0"/>
            </w:pPr>
            <w:r>
              <w:rPr>
                <w:sz w:val="18"/>
              </w:rPr>
            </w:r>
            <w:r>
              <w:rPr>
                <w:b w:val="0"/>
                <w:sz w:val="18"/>
              </w:rPr>
              <w:t>inspection receipt, materialization trigger, evidence object or audit trail expansion.</w:t>
            </w:r>
          </w:p>
        </w:tc>
      </w:tr>
    </w:tbl>
    <w:p/>
    <w:p>
      <w:pPr>
        <w:pStyle w:val="Heading1"/>
      </w:pPr>
      <w:r>
        <w:t>4. Deny-by-Default and Failure Action</w:t>
      </w:r>
    </w:p>
    <w:p>
      <w:r>
        <w:t>The gate_definitions table includes failure_action. This allows a gate to express whether a failure should deny, escalate, inspect, or route to another control. For high-risk lifecycle transitions and sensitive agent actions, deny-by-default should be the normal pattern: the system must prove satisfaction before execution, rather than execute and ask questions later.</w:t>
      </w:r>
    </w:p>
    <w:p>
      <w:pPr>
        <w:pStyle w:val="Heading1"/>
      </w:pPr>
      <w:r>
        <w:t>5. Override Handling</w:t>
      </w:r>
    </w:p>
    <w:p>
      <w:r>
        <w:t>The gate_evaluations table includes is_overridden, override_reason, override_by, and override_at. This is critical because real governance systems need exceptions, emergency actions, and human judgment. CIAF-LCM should not hide overrides. It should make them visible, controlled, and reviewable.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pPr>
              <w:spacing w:after="0"/>
            </w:pPr>
            <w:r>
              <w:rPr>
                <w:sz w:val="18"/>
              </w:rPr>
            </w:r>
            <w:r>
              <w:rPr>
                <w:b/>
                <w:sz w:val="18"/>
              </w:rPr>
              <w:t>Override field</w:t>
            </w:r>
          </w:p>
        </w:tc>
        <w:tc>
          <w:tcPr>
            <w:tcW w:type="dxa" w:w="5040"/>
            <w:shd w:fill="D9EAF7"/>
            <w:vAlign w:val="center"/>
          </w:tcPr>
          <w:p>
            <w:pPr>
              <w:spacing w:after="0"/>
            </w:pPr>
            <w:r>
              <w:rPr>
                <w:sz w:val="18"/>
              </w:rPr>
            </w:r>
            <w:r>
              <w:rPr>
                <w:b/>
                <w:sz w:val="18"/>
              </w:rPr>
              <w:t>Interpretation</w:t>
            </w:r>
          </w:p>
        </w:tc>
      </w:tr>
      <w:tr>
        <w:trPr>
          <w:cantSplit/>
        </w:trPr>
        <w:tc>
          <w:tcPr>
            <w:tcW w:type="dxa" w:w="5040"/>
            <w:vAlign w:val="top"/>
          </w:tcPr>
          <w:p>
            <w:pPr>
              <w:spacing w:after="0"/>
            </w:pPr>
            <w:r>
              <w:rPr>
                <w:sz w:val="18"/>
              </w:rPr>
            </w:r>
            <w:r>
              <w:rPr>
                <w:b w:val="0"/>
                <w:sz w:val="18"/>
              </w:rPr>
              <w:t>is_overridden</w:t>
            </w:r>
          </w:p>
        </w:tc>
        <w:tc>
          <w:tcPr>
            <w:tcW w:type="dxa" w:w="5040"/>
            <w:vAlign w:val="top"/>
          </w:tcPr>
          <w:p>
            <w:pPr>
              <w:spacing w:after="0"/>
            </w:pPr>
            <w:r>
              <w:rPr>
                <w:sz w:val="18"/>
              </w:rPr>
            </w:r>
            <w:r>
              <w:rPr>
                <w:b w:val="0"/>
                <w:sz w:val="18"/>
              </w:rPr>
              <w:t>Indicates the original gate outcome was not the final operational action.</w:t>
            </w:r>
          </w:p>
        </w:tc>
      </w:tr>
      <w:tr>
        <w:trPr>
          <w:cantSplit/>
        </w:trPr>
        <w:tc>
          <w:tcPr>
            <w:tcW w:type="dxa" w:w="5040"/>
            <w:vAlign w:val="top"/>
          </w:tcPr>
          <w:p>
            <w:pPr>
              <w:spacing w:after="0"/>
            </w:pPr>
            <w:r>
              <w:rPr>
                <w:sz w:val="18"/>
              </w:rPr>
            </w:r>
            <w:r>
              <w:rPr>
                <w:b w:val="0"/>
                <w:sz w:val="18"/>
              </w:rPr>
              <w:t>override_reason</w:t>
            </w:r>
          </w:p>
        </w:tc>
        <w:tc>
          <w:tcPr>
            <w:tcW w:type="dxa" w:w="5040"/>
            <w:vAlign w:val="top"/>
          </w:tcPr>
          <w:p>
            <w:pPr>
              <w:spacing w:after="0"/>
            </w:pPr>
            <w:r>
              <w:rPr>
                <w:sz w:val="18"/>
              </w:rPr>
            </w:r>
            <w:r>
              <w:rPr>
                <w:b w:val="0"/>
                <w:sz w:val="18"/>
              </w:rPr>
              <w:t>States why the gate result was overridden.</w:t>
            </w:r>
          </w:p>
        </w:tc>
      </w:tr>
      <w:tr>
        <w:trPr>
          <w:cantSplit/>
        </w:trPr>
        <w:tc>
          <w:tcPr>
            <w:tcW w:type="dxa" w:w="5040"/>
            <w:vAlign w:val="top"/>
          </w:tcPr>
          <w:p>
            <w:pPr>
              <w:spacing w:after="0"/>
            </w:pPr>
            <w:r>
              <w:rPr>
                <w:sz w:val="18"/>
              </w:rPr>
            </w:r>
            <w:r>
              <w:rPr>
                <w:b w:val="0"/>
                <w:sz w:val="18"/>
              </w:rPr>
              <w:t>override_by</w:t>
            </w:r>
          </w:p>
        </w:tc>
        <w:tc>
          <w:tcPr>
            <w:tcW w:type="dxa" w:w="5040"/>
            <w:vAlign w:val="top"/>
          </w:tcPr>
          <w:p>
            <w:pPr>
              <w:spacing w:after="0"/>
            </w:pPr>
            <w:r>
              <w:rPr>
                <w:sz w:val="18"/>
              </w:rPr>
            </w:r>
            <w:r>
              <w:rPr>
                <w:b w:val="0"/>
                <w:sz w:val="18"/>
              </w:rPr>
              <w:t>Binds the override to an accountable principal.</w:t>
            </w:r>
          </w:p>
        </w:tc>
      </w:tr>
      <w:tr>
        <w:trPr>
          <w:cantSplit/>
        </w:trPr>
        <w:tc>
          <w:tcPr>
            <w:tcW w:type="dxa" w:w="5040"/>
            <w:vAlign w:val="top"/>
          </w:tcPr>
          <w:p>
            <w:pPr>
              <w:spacing w:after="0"/>
            </w:pPr>
            <w:r>
              <w:rPr>
                <w:sz w:val="18"/>
              </w:rPr>
            </w:r>
            <w:r>
              <w:rPr>
                <w:b w:val="0"/>
                <w:sz w:val="18"/>
              </w:rPr>
              <w:t>override_at</w:t>
            </w:r>
          </w:p>
        </w:tc>
        <w:tc>
          <w:tcPr>
            <w:tcW w:type="dxa" w:w="5040"/>
            <w:vAlign w:val="top"/>
          </w:tcPr>
          <w:p>
            <w:pPr>
              <w:spacing w:after="0"/>
            </w:pPr>
            <w:r>
              <w:rPr>
                <w:sz w:val="18"/>
              </w:rPr>
            </w:r>
            <w:r>
              <w:rPr>
                <w:b w:val="0"/>
                <w:sz w:val="18"/>
              </w:rPr>
              <w:t>Preserves timing for audit and incident reconstruction.</w:t>
            </w:r>
          </w:p>
        </w:tc>
      </w:tr>
    </w:tbl>
    <w:p/>
    <w:p>
      <w:pPr>
        <w:pStyle w:val="Heading1"/>
      </w:pPr>
      <w:r>
        <w:t>6. Agent Pre-Action Proof</w:t>
      </w:r>
    </w:p>
    <w:p>
      <w:r>
        <w:t>Agentic actions require stronger gate discipline because an agent can change external state. pre_action_proof_bundles bind context_hash, policy_check_receipt_id, authorization_token_hash, delegation_id, gate_evaluation_id, risk_class, proof payload/hash, receipt, and evidence object before the tool invocation executes. agent_tool_invocations then record the request, gate outcome, execution status, result hash, state-change hash, request receipt, and execution receipt.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pPr>
              <w:spacing w:after="0"/>
            </w:pPr>
            <w:r>
              <w:rPr>
                <w:sz w:val="18"/>
              </w:rPr>
            </w:r>
            <w:r>
              <w:rPr>
                <w:b/>
                <w:sz w:val="18"/>
              </w:rPr>
              <w:t>Pre-action proof component</w:t>
            </w:r>
          </w:p>
        </w:tc>
        <w:tc>
          <w:tcPr>
            <w:tcW w:type="dxa" w:w="5040"/>
            <w:shd w:fill="D9EAF7"/>
            <w:vAlign w:val="center"/>
          </w:tcPr>
          <w:p>
            <w:pPr>
              <w:spacing w:after="0"/>
            </w:pPr>
            <w:r>
              <w:rPr>
                <w:sz w:val="18"/>
              </w:rPr>
            </w:r>
            <w:r>
              <w:rPr>
                <w:b/>
                <w:sz w:val="18"/>
              </w:rPr>
              <w:t>Purpose</w:t>
            </w:r>
          </w:p>
        </w:tc>
      </w:tr>
      <w:tr>
        <w:trPr>
          <w:cantSplit/>
        </w:trPr>
        <w:tc>
          <w:tcPr>
            <w:tcW w:type="dxa" w:w="5040"/>
            <w:vAlign w:val="top"/>
          </w:tcPr>
          <w:p>
            <w:pPr>
              <w:spacing w:after="0"/>
            </w:pPr>
            <w:r>
              <w:rPr>
                <w:sz w:val="18"/>
              </w:rPr>
            </w:r>
            <w:r>
              <w:rPr>
                <w:b w:val="0"/>
                <w:sz w:val="18"/>
              </w:rPr>
              <w:t>context_hash</w:t>
            </w:r>
          </w:p>
        </w:tc>
        <w:tc>
          <w:tcPr>
            <w:tcW w:type="dxa" w:w="5040"/>
            <w:vAlign w:val="top"/>
          </w:tcPr>
          <w:p>
            <w:pPr>
              <w:spacing w:after="0"/>
            </w:pPr>
            <w:r>
              <w:rPr>
                <w:sz w:val="18"/>
              </w:rPr>
            </w:r>
            <w:r>
              <w:rPr>
                <w:b w:val="0"/>
                <w:sz w:val="18"/>
              </w:rPr>
              <w:t>Binds the tool request to the session context the gate evaluated.</w:t>
            </w:r>
          </w:p>
        </w:tc>
      </w:tr>
      <w:tr>
        <w:trPr>
          <w:cantSplit/>
        </w:trPr>
        <w:tc>
          <w:tcPr>
            <w:tcW w:type="dxa" w:w="5040"/>
            <w:vAlign w:val="top"/>
          </w:tcPr>
          <w:p>
            <w:pPr>
              <w:spacing w:after="0"/>
            </w:pPr>
            <w:r>
              <w:rPr>
                <w:sz w:val="18"/>
              </w:rPr>
            </w:r>
            <w:r>
              <w:rPr>
                <w:b w:val="0"/>
                <w:sz w:val="18"/>
              </w:rPr>
              <w:t>policy_check_receipt_id</w:t>
            </w:r>
          </w:p>
        </w:tc>
        <w:tc>
          <w:tcPr>
            <w:tcW w:type="dxa" w:w="5040"/>
            <w:vAlign w:val="top"/>
          </w:tcPr>
          <w:p>
            <w:pPr>
              <w:spacing w:after="0"/>
            </w:pPr>
            <w:r>
              <w:rPr>
                <w:sz w:val="18"/>
              </w:rPr>
            </w:r>
            <w:r>
              <w:rPr>
                <w:b w:val="0"/>
                <w:sz w:val="18"/>
              </w:rPr>
              <w:t>Proves policy was checked before action.</w:t>
            </w:r>
          </w:p>
        </w:tc>
      </w:tr>
      <w:tr>
        <w:trPr>
          <w:cantSplit/>
        </w:trPr>
        <w:tc>
          <w:tcPr>
            <w:tcW w:type="dxa" w:w="5040"/>
            <w:vAlign w:val="top"/>
          </w:tcPr>
          <w:p>
            <w:pPr>
              <w:spacing w:after="0"/>
            </w:pPr>
            <w:r>
              <w:rPr>
                <w:sz w:val="18"/>
              </w:rPr>
            </w:r>
            <w:r>
              <w:rPr>
                <w:b w:val="0"/>
                <w:sz w:val="18"/>
              </w:rPr>
              <w:t>authorization_token_hash</w:t>
            </w:r>
          </w:p>
        </w:tc>
        <w:tc>
          <w:tcPr>
            <w:tcW w:type="dxa" w:w="5040"/>
            <w:vAlign w:val="top"/>
          </w:tcPr>
          <w:p>
            <w:pPr>
              <w:spacing w:after="0"/>
            </w:pPr>
            <w:r>
              <w:rPr>
                <w:sz w:val="18"/>
              </w:rPr>
            </w:r>
            <w:r>
              <w:rPr>
                <w:b w:val="0"/>
                <w:sz w:val="18"/>
              </w:rPr>
              <w:t>Binds scoped authority without storing raw secrets.</w:t>
            </w:r>
          </w:p>
        </w:tc>
      </w:tr>
      <w:tr>
        <w:trPr>
          <w:cantSplit/>
        </w:trPr>
        <w:tc>
          <w:tcPr>
            <w:tcW w:type="dxa" w:w="5040"/>
            <w:vAlign w:val="top"/>
          </w:tcPr>
          <w:p>
            <w:pPr>
              <w:spacing w:after="0"/>
            </w:pPr>
            <w:r>
              <w:rPr>
                <w:sz w:val="18"/>
              </w:rPr>
            </w:r>
            <w:r>
              <w:rPr>
                <w:b w:val="0"/>
                <w:sz w:val="18"/>
              </w:rPr>
              <w:t>delegation_id</w:t>
            </w:r>
          </w:p>
        </w:tc>
        <w:tc>
          <w:tcPr>
            <w:tcW w:type="dxa" w:w="5040"/>
            <w:vAlign w:val="top"/>
          </w:tcPr>
          <w:p>
            <w:pPr>
              <w:spacing w:after="0"/>
            </w:pPr>
            <w:r>
              <w:rPr>
                <w:sz w:val="18"/>
              </w:rPr>
            </w:r>
            <w:r>
              <w:rPr>
                <w:b w:val="0"/>
                <w:sz w:val="18"/>
              </w:rPr>
              <w:t>Connects action to delegated authority and purpose.</w:t>
            </w:r>
          </w:p>
        </w:tc>
      </w:tr>
      <w:tr>
        <w:trPr>
          <w:cantSplit/>
        </w:trPr>
        <w:tc>
          <w:tcPr>
            <w:tcW w:type="dxa" w:w="5040"/>
            <w:vAlign w:val="top"/>
          </w:tcPr>
          <w:p>
            <w:pPr>
              <w:spacing w:after="0"/>
            </w:pPr>
            <w:r>
              <w:rPr>
                <w:sz w:val="18"/>
              </w:rPr>
            </w:r>
            <w:r>
              <w:rPr>
                <w:b w:val="0"/>
                <w:sz w:val="18"/>
              </w:rPr>
              <w:t>gate_evaluation_id</w:t>
            </w:r>
          </w:p>
        </w:tc>
        <w:tc>
          <w:tcPr>
            <w:tcW w:type="dxa" w:w="5040"/>
            <w:vAlign w:val="top"/>
          </w:tcPr>
          <w:p>
            <w:pPr>
              <w:spacing w:after="0"/>
            </w:pPr>
            <w:r>
              <w:rPr>
                <w:sz w:val="18"/>
              </w:rPr>
            </w:r>
            <w:r>
              <w:rPr>
                <w:b w:val="0"/>
                <w:sz w:val="18"/>
              </w:rPr>
              <w:t>Shows the gate decision used to permit, deny, escalate, or inspect.</w:t>
            </w:r>
          </w:p>
        </w:tc>
      </w:tr>
      <w:tr>
        <w:trPr>
          <w:cantSplit/>
        </w:trPr>
        <w:tc>
          <w:tcPr>
            <w:tcW w:type="dxa" w:w="5040"/>
            <w:vAlign w:val="top"/>
          </w:tcPr>
          <w:p>
            <w:pPr>
              <w:spacing w:after="0"/>
            </w:pPr>
            <w:r>
              <w:rPr>
                <w:sz w:val="18"/>
              </w:rPr>
            </w:r>
            <w:r>
              <w:rPr>
                <w:b w:val="0"/>
                <w:sz w:val="18"/>
              </w:rPr>
              <w:t>proof_hash</w:t>
            </w:r>
          </w:p>
        </w:tc>
        <w:tc>
          <w:tcPr>
            <w:tcW w:type="dxa" w:w="5040"/>
            <w:vAlign w:val="top"/>
          </w:tcPr>
          <w:p>
            <w:pPr>
              <w:spacing w:after="0"/>
            </w:pPr>
            <w:r>
              <w:rPr>
                <w:sz w:val="18"/>
              </w:rPr>
            </w:r>
            <w:r>
              <w:rPr>
                <w:b w:val="0"/>
                <w:sz w:val="18"/>
              </w:rPr>
              <w:t>Provides integrity for the proof bundle.</w:t>
            </w:r>
          </w:p>
        </w:tc>
      </w:tr>
    </w:tbl>
    <w:p/>
    <w:p>
      <w:pPr>
        <w:pStyle w:val="Heading1"/>
      </w:pPr>
      <w:r>
        <w:t>7. Gate-Driven Materialization</w:t>
      </w:r>
    </w:p>
    <w:p>
      <w:r>
        <w:t>Gate outcomes may trigger Lazy Capsule Materialization. For example, an approve outcome may require only a lightweight receipt; a deny outcome may require failed-rule evidence; an escalate outcome may require approval artifacts; an inspect outcome may materialize a fuller evidence capsule even if the action is not blocked.</w:t>
      </w:r>
    </w:p>
    <w:p>
      <w:pPr>
        <w:pStyle w:val="Heading1"/>
      </w:pPr>
      <w:r>
        <w:t>8. Operational API Pattern</w:t>
      </w:r>
    </w:p>
    <w:p>
      <w:r>
        <w:t>1. Receive governed event or action request.</w:t>
      </w:r>
    </w:p>
    <w:p>
      <w:r>
        <w:t>2. Resolve principal, client, service entitlement, and resource context.</w:t>
      </w:r>
    </w:p>
    <w:p>
      <w:r>
        <w:t>3. Find applicable policy_version and gate_definition.</w:t>
      </w:r>
    </w:p>
    <w:p>
      <w:r>
        <w:t>4. Evaluate policy_rules and write policy_evaluations.</w:t>
      </w:r>
    </w:p>
    <w:p>
      <w:r>
        <w:t>5. Aggregate rule results into gate_evaluation.</w:t>
      </w:r>
    </w:p>
    <w:p>
      <w:r>
        <w:t>6. Apply failure_action and override rules.</w:t>
      </w:r>
    </w:p>
    <w:p>
      <w:r>
        <w:t>7. Create receipt and evidence_object.</w:t>
      </w:r>
    </w:p>
    <w:p>
      <w:r>
        <w:t>8. Allow, deny, escalate, inspect, or materialize additional evidence.</w:t>
      </w:r>
    </w:p>
    <w:p>
      <w:r>
        <w:t>9. Link resulting objects to lifecycle, agent, audit, incident, or provenance records.</w:t>
      </w:r>
    </w:p>
    <w:p>
      <w:pPr>
        <w:pStyle w:val="Heading1"/>
      </w:pPr>
      <w:r>
        <w:t>AI Use and Editorial Note</w:t>
      </w:r>
    </w:p>
    <w:p>
      <w:r>
        <w:t>This draft was prepared for concept development, publication planning, and architecture alignment. AI assistance may have been used to structure and draft the material, with human editorial control, technical judgment, and final review expected before publication or external distribution.</w:t>
      </w:r>
    </w:p>
    <w:p>
      <w:pPr>
        <w:pStyle w:val="Heading1"/>
      </w:pPr>
      <w:r>
        <w:t>Source Basis</w:t>
      </w:r>
    </w:p>
    <w:p>
      <w:r>
        <w:t>This document is based on the AGEI category paper, CIAF-LCM process paper, CIAF-LCM with Governance Gates paper, evidence vault paper, agent governance paper, shadow AI paper, dual-layer provenance paper, global regulatory reference guide, and the completed database/schema structure exported in DATABASE.md.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