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AGEI Practical Lifecycle Walkthrough</w:t>
      </w:r>
    </w:p>
    <w:p>
      <w:pPr>
        <w:jc w:val="center"/>
      </w:pPr>
      <w:r>
        <w:rPr>
          <w:i/>
          <w:sz w:val="24"/>
        </w:rPr>
        <w:t>From Model Deployment Request to Audit Pack Verification</w:t>
      </w:r>
    </w:p>
    <w:p>
      <w:pPr>
        <w:jc w:val="center"/>
      </w:pPr>
      <w:r>
        <w:rPr>
          <w:i/>
        </w:rPr>
        <w:t>Denzil Greenwood | CognitiveInsight.ai | April 2026</w:t>
      </w:r>
    </w:p>
    <w:p/>
    <w:p>
      <w:pPr>
        <w:pStyle w:val="Heading1"/>
      </w:pPr>
      <w:r>
        <w:t>Purpose</w:t>
      </w:r>
    </w:p>
    <w:p>
      <w:r>
        <w:t>This document gives a concrete walkthrough that can be used in product documentation, demos, investor conversations, customer pilots, and architecture reviews. It shows how a single model deployment request becomes policy evaluation, gate outcome, receipt, vault evidence, and audit-pack verification.</w:t>
      </w:r>
    </w:p>
    <w:p>
      <w:pPr>
        <w:pStyle w:val="Heading1"/>
      </w:pPr>
      <w:r>
        <w:t>Scenario</w:t>
      </w:r>
    </w:p>
    <w:p>
      <w:r>
        <w:t>A regulated organization wants to deploy a claims triage model into production. The deployment must prove that the model version is registered, its training data has acceptable provenance, validation thresholds were met, the approving role had authority, no active high-severity incident blocks deployment, and the release artifact corresponds to the validated model state.</w:t>
      </w:r>
    </w:p>
    <w:p>
      <w:pPr>
        <w:pStyle w:val="Heading1"/>
      </w:pPr>
      <w:r>
        <w:t>Step-by-Step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Step</w:t>
            </w:r>
          </w:p>
        </w:tc>
        <w:tc>
          <w:tcPr>
            <w:tcW w:type="dxa" w:w="3360"/>
            <w:shd w:fill="D9EAF7"/>
            <w:vAlign w:val="center"/>
          </w:tcPr>
          <w:p>
            <w:pPr>
              <w:spacing w:after="0"/>
            </w:pPr>
            <w:r>
              <w:rPr>
                <w:sz w:val="18"/>
              </w:rPr>
            </w:r>
            <w:r>
              <w:rPr>
                <w:b/>
                <w:sz w:val="18"/>
              </w:rPr>
              <w:t>Tables involved</w:t>
            </w:r>
          </w:p>
        </w:tc>
        <w:tc>
          <w:tcPr>
            <w:tcW w:type="dxa" w:w="3360"/>
            <w:shd w:fill="D9EAF7"/>
            <w:vAlign w:val="center"/>
          </w:tcPr>
          <w:p>
            <w:pPr>
              <w:spacing w:after="0"/>
            </w:pPr>
            <w:r>
              <w:rPr>
                <w:sz w:val="18"/>
              </w:rPr>
            </w:r>
            <w:r>
              <w:rPr>
                <w:b/>
                <w:sz w:val="18"/>
              </w:rPr>
              <w:t>What happens</w:t>
            </w:r>
          </w:p>
        </w:tc>
      </w:tr>
      <w:tr>
        <w:trPr>
          <w:cantSplit/>
        </w:trPr>
        <w:tc>
          <w:tcPr>
            <w:tcW w:type="dxa" w:w="3360"/>
            <w:vAlign w:val="top"/>
          </w:tcPr>
          <w:p>
            <w:pPr>
              <w:spacing w:after="0"/>
            </w:pPr>
            <w:r>
              <w:rPr>
                <w:sz w:val="18"/>
              </w:rPr>
            </w:r>
            <w:r>
              <w:rPr>
                <w:b w:val="0"/>
                <w:sz w:val="18"/>
              </w:rPr>
              <w:t>1. API request received</w:t>
            </w:r>
          </w:p>
        </w:tc>
        <w:tc>
          <w:tcPr>
            <w:tcW w:type="dxa" w:w="3360"/>
            <w:vAlign w:val="top"/>
          </w:tcPr>
          <w:p>
            <w:pPr>
              <w:spacing w:after="0"/>
            </w:pPr>
            <w:r>
              <w:rPr>
                <w:sz w:val="18"/>
              </w:rPr>
            </w:r>
            <w:r>
              <w:rPr>
                <w:b w:val="0"/>
                <w:sz w:val="18"/>
              </w:rPr>
              <w:t>api_clients, api_keys, api_key_service_grants, api_request_logs</w:t>
            </w:r>
          </w:p>
        </w:tc>
        <w:tc>
          <w:tcPr>
            <w:tcW w:type="dxa" w:w="3360"/>
            <w:vAlign w:val="top"/>
          </w:tcPr>
          <w:p>
            <w:pPr>
              <w:spacing w:after="0"/>
            </w:pPr>
            <w:r>
              <w:rPr>
                <w:sz w:val="18"/>
              </w:rPr>
            </w:r>
            <w:r>
              <w:rPr>
                <w:b w:val="0"/>
                <w:sz w:val="18"/>
              </w:rPr>
              <w:t>The deployment system calls an AGEI service using a named API client and scoped key. The raw key is not stored; the request is logged with hash and service status.</w:t>
            </w:r>
          </w:p>
        </w:tc>
      </w:tr>
      <w:tr>
        <w:trPr>
          <w:cantSplit/>
        </w:trPr>
        <w:tc>
          <w:tcPr>
            <w:tcW w:type="dxa" w:w="3360"/>
            <w:vAlign w:val="top"/>
          </w:tcPr>
          <w:p>
            <w:pPr>
              <w:spacing w:after="0"/>
            </w:pPr>
            <w:r>
              <w:rPr>
                <w:sz w:val="18"/>
              </w:rPr>
            </w:r>
            <w:r>
              <w:rPr>
                <w:b w:val="0"/>
                <w:sz w:val="18"/>
              </w:rPr>
              <w:t>2. Service authorization checked</w:t>
            </w:r>
          </w:p>
        </w:tc>
        <w:tc>
          <w:tcPr>
            <w:tcW w:type="dxa" w:w="3360"/>
            <w:vAlign w:val="top"/>
          </w:tcPr>
          <w:p>
            <w:pPr>
              <w:spacing w:after="0"/>
            </w:pPr>
            <w:r>
              <w:rPr>
                <w:sz w:val="18"/>
              </w:rPr>
            </w:r>
            <w:r>
              <w:rPr>
                <w:b w:val="0"/>
                <w:sz w:val="18"/>
              </w:rPr>
              <w:t>ciaf_services, organization_service_entitlements</w:t>
            </w:r>
          </w:p>
        </w:tc>
        <w:tc>
          <w:tcPr>
            <w:tcW w:type="dxa" w:w="3360"/>
            <w:vAlign w:val="top"/>
          </w:tcPr>
          <w:p>
            <w:pPr>
              <w:spacing w:after="0"/>
            </w:pPr>
            <w:r>
              <w:rPr>
                <w:sz w:val="18"/>
              </w:rPr>
            </w:r>
            <w:r>
              <w:rPr>
                <w:b w:val="0"/>
                <w:sz w:val="18"/>
              </w:rPr>
              <w:t>The requested service is checked against organization-level entitlements, scopes, quotas, and optional policy/gate bindings.</w:t>
            </w:r>
          </w:p>
        </w:tc>
      </w:tr>
      <w:tr>
        <w:trPr>
          <w:cantSplit/>
        </w:trPr>
        <w:tc>
          <w:tcPr>
            <w:tcW w:type="dxa" w:w="3360"/>
            <w:vAlign w:val="top"/>
          </w:tcPr>
          <w:p>
            <w:pPr>
              <w:spacing w:after="0"/>
            </w:pPr>
            <w:r>
              <w:rPr>
                <w:sz w:val="18"/>
              </w:rPr>
            </w:r>
            <w:r>
              <w:rPr>
                <w:b w:val="0"/>
                <w:sz w:val="18"/>
              </w:rPr>
              <w:t>3. Lifecycle object identified</w:t>
            </w:r>
          </w:p>
        </w:tc>
        <w:tc>
          <w:tcPr>
            <w:tcW w:type="dxa" w:w="3360"/>
            <w:vAlign w:val="top"/>
          </w:tcPr>
          <w:p>
            <w:pPr>
              <w:spacing w:after="0"/>
            </w:pPr>
            <w:r>
              <w:rPr>
                <w:sz w:val="18"/>
              </w:rPr>
            </w:r>
            <w:r>
              <w:rPr>
                <w:b w:val="0"/>
                <w:sz w:val="18"/>
              </w:rPr>
              <w:t>ai_lifecycle_objects</w:t>
            </w:r>
          </w:p>
        </w:tc>
        <w:tc>
          <w:tcPr>
            <w:tcW w:type="dxa" w:w="3360"/>
            <w:vAlign w:val="top"/>
          </w:tcPr>
          <w:p>
            <w:pPr>
              <w:spacing w:after="0"/>
            </w:pPr>
            <w:r>
              <w:rPr>
                <w:sz w:val="18"/>
              </w:rPr>
            </w:r>
            <w:r>
              <w:rPr>
                <w:b w:val="0"/>
                <w:sz w:val="18"/>
              </w:rPr>
              <w:t>The model version and release artifact are represented as first-class lifecycle objects.</w:t>
            </w:r>
          </w:p>
        </w:tc>
      </w:tr>
      <w:tr>
        <w:trPr>
          <w:cantSplit/>
        </w:trPr>
        <w:tc>
          <w:tcPr>
            <w:tcW w:type="dxa" w:w="3360"/>
            <w:vAlign w:val="top"/>
          </w:tcPr>
          <w:p>
            <w:pPr>
              <w:spacing w:after="0"/>
            </w:pPr>
            <w:r>
              <w:rPr>
                <w:sz w:val="18"/>
              </w:rPr>
            </w:r>
            <w:r>
              <w:rPr>
                <w:b w:val="0"/>
                <w:sz w:val="18"/>
              </w:rPr>
              <w:t>4. Lineage resolved</w:t>
            </w:r>
          </w:p>
        </w:tc>
        <w:tc>
          <w:tcPr>
            <w:tcW w:type="dxa" w:w="3360"/>
            <w:vAlign w:val="top"/>
          </w:tcPr>
          <w:p>
            <w:pPr>
              <w:spacing w:after="0"/>
            </w:pPr>
            <w:r>
              <w:rPr>
                <w:sz w:val="18"/>
              </w:rPr>
            </w:r>
            <w:r>
              <w:rPr>
                <w:b w:val="0"/>
                <w:sz w:val="18"/>
              </w:rPr>
              <w:t>ai_lifecycle_object_links, receipt_links</w:t>
            </w:r>
          </w:p>
        </w:tc>
        <w:tc>
          <w:tcPr>
            <w:tcW w:type="dxa" w:w="3360"/>
            <w:vAlign w:val="top"/>
          </w:tcPr>
          <w:p>
            <w:pPr>
              <w:spacing w:after="0"/>
            </w:pPr>
            <w:r>
              <w:rPr>
                <w:sz w:val="18"/>
              </w:rPr>
            </w:r>
            <w:r>
              <w:rPr>
                <w:b w:val="0"/>
                <w:sz w:val="18"/>
              </w:rPr>
              <w:t>The model version is linked to dataset, training, validation, and deployment objects and prior receipts.</w:t>
            </w:r>
          </w:p>
        </w:tc>
      </w:tr>
      <w:tr>
        <w:trPr>
          <w:cantSplit/>
        </w:trPr>
        <w:tc>
          <w:tcPr>
            <w:tcW w:type="dxa" w:w="3360"/>
            <w:vAlign w:val="top"/>
          </w:tcPr>
          <w:p>
            <w:pPr>
              <w:spacing w:after="0"/>
            </w:pPr>
            <w:r>
              <w:rPr>
                <w:sz w:val="18"/>
              </w:rPr>
            </w:r>
            <w:r>
              <w:rPr>
                <w:b w:val="0"/>
                <w:sz w:val="18"/>
              </w:rPr>
              <w:t>5. Policy state loaded</w:t>
            </w:r>
          </w:p>
        </w:tc>
        <w:tc>
          <w:tcPr>
            <w:tcW w:type="dxa" w:w="3360"/>
            <w:vAlign w:val="top"/>
          </w:tcPr>
          <w:p>
            <w:pPr>
              <w:spacing w:after="0"/>
            </w:pPr>
            <w:r>
              <w:rPr>
                <w:sz w:val="18"/>
              </w:rPr>
            </w:r>
            <w:r>
              <w:rPr>
                <w:b w:val="0"/>
                <w:sz w:val="18"/>
              </w:rPr>
              <w:t>policy_sets, policy_versions, policy_rules</w:t>
            </w:r>
          </w:p>
        </w:tc>
        <w:tc>
          <w:tcPr>
            <w:tcW w:type="dxa" w:w="3360"/>
            <w:vAlign w:val="top"/>
          </w:tcPr>
          <w:p>
            <w:pPr>
              <w:spacing w:after="0"/>
            </w:pPr>
            <w:r>
              <w:rPr>
                <w:sz w:val="18"/>
              </w:rPr>
            </w:r>
            <w:r>
              <w:rPr>
                <w:b w:val="0"/>
                <w:sz w:val="18"/>
              </w:rPr>
              <w:t>The deployment policy version and applicable rules are loaded.</w:t>
            </w:r>
          </w:p>
        </w:tc>
      </w:tr>
      <w:tr>
        <w:trPr>
          <w:cantSplit/>
        </w:trPr>
        <w:tc>
          <w:tcPr>
            <w:tcW w:type="dxa" w:w="3360"/>
            <w:vAlign w:val="top"/>
          </w:tcPr>
          <w:p>
            <w:pPr>
              <w:spacing w:after="0"/>
            </w:pPr>
            <w:r>
              <w:rPr>
                <w:sz w:val="18"/>
              </w:rPr>
            </w:r>
            <w:r>
              <w:rPr>
                <w:b w:val="0"/>
                <w:sz w:val="18"/>
              </w:rPr>
              <w:t>6. Gate selected</w:t>
            </w:r>
          </w:p>
        </w:tc>
        <w:tc>
          <w:tcPr>
            <w:tcW w:type="dxa" w:w="3360"/>
            <w:vAlign w:val="top"/>
          </w:tcPr>
          <w:p>
            <w:pPr>
              <w:spacing w:after="0"/>
            </w:pPr>
            <w:r>
              <w:rPr>
                <w:sz w:val="18"/>
              </w:rPr>
            </w:r>
            <w:r>
              <w:rPr>
                <w:b w:val="0"/>
                <w:sz w:val="18"/>
              </w:rPr>
              <w:t>gate_definitions</w:t>
            </w:r>
          </w:p>
        </w:tc>
        <w:tc>
          <w:tcPr>
            <w:tcW w:type="dxa" w:w="3360"/>
            <w:vAlign w:val="top"/>
          </w:tcPr>
          <w:p>
            <w:pPr>
              <w:spacing w:after="0"/>
            </w:pPr>
            <w:r>
              <w:rPr>
                <w:sz w:val="18"/>
              </w:rPr>
            </w:r>
            <w:r>
              <w:rPr>
                <w:b w:val="0"/>
                <w:sz w:val="18"/>
              </w:rPr>
              <w:t>The deployment gate definition is selected based on resource type, stage, policy, and required status.</w:t>
            </w:r>
          </w:p>
        </w:tc>
      </w:tr>
      <w:tr>
        <w:trPr>
          <w:cantSplit/>
        </w:trPr>
        <w:tc>
          <w:tcPr>
            <w:tcW w:type="dxa" w:w="3360"/>
            <w:vAlign w:val="top"/>
          </w:tcPr>
          <w:p>
            <w:pPr>
              <w:spacing w:after="0"/>
            </w:pPr>
            <w:r>
              <w:rPr>
                <w:sz w:val="18"/>
              </w:rPr>
            </w:r>
            <w:r>
              <w:rPr>
                <w:b w:val="0"/>
                <w:sz w:val="18"/>
              </w:rPr>
              <w:t>7. Rule evaluations run</w:t>
            </w:r>
          </w:p>
        </w:tc>
        <w:tc>
          <w:tcPr>
            <w:tcW w:type="dxa" w:w="3360"/>
            <w:vAlign w:val="top"/>
          </w:tcPr>
          <w:p>
            <w:pPr>
              <w:spacing w:after="0"/>
            </w:pPr>
            <w:r>
              <w:rPr>
                <w:sz w:val="18"/>
              </w:rPr>
            </w:r>
            <w:r>
              <w:rPr>
                <w:b w:val="0"/>
                <w:sz w:val="18"/>
              </w:rPr>
              <w:t>policy_evaluations</w:t>
            </w:r>
          </w:p>
        </w:tc>
        <w:tc>
          <w:tcPr>
            <w:tcW w:type="dxa" w:w="3360"/>
            <w:vAlign w:val="top"/>
          </w:tcPr>
          <w:p>
            <w:pPr>
              <w:spacing w:after="0"/>
            </w:pPr>
            <w:r>
              <w:rPr>
                <w:sz w:val="18"/>
              </w:rPr>
            </w:r>
            <w:r>
              <w:rPr>
                <w:b w:val="0"/>
                <w:sz w:val="18"/>
              </w:rPr>
              <w:t>Each rule records pass/fail/warn/error status, payload, duration, data accessed, and evaluation hash.</w:t>
            </w:r>
          </w:p>
        </w:tc>
      </w:tr>
      <w:tr>
        <w:trPr>
          <w:cantSplit/>
        </w:trPr>
        <w:tc>
          <w:tcPr>
            <w:tcW w:type="dxa" w:w="3360"/>
            <w:vAlign w:val="top"/>
          </w:tcPr>
          <w:p>
            <w:pPr>
              <w:spacing w:after="0"/>
            </w:pPr>
            <w:r>
              <w:rPr>
                <w:sz w:val="18"/>
              </w:rPr>
            </w:r>
            <w:r>
              <w:rPr>
                <w:b w:val="0"/>
                <w:sz w:val="18"/>
              </w:rPr>
              <w:t>8. Gate outcome produced</w:t>
            </w:r>
          </w:p>
        </w:tc>
        <w:tc>
          <w:tcPr>
            <w:tcW w:type="dxa" w:w="3360"/>
            <w:vAlign w:val="top"/>
          </w:tcPr>
          <w:p>
            <w:pPr>
              <w:spacing w:after="0"/>
            </w:pPr>
            <w:r>
              <w:rPr>
                <w:sz w:val="18"/>
              </w:rPr>
            </w:r>
            <w:r>
              <w:rPr>
                <w:b w:val="0"/>
                <w:sz w:val="18"/>
              </w:rPr>
              <w:t>gate_evaluations</w:t>
            </w:r>
          </w:p>
        </w:tc>
        <w:tc>
          <w:tcPr>
            <w:tcW w:type="dxa" w:w="3360"/>
            <w:vAlign w:val="top"/>
          </w:tcPr>
          <w:p>
            <w:pPr>
              <w:spacing w:after="0"/>
            </w:pPr>
            <w:r>
              <w:rPr>
                <w:sz w:val="18"/>
              </w:rPr>
            </w:r>
            <w:r>
              <w:rPr>
                <w:b w:val="0"/>
                <w:sz w:val="18"/>
              </w:rPr>
              <w:t>The gate aggregates rule results and returns approve, deny, escalate, or inspect.</w:t>
            </w:r>
          </w:p>
        </w:tc>
      </w:tr>
      <w:tr>
        <w:trPr>
          <w:cantSplit/>
        </w:trPr>
        <w:tc>
          <w:tcPr>
            <w:tcW w:type="dxa" w:w="3360"/>
            <w:vAlign w:val="top"/>
          </w:tcPr>
          <w:p>
            <w:pPr>
              <w:spacing w:after="0"/>
            </w:pPr>
            <w:r>
              <w:rPr>
                <w:sz w:val="18"/>
              </w:rPr>
            </w:r>
            <w:r>
              <w:rPr>
                <w:b w:val="0"/>
                <w:sz w:val="18"/>
              </w:rPr>
              <w:t>9. Receipt generated</w:t>
            </w:r>
          </w:p>
        </w:tc>
        <w:tc>
          <w:tcPr>
            <w:tcW w:type="dxa" w:w="3360"/>
            <w:vAlign w:val="top"/>
          </w:tcPr>
          <w:p>
            <w:pPr>
              <w:spacing w:after="0"/>
            </w:pPr>
            <w:r>
              <w:rPr>
                <w:sz w:val="18"/>
              </w:rPr>
            </w:r>
            <w:r>
              <w:rPr>
                <w:b w:val="0"/>
                <w:sz w:val="18"/>
              </w:rPr>
              <w:t>receipts</w:t>
            </w:r>
          </w:p>
        </w:tc>
        <w:tc>
          <w:tcPr>
            <w:tcW w:type="dxa" w:w="3360"/>
            <w:vAlign w:val="top"/>
          </w:tcPr>
          <w:p>
            <w:pPr>
              <w:spacing w:after="0"/>
            </w:pPr>
            <w:r>
              <w:rPr>
                <w:sz w:val="18"/>
              </w:rPr>
            </w:r>
            <w:r>
              <w:rPr>
                <w:b w:val="0"/>
                <w:sz w:val="18"/>
              </w:rPr>
              <w:t>The receipt binds policy_version_id, gate_evaluation_id, resource, lifecycle_stage, receipt_payload, content_hash, canonicalization version, and signature metadata.</w:t>
            </w:r>
          </w:p>
        </w:tc>
      </w:tr>
      <w:tr>
        <w:trPr>
          <w:cantSplit/>
        </w:trPr>
        <w:tc>
          <w:tcPr>
            <w:tcW w:type="dxa" w:w="3360"/>
            <w:vAlign w:val="top"/>
          </w:tcPr>
          <w:p>
            <w:pPr>
              <w:spacing w:after="0"/>
            </w:pPr>
            <w:r>
              <w:rPr>
                <w:sz w:val="18"/>
              </w:rPr>
            </w:r>
            <w:r>
              <w:rPr>
                <w:b w:val="0"/>
                <w:sz w:val="18"/>
              </w:rPr>
              <w:t>10. Evidence stored</w:t>
            </w:r>
          </w:p>
        </w:tc>
        <w:tc>
          <w:tcPr>
            <w:tcW w:type="dxa" w:w="3360"/>
            <w:vAlign w:val="top"/>
          </w:tcPr>
          <w:p>
            <w:pPr>
              <w:spacing w:after="0"/>
            </w:pPr>
            <w:r>
              <w:rPr>
                <w:sz w:val="18"/>
              </w:rPr>
            </w:r>
            <w:r>
              <w:rPr>
                <w:b w:val="0"/>
                <w:sz w:val="18"/>
              </w:rPr>
              <w:t>evidence_objects</w:t>
            </w:r>
          </w:p>
        </w:tc>
        <w:tc>
          <w:tcPr>
            <w:tcW w:type="dxa" w:w="3360"/>
            <w:vAlign w:val="top"/>
          </w:tcPr>
          <w:p>
            <w:pPr>
              <w:spacing w:after="0"/>
            </w:pPr>
            <w:r>
              <w:rPr>
                <w:sz w:val="18"/>
              </w:rPr>
            </w:r>
            <w:r>
              <w:rPr>
                <w:b w:val="0"/>
                <w:sz w:val="18"/>
              </w:rPr>
              <w:t>Structured supporting evidence is stored or linked: validation summaries, approval references, deployment metadata, and release hashes.</w:t>
            </w:r>
          </w:p>
        </w:tc>
      </w:tr>
      <w:tr>
        <w:trPr>
          <w:cantSplit/>
        </w:trPr>
        <w:tc>
          <w:tcPr>
            <w:tcW w:type="dxa" w:w="3360"/>
            <w:vAlign w:val="top"/>
          </w:tcPr>
          <w:p>
            <w:pPr>
              <w:spacing w:after="0"/>
            </w:pPr>
            <w:r>
              <w:rPr>
                <w:sz w:val="18"/>
              </w:rPr>
            </w:r>
            <w:r>
              <w:rPr>
                <w:b w:val="0"/>
                <w:sz w:val="18"/>
              </w:rPr>
              <w:t>11. Vault object sealed</w:t>
            </w:r>
          </w:p>
        </w:tc>
        <w:tc>
          <w:tcPr>
            <w:tcW w:type="dxa" w:w="3360"/>
            <w:vAlign w:val="top"/>
          </w:tcPr>
          <w:p>
            <w:pPr>
              <w:spacing w:after="0"/>
            </w:pPr>
            <w:r>
              <w:rPr>
                <w:sz w:val="18"/>
              </w:rPr>
            </w:r>
            <w:r>
              <w:rPr>
                <w:b w:val="0"/>
                <w:sz w:val="18"/>
              </w:rPr>
              <w:t>vault_objects</w:t>
            </w:r>
          </w:p>
        </w:tc>
        <w:tc>
          <w:tcPr>
            <w:tcW w:type="dxa" w:w="3360"/>
            <w:vAlign w:val="top"/>
          </w:tcPr>
          <w:p>
            <w:pPr>
              <w:spacing w:after="0"/>
            </w:pPr>
            <w:r>
              <w:rPr>
                <w:sz w:val="18"/>
              </w:rPr>
            </w:r>
            <w:r>
              <w:rPr>
                <w:b w:val="0"/>
                <w:sz w:val="18"/>
              </w:rPr>
              <w:t>For regulated or forensic assurance, selected receipts/evidence are sealed with signature metadata, retention settings, and compliance tags.</w:t>
            </w:r>
          </w:p>
        </w:tc>
      </w:tr>
      <w:tr>
        <w:trPr>
          <w:cantSplit/>
        </w:trPr>
        <w:tc>
          <w:tcPr>
            <w:tcW w:type="dxa" w:w="3360"/>
            <w:vAlign w:val="top"/>
          </w:tcPr>
          <w:p>
            <w:pPr>
              <w:spacing w:after="0"/>
            </w:pPr>
            <w:r>
              <w:rPr>
                <w:sz w:val="18"/>
              </w:rPr>
            </w:r>
            <w:r>
              <w:rPr>
                <w:b w:val="0"/>
                <w:sz w:val="18"/>
              </w:rPr>
              <w:t>12. Merkle batching performed</w:t>
            </w:r>
          </w:p>
        </w:tc>
        <w:tc>
          <w:tcPr>
            <w:tcW w:type="dxa" w:w="3360"/>
            <w:vAlign w:val="top"/>
          </w:tcPr>
          <w:p>
            <w:pPr>
              <w:spacing w:after="0"/>
            </w:pPr>
            <w:r>
              <w:rPr>
                <w:sz w:val="18"/>
              </w:rPr>
            </w:r>
            <w:r>
              <w:rPr>
                <w:b w:val="0"/>
                <w:sz w:val="18"/>
              </w:rPr>
              <w:t>receipt_batches, receipt_batch_items</w:t>
            </w:r>
          </w:p>
        </w:tc>
        <w:tc>
          <w:tcPr>
            <w:tcW w:type="dxa" w:w="3360"/>
            <w:vAlign w:val="top"/>
          </w:tcPr>
          <w:p>
            <w:pPr>
              <w:spacing w:after="0"/>
            </w:pPr>
            <w:r>
              <w:rPr>
                <w:sz w:val="18"/>
              </w:rPr>
            </w:r>
            <w:r>
              <w:rPr>
                <w:b w:val="0"/>
                <w:sz w:val="18"/>
              </w:rPr>
              <w:t>Receipts are batched into a Merkle root with inclusion proofs for efficient later verification.</w:t>
            </w:r>
          </w:p>
        </w:tc>
      </w:tr>
      <w:tr>
        <w:trPr>
          <w:cantSplit/>
        </w:trPr>
        <w:tc>
          <w:tcPr>
            <w:tcW w:type="dxa" w:w="3360"/>
            <w:vAlign w:val="top"/>
          </w:tcPr>
          <w:p>
            <w:pPr>
              <w:spacing w:after="0"/>
            </w:pPr>
            <w:r>
              <w:rPr>
                <w:sz w:val="18"/>
              </w:rPr>
            </w:r>
            <w:r>
              <w:rPr>
                <w:b w:val="0"/>
                <w:sz w:val="18"/>
              </w:rPr>
              <w:t>13. Audit pack created</w:t>
            </w:r>
          </w:p>
        </w:tc>
        <w:tc>
          <w:tcPr>
            <w:tcW w:type="dxa" w:w="3360"/>
            <w:vAlign w:val="top"/>
          </w:tcPr>
          <w:p>
            <w:pPr>
              <w:spacing w:after="0"/>
            </w:pPr>
            <w:r>
              <w:rPr>
                <w:sz w:val="18"/>
              </w:rPr>
            </w:r>
            <w:r>
              <w:rPr>
                <w:b w:val="0"/>
                <w:sz w:val="18"/>
              </w:rPr>
              <w:t>audit_packs, audit_pack_items</w:t>
            </w:r>
          </w:p>
        </w:tc>
        <w:tc>
          <w:tcPr>
            <w:tcW w:type="dxa" w:w="3360"/>
            <w:vAlign w:val="top"/>
          </w:tcPr>
          <w:p>
            <w:pPr>
              <w:spacing w:after="0"/>
            </w:pPr>
            <w:r>
              <w:rPr>
                <w:sz w:val="18"/>
              </w:rPr>
            </w:r>
            <w:r>
              <w:rPr>
                <w:b w:val="0"/>
                <w:sz w:val="18"/>
              </w:rPr>
              <w:t>When audit requests proof, the relevant receipts and evidence snapshots are assembled into a scoped, sealed audit pack.</w:t>
            </w:r>
          </w:p>
        </w:tc>
      </w:tr>
      <w:tr>
        <w:trPr>
          <w:cantSplit/>
        </w:trPr>
        <w:tc>
          <w:tcPr>
            <w:tcW w:type="dxa" w:w="3360"/>
            <w:vAlign w:val="top"/>
          </w:tcPr>
          <w:p>
            <w:pPr>
              <w:spacing w:after="0"/>
            </w:pPr>
            <w:r>
              <w:rPr>
                <w:sz w:val="18"/>
              </w:rPr>
            </w:r>
            <w:r>
              <w:rPr>
                <w:b w:val="0"/>
                <w:sz w:val="18"/>
              </w:rPr>
              <w:t>14. Verification job run</w:t>
            </w:r>
          </w:p>
        </w:tc>
        <w:tc>
          <w:tcPr>
            <w:tcW w:type="dxa" w:w="3360"/>
            <w:vAlign w:val="top"/>
          </w:tcPr>
          <w:p>
            <w:pPr>
              <w:spacing w:after="0"/>
            </w:pPr>
            <w:r>
              <w:rPr>
                <w:sz w:val="18"/>
              </w:rPr>
            </w:r>
            <w:r>
              <w:rPr>
                <w:b w:val="0"/>
                <w:sz w:val="18"/>
              </w:rPr>
              <w:t>verification_jobs</w:t>
            </w:r>
          </w:p>
        </w:tc>
        <w:tc>
          <w:tcPr>
            <w:tcW w:type="dxa" w:w="3360"/>
            <w:vAlign w:val="top"/>
          </w:tcPr>
          <w:p>
            <w:pPr>
              <w:spacing w:after="0"/>
            </w:pPr>
            <w:r>
              <w:rPr>
                <w:sz w:val="18"/>
              </w:rPr>
            </w:r>
            <w:r>
              <w:rPr>
                <w:b w:val="0"/>
                <w:sz w:val="18"/>
              </w:rPr>
              <w:t>The package, receipts, hashes, signatures, batches, and lineage are checked and findings are recorded.</w:t>
            </w:r>
          </w:p>
        </w:tc>
      </w:tr>
    </w:tbl>
    <w:p/>
    <w:p>
      <w:pPr>
        <w:pStyle w:val="Heading1"/>
      </w:pPr>
      <w:r>
        <w:t>Approve Path</w:t>
      </w:r>
    </w:p>
    <w:p>
      <w:r>
        <w:t>If the gate outcome is approve, deployment may proceed. The deployment receipt becomes evidence that the model promotion passed the applicable policy version and deployment gate. The deployment object is linked to the model version, validation evidence, approval state, release artifact, and audit-pack eligibility.</w:t>
      </w:r>
    </w:p>
    <w:p>
      <w:pPr>
        <w:pStyle w:val="Heading1"/>
      </w:pPr>
      <w:r>
        <w:t>Deny Path</w:t>
      </w:r>
    </w:p>
    <w:p>
      <w:r>
        <w:t>If the outcome is deny, deployment does not proceed. The denial is itself a governance success because the system prevented a non-compliant transition. The receipt should preserve attempted action, resource, failed rules, decision reason code, actor, timestamp, and policy context.</w:t>
      </w:r>
    </w:p>
    <w:p>
      <w:pPr>
        <w:pStyle w:val="Heading1"/>
      </w:pPr>
      <w:r>
        <w:t>Escalate Path</w:t>
      </w:r>
    </w:p>
    <w:p>
      <w:r>
        <w:t>If the outcome is escalate, the system should create an escalation event and wait for the required authority or review workflow. The final approval, denial, or override must link back to the original gate evaluation so that the review chain is visible.</w:t>
      </w:r>
    </w:p>
    <w:p>
      <w:pPr>
        <w:pStyle w:val="Heading1"/>
      </w:pPr>
      <w:r>
        <w:t>Inspect Path</w:t>
      </w:r>
    </w:p>
    <w:p>
      <w:r>
        <w:t>If the outcome is inspect, the action may be paused, sampled, or allowed under enhanced materialization. This is where LCM is useful: the system can create a lightweight receipt by default but materialize a fuller capsule when inspection conditions are present.</w:t>
      </w:r>
    </w:p>
    <w:p>
      <w:pPr>
        <w:pStyle w:val="Heading1"/>
      </w:pPr>
      <w:r>
        <w:t>Example Evidence Package Contents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Audit pack section</w:t>
            </w:r>
          </w:p>
        </w:tc>
        <w:tc>
          <w:tcPr>
            <w:tcW w:type="dxa" w:w="5040"/>
            <w:shd w:fill="D9EAF7"/>
            <w:vAlign w:val="center"/>
          </w:tcPr>
          <w:p>
            <w:pPr>
              <w:spacing w:after="0"/>
            </w:pPr>
            <w:r>
              <w:rPr>
                <w:sz w:val="18"/>
              </w:rPr>
            </w:r>
            <w:r>
              <w:rPr>
                <w:b/>
                <w:sz w:val="18"/>
              </w:rPr>
              <w:t>Included items</w:t>
            </w:r>
          </w:p>
        </w:tc>
      </w:tr>
      <w:tr>
        <w:trPr>
          <w:cantSplit/>
        </w:trPr>
        <w:tc>
          <w:tcPr>
            <w:tcW w:type="dxa" w:w="5040"/>
            <w:vAlign w:val="top"/>
          </w:tcPr>
          <w:p>
            <w:pPr>
              <w:spacing w:after="0"/>
            </w:pPr>
            <w:r>
              <w:rPr>
                <w:sz w:val="18"/>
              </w:rPr>
            </w:r>
            <w:r>
              <w:rPr>
                <w:b w:val="0"/>
                <w:sz w:val="18"/>
              </w:rPr>
              <w:t>Scope manifest</w:t>
            </w:r>
          </w:p>
        </w:tc>
        <w:tc>
          <w:tcPr>
            <w:tcW w:type="dxa" w:w="5040"/>
            <w:vAlign w:val="top"/>
          </w:tcPr>
          <w:p>
            <w:pPr>
              <w:spacing w:after="0"/>
            </w:pPr>
            <w:r>
              <w:rPr>
                <w:sz w:val="18"/>
              </w:rPr>
            </w:r>
            <w:r>
              <w:rPr>
                <w:b w:val="0"/>
                <w:sz w:val="18"/>
              </w:rPr>
              <w:t>Model version, date range, policy version, gate definition, requestor, pack hash.</w:t>
            </w:r>
          </w:p>
        </w:tc>
      </w:tr>
      <w:tr>
        <w:trPr>
          <w:cantSplit/>
        </w:trPr>
        <w:tc>
          <w:tcPr>
            <w:tcW w:type="dxa" w:w="5040"/>
            <w:vAlign w:val="top"/>
          </w:tcPr>
          <w:p>
            <w:pPr>
              <w:spacing w:after="0"/>
            </w:pPr>
            <w:r>
              <w:rPr>
                <w:sz w:val="18"/>
              </w:rPr>
            </w:r>
            <w:r>
              <w:rPr>
                <w:b w:val="0"/>
                <w:sz w:val="18"/>
              </w:rPr>
              <w:t>Policy evidence</w:t>
            </w:r>
          </w:p>
        </w:tc>
        <w:tc>
          <w:tcPr>
            <w:tcW w:type="dxa" w:w="5040"/>
            <w:vAlign w:val="top"/>
          </w:tcPr>
          <w:p>
            <w:pPr>
              <w:spacing w:after="0"/>
            </w:pPr>
            <w:r>
              <w:rPr>
                <w:sz w:val="18"/>
              </w:rPr>
            </w:r>
            <w:r>
              <w:rPr>
                <w:b w:val="0"/>
                <w:sz w:val="18"/>
              </w:rPr>
              <w:t>policy_version snapshot, policy_rules, policy_evaluations.</w:t>
            </w:r>
          </w:p>
        </w:tc>
      </w:tr>
      <w:tr>
        <w:trPr>
          <w:cantSplit/>
        </w:trPr>
        <w:tc>
          <w:tcPr>
            <w:tcW w:type="dxa" w:w="5040"/>
            <w:vAlign w:val="top"/>
          </w:tcPr>
          <w:p>
            <w:pPr>
              <w:spacing w:after="0"/>
            </w:pPr>
            <w:r>
              <w:rPr>
                <w:sz w:val="18"/>
              </w:rPr>
            </w:r>
            <w:r>
              <w:rPr>
                <w:b w:val="0"/>
                <w:sz w:val="18"/>
              </w:rPr>
              <w:t>Gate evidence</w:t>
            </w:r>
          </w:p>
        </w:tc>
        <w:tc>
          <w:tcPr>
            <w:tcW w:type="dxa" w:w="5040"/>
            <w:vAlign w:val="top"/>
          </w:tcPr>
          <w:p>
            <w:pPr>
              <w:spacing w:after="0"/>
            </w:pPr>
            <w:r>
              <w:rPr>
                <w:sz w:val="18"/>
              </w:rPr>
            </w:r>
            <w:r>
              <w:rPr>
                <w:b w:val="0"/>
                <w:sz w:val="18"/>
              </w:rPr>
              <w:t>gate_definition, gate_evaluation, outcome, overrides if any.</w:t>
            </w:r>
          </w:p>
        </w:tc>
      </w:tr>
      <w:tr>
        <w:trPr>
          <w:cantSplit/>
        </w:trPr>
        <w:tc>
          <w:tcPr>
            <w:tcW w:type="dxa" w:w="5040"/>
            <w:vAlign w:val="top"/>
          </w:tcPr>
          <w:p>
            <w:pPr>
              <w:spacing w:after="0"/>
            </w:pPr>
            <w:r>
              <w:rPr>
                <w:sz w:val="18"/>
              </w:rPr>
            </w:r>
            <w:r>
              <w:rPr>
                <w:b w:val="0"/>
                <w:sz w:val="18"/>
              </w:rPr>
              <w:t>Lifecycle evidence</w:t>
            </w:r>
          </w:p>
        </w:tc>
        <w:tc>
          <w:tcPr>
            <w:tcW w:type="dxa" w:w="5040"/>
            <w:vAlign w:val="top"/>
          </w:tcPr>
          <w:p>
            <w:pPr>
              <w:spacing w:after="0"/>
            </w:pPr>
            <w:r>
              <w:rPr>
                <w:sz w:val="18"/>
              </w:rPr>
            </w:r>
            <w:r>
              <w:rPr>
                <w:b w:val="0"/>
                <w:sz w:val="18"/>
              </w:rPr>
              <w:t>ai_lifecycle_objects and object links for dataset, training, validation, model, deployment artifact.</w:t>
            </w:r>
          </w:p>
        </w:tc>
      </w:tr>
      <w:tr>
        <w:trPr>
          <w:cantSplit/>
        </w:trPr>
        <w:tc>
          <w:tcPr>
            <w:tcW w:type="dxa" w:w="5040"/>
            <w:vAlign w:val="top"/>
          </w:tcPr>
          <w:p>
            <w:pPr>
              <w:spacing w:after="0"/>
            </w:pPr>
            <w:r>
              <w:rPr>
                <w:sz w:val="18"/>
              </w:rPr>
            </w:r>
            <w:r>
              <w:rPr>
                <w:b w:val="0"/>
                <w:sz w:val="18"/>
              </w:rPr>
              <w:t>Receipt evidence</w:t>
            </w:r>
          </w:p>
        </w:tc>
        <w:tc>
          <w:tcPr>
            <w:tcW w:type="dxa" w:w="5040"/>
            <w:vAlign w:val="top"/>
          </w:tcPr>
          <w:p>
            <w:pPr>
              <w:spacing w:after="0"/>
            </w:pPr>
            <w:r>
              <w:rPr>
                <w:sz w:val="18"/>
              </w:rPr>
            </w:r>
            <w:r>
              <w:rPr>
                <w:b w:val="0"/>
                <w:sz w:val="18"/>
              </w:rPr>
              <w:t>deployment receipt, validation receipt, approval receipt, denial/escalation receipts if relevant.</w:t>
            </w:r>
          </w:p>
        </w:tc>
      </w:tr>
      <w:tr>
        <w:trPr>
          <w:cantSplit/>
        </w:trPr>
        <w:tc>
          <w:tcPr>
            <w:tcW w:type="dxa" w:w="5040"/>
            <w:vAlign w:val="top"/>
          </w:tcPr>
          <w:p>
            <w:pPr>
              <w:spacing w:after="0"/>
            </w:pPr>
            <w:r>
              <w:rPr>
                <w:sz w:val="18"/>
              </w:rPr>
            </w:r>
            <w:r>
              <w:rPr>
                <w:b w:val="0"/>
                <w:sz w:val="18"/>
              </w:rPr>
              <w:t>Custody evidence</w:t>
            </w:r>
          </w:p>
        </w:tc>
        <w:tc>
          <w:tcPr>
            <w:tcW w:type="dxa" w:w="5040"/>
            <w:vAlign w:val="top"/>
          </w:tcPr>
          <w:p>
            <w:pPr>
              <w:spacing w:after="0"/>
            </w:pPr>
            <w:r>
              <w:rPr>
                <w:sz w:val="18"/>
              </w:rPr>
            </w:r>
            <w:r>
              <w:rPr>
                <w:b w:val="0"/>
                <w:sz w:val="18"/>
              </w:rPr>
              <w:t>evidence_objects, vault_objects, receipt batches, Merkle proofs.</w:t>
            </w:r>
          </w:p>
        </w:tc>
      </w:tr>
      <w:tr>
        <w:trPr>
          <w:cantSplit/>
        </w:trPr>
        <w:tc>
          <w:tcPr>
            <w:tcW w:type="dxa" w:w="5040"/>
            <w:vAlign w:val="top"/>
          </w:tcPr>
          <w:p>
            <w:pPr>
              <w:spacing w:after="0"/>
            </w:pPr>
            <w:r>
              <w:rPr>
                <w:sz w:val="18"/>
              </w:rPr>
            </w:r>
            <w:r>
              <w:rPr>
                <w:b w:val="0"/>
                <w:sz w:val="18"/>
              </w:rPr>
              <w:t>Verification evidence</w:t>
            </w:r>
          </w:p>
        </w:tc>
        <w:tc>
          <w:tcPr>
            <w:tcW w:type="dxa" w:w="5040"/>
            <w:vAlign w:val="top"/>
          </w:tcPr>
          <w:p>
            <w:pPr>
              <w:spacing w:after="0"/>
            </w:pPr>
            <w:r>
              <w:rPr>
                <w:sz w:val="18"/>
              </w:rPr>
            </w:r>
            <w:r>
              <w:rPr>
                <w:b w:val="0"/>
                <w:sz w:val="18"/>
              </w:rPr>
              <w:t>verification_job result, findings, warnings, errors.</w:t>
            </w:r>
          </w:p>
        </w:tc>
      </w:tr>
    </w:tbl>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