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AGEI Assurance Profiles</w:t>
      </w:r>
    </w:p>
    <w:p>
      <w:pPr>
        <w:jc w:val="center"/>
      </w:pPr>
      <w:r>
        <w:rPr>
          <w:i/>
          <w:sz w:val="24"/>
        </w:rPr>
        <w:t>Evidence Strength Levels for Internal, Regulated, and Forensic Use</w:t>
      </w:r>
    </w:p>
    <w:p>
      <w:pPr>
        <w:jc w:val="center"/>
      </w:pPr>
      <w:r>
        <w:rPr>
          <w:i/>
        </w:rPr>
        <w:t>Denzil Greenwood | CognitiveInsight.ai | April 2026</w:t>
      </w:r>
    </w:p>
    <w:p/>
    <w:p>
      <w:pPr>
        <w:pStyle w:val="Heading1"/>
      </w:pPr>
      <w:r>
        <w:t>Abstract</w:t>
      </w:r>
    </w:p>
    <w:p>
      <w:r>
        <w:t>Not all evidence has the same assurance value. This document defines practical assurance profiles that help customers, auditors, and implementers understand what kind of proof a receipt, evidence object, audit pack, or vault package meaningfully supports.</w:t>
      </w:r>
    </w:p>
    <w:p>
      <w:pPr>
        <w:pStyle w:val="Heading1"/>
      </w:pPr>
      <w:r>
        <w:t>1. Why Assurance Profiles Matter</w:t>
      </w:r>
    </w:p>
    <w:p>
      <w:r>
        <w:t>A dashboard screenshot, a database row, a signed receipt, and a Merkle-batched vault object do not carry the same evidentiary strength. AGEI should make proof strength explicit. This helps avoid overclaiming and gives buyers a maturity path from internal governance to regulator-ready and dispute-ready evidence.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D9EAF7"/>
            <w:vAlign w:val="center"/>
          </w:tcPr>
          <w:p>
            <w:pPr>
              <w:spacing w:after="0"/>
            </w:pPr>
            <w:r>
              <w:rPr>
                <w:sz w:val="18"/>
              </w:rPr>
            </w:r>
            <w:r>
              <w:rPr>
                <w:b/>
                <w:sz w:val="18"/>
              </w:rPr>
              <w:t>Profile</w:t>
            </w:r>
          </w:p>
        </w:tc>
        <w:tc>
          <w:tcPr>
            <w:tcW w:type="dxa" w:w="3360"/>
            <w:shd w:fill="D9EAF7"/>
            <w:vAlign w:val="center"/>
          </w:tcPr>
          <w:p>
            <w:pPr>
              <w:spacing w:after="0"/>
            </w:pPr>
            <w:r>
              <w:rPr>
                <w:sz w:val="18"/>
              </w:rPr>
            </w:r>
            <w:r>
              <w:rPr>
                <w:b/>
                <w:sz w:val="18"/>
              </w:rPr>
              <w:t>Use case</w:t>
            </w:r>
          </w:p>
        </w:tc>
        <w:tc>
          <w:tcPr>
            <w:tcW w:type="dxa" w:w="3360"/>
            <w:shd w:fill="D9EAF7"/>
            <w:vAlign w:val="center"/>
          </w:tcPr>
          <w:p>
            <w:pPr>
              <w:spacing w:after="0"/>
            </w:pPr>
            <w:r>
              <w:rPr>
                <w:sz w:val="18"/>
              </w:rPr>
            </w:r>
            <w:r>
              <w:rPr>
                <w:b/>
                <w:sz w:val="18"/>
              </w:rPr>
              <w:t>Evidence strength</w:t>
            </w:r>
          </w:p>
        </w:tc>
      </w:tr>
      <w:tr>
        <w:trPr>
          <w:cantSplit/>
        </w:trPr>
        <w:tc>
          <w:tcPr>
            <w:tcW w:type="dxa" w:w="3360"/>
            <w:vAlign w:val="top"/>
          </w:tcPr>
          <w:p>
            <w:pPr>
              <w:spacing w:after="0"/>
            </w:pPr>
            <w:r>
              <w:rPr>
                <w:sz w:val="18"/>
              </w:rPr>
            </w:r>
            <w:r>
              <w:rPr>
                <w:b w:val="0"/>
                <w:sz w:val="18"/>
              </w:rPr>
              <w:t>Profile 1 - Internal Evidence</w:t>
            </w:r>
          </w:p>
        </w:tc>
        <w:tc>
          <w:tcPr>
            <w:tcW w:type="dxa" w:w="3360"/>
            <w:vAlign w:val="top"/>
          </w:tcPr>
          <w:p>
            <w:pPr>
              <w:spacing w:after="0"/>
            </w:pPr>
            <w:r>
              <w:rPr>
                <w:sz w:val="18"/>
              </w:rPr>
            </w:r>
            <w:r>
              <w:rPr>
                <w:b w:val="0"/>
                <w:sz w:val="18"/>
              </w:rPr>
              <w:t>Internal operations, early pilots, lightweight governance posture.</w:t>
            </w:r>
          </w:p>
        </w:tc>
        <w:tc>
          <w:tcPr>
            <w:tcW w:type="dxa" w:w="3360"/>
            <w:vAlign w:val="top"/>
          </w:tcPr>
          <w:p>
            <w:pPr>
              <w:spacing w:after="0"/>
            </w:pPr>
            <w:r>
              <w:rPr>
                <w:sz w:val="18"/>
              </w:rPr>
            </w:r>
            <w:r>
              <w:rPr>
                <w:b w:val="0"/>
                <w:sz w:val="18"/>
              </w:rPr>
              <w:t>Good operational accountability but limited external verification.</w:t>
            </w:r>
          </w:p>
        </w:tc>
      </w:tr>
      <w:tr>
        <w:trPr>
          <w:cantSplit/>
        </w:trPr>
        <w:tc>
          <w:tcPr>
            <w:tcW w:type="dxa" w:w="3360"/>
            <w:vAlign w:val="top"/>
          </w:tcPr>
          <w:p>
            <w:pPr>
              <w:spacing w:after="0"/>
            </w:pPr>
            <w:r>
              <w:rPr>
                <w:sz w:val="18"/>
              </w:rPr>
            </w:r>
            <w:r>
              <w:rPr>
                <w:b w:val="0"/>
                <w:sz w:val="18"/>
              </w:rPr>
              <w:t>Profile 2 - Regulated Evidence</w:t>
            </w:r>
          </w:p>
        </w:tc>
        <w:tc>
          <w:tcPr>
            <w:tcW w:type="dxa" w:w="3360"/>
            <w:vAlign w:val="top"/>
          </w:tcPr>
          <w:p>
            <w:pPr>
              <w:spacing w:after="0"/>
            </w:pPr>
            <w:r>
              <w:rPr>
                <w:sz w:val="18"/>
              </w:rPr>
            </w:r>
            <w:r>
              <w:rPr>
                <w:b w:val="0"/>
                <w:sz w:val="18"/>
              </w:rPr>
              <w:t>Audit readiness, policy-driven lifecycle controls, customer assurance.</w:t>
            </w:r>
          </w:p>
        </w:tc>
        <w:tc>
          <w:tcPr>
            <w:tcW w:type="dxa" w:w="3360"/>
            <w:vAlign w:val="top"/>
          </w:tcPr>
          <w:p>
            <w:pPr>
              <w:spacing w:after="0"/>
            </w:pPr>
            <w:r>
              <w:rPr>
                <w:sz w:val="18"/>
              </w:rPr>
            </w:r>
            <w:r>
              <w:rPr>
                <w:b w:val="0"/>
                <w:sz w:val="18"/>
              </w:rPr>
              <w:t>Strong traceability, signed receipts, gate linkage, audit-pack support.</w:t>
            </w:r>
          </w:p>
        </w:tc>
      </w:tr>
      <w:tr>
        <w:trPr>
          <w:cantSplit/>
        </w:trPr>
        <w:tc>
          <w:tcPr>
            <w:tcW w:type="dxa" w:w="3360"/>
            <w:vAlign w:val="top"/>
          </w:tcPr>
          <w:p>
            <w:pPr>
              <w:spacing w:after="0"/>
            </w:pPr>
            <w:r>
              <w:rPr>
                <w:sz w:val="18"/>
              </w:rPr>
            </w:r>
            <w:r>
              <w:rPr>
                <w:b w:val="0"/>
                <w:sz w:val="18"/>
              </w:rPr>
              <w:t>Profile 3 - Forensic Evidence</w:t>
            </w:r>
          </w:p>
        </w:tc>
        <w:tc>
          <w:tcPr>
            <w:tcW w:type="dxa" w:w="3360"/>
            <w:vAlign w:val="top"/>
          </w:tcPr>
          <w:p>
            <w:pPr>
              <w:spacing w:after="0"/>
            </w:pPr>
            <w:r>
              <w:rPr>
                <w:sz w:val="18"/>
              </w:rPr>
            </w:r>
            <w:r>
              <w:rPr>
                <w:b w:val="0"/>
                <w:sz w:val="18"/>
              </w:rPr>
              <w:t>Disputes, legal review, regulator inquiry, third-party verification.</w:t>
            </w:r>
          </w:p>
        </w:tc>
        <w:tc>
          <w:tcPr>
            <w:tcW w:type="dxa" w:w="3360"/>
            <w:vAlign w:val="top"/>
          </w:tcPr>
          <w:p>
            <w:pPr>
              <w:spacing w:after="0"/>
            </w:pPr>
            <w:r>
              <w:rPr>
                <w:sz w:val="18"/>
              </w:rPr>
            </w:r>
            <w:r>
              <w:rPr>
                <w:b w:val="0"/>
                <w:sz w:val="18"/>
              </w:rPr>
              <w:t>Highest integrity, sealed vault objects, Merkle proofs, verification jobs, legal hold support.</w:t>
            </w:r>
          </w:p>
        </w:tc>
      </w:tr>
    </w:tbl>
    <w:p/>
    <w:p>
      <w:pPr>
        <w:pStyle w:val="Heading1"/>
      </w:pPr>
      <w:r>
        <w:t>2. Profile 1 - Internal Evidence</w:t>
      </w:r>
    </w:p>
    <w:p>
      <w:r>
        <w:t>This profile is suitable for organizations beginning to operationalize AI governance. It emphasizes structured capture, policy/gate visibility, and basic evidence retrieval without requiring full external verification.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pPr>
              <w:spacing w:after="0"/>
            </w:pPr>
            <w:r>
              <w:rPr>
                <w:sz w:val="18"/>
              </w:rPr>
            </w:r>
            <w:r>
              <w:rPr>
                <w:b/>
                <w:sz w:val="18"/>
              </w:rPr>
              <w:t>Capability</w:t>
            </w:r>
          </w:p>
        </w:tc>
        <w:tc>
          <w:tcPr>
            <w:tcW w:type="dxa" w:w="5040"/>
            <w:shd w:fill="D9EAF7"/>
            <w:vAlign w:val="center"/>
          </w:tcPr>
          <w:p>
            <w:pPr>
              <w:spacing w:after="0"/>
            </w:pPr>
            <w:r>
              <w:rPr>
                <w:sz w:val="18"/>
              </w:rPr>
            </w:r>
            <w:r>
              <w:rPr>
                <w:b/>
                <w:sz w:val="18"/>
              </w:rPr>
              <w:t>Minimum expectation</w:t>
            </w:r>
          </w:p>
        </w:tc>
      </w:tr>
      <w:tr>
        <w:trPr>
          <w:cantSplit/>
        </w:trPr>
        <w:tc>
          <w:tcPr>
            <w:tcW w:type="dxa" w:w="5040"/>
            <w:vAlign w:val="top"/>
          </w:tcPr>
          <w:p>
            <w:pPr>
              <w:spacing w:after="0"/>
            </w:pPr>
            <w:r>
              <w:rPr>
                <w:sz w:val="18"/>
              </w:rPr>
            </w:r>
            <w:r>
              <w:rPr>
                <w:b w:val="0"/>
                <w:sz w:val="18"/>
              </w:rPr>
              <w:t>Policy structure</w:t>
            </w:r>
          </w:p>
        </w:tc>
        <w:tc>
          <w:tcPr>
            <w:tcW w:type="dxa" w:w="5040"/>
            <w:vAlign w:val="top"/>
          </w:tcPr>
          <w:p>
            <w:pPr>
              <w:spacing w:after="0"/>
            </w:pPr>
            <w:r>
              <w:rPr>
                <w:sz w:val="18"/>
              </w:rPr>
            </w:r>
            <w:r>
              <w:rPr>
                <w:b w:val="0"/>
                <w:sz w:val="18"/>
              </w:rPr>
              <w:t>policy_sets, policy_versions, and policy_rules exist for governed use cases.</w:t>
            </w:r>
          </w:p>
        </w:tc>
      </w:tr>
      <w:tr>
        <w:trPr>
          <w:cantSplit/>
        </w:trPr>
        <w:tc>
          <w:tcPr>
            <w:tcW w:type="dxa" w:w="5040"/>
            <w:vAlign w:val="top"/>
          </w:tcPr>
          <w:p>
            <w:pPr>
              <w:spacing w:after="0"/>
            </w:pPr>
            <w:r>
              <w:rPr>
                <w:sz w:val="18"/>
              </w:rPr>
            </w:r>
            <w:r>
              <w:rPr>
                <w:b w:val="0"/>
                <w:sz w:val="18"/>
              </w:rPr>
              <w:t>Gate outcomes</w:t>
            </w:r>
          </w:p>
        </w:tc>
        <w:tc>
          <w:tcPr>
            <w:tcW w:type="dxa" w:w="5040"/>
            <w:vAlign w:val="top"/>
          </w:tcPr>
          <w:p>
            <w:pPr>
              <w:spacing w:after="0"/>
            </w:pPr>
            <w:r>
              <w:rPr>
                <w:sz w:val="18"/>
              </w:rPr>
            </w:r>
            <w:r>
              <w:rPr>
                <w:b w:val="0"/>
                <w:sz w:val="18"/>
              </w:rPr>
              <w:t>gate_evaluations are recorded for key lifecycle transitions.</w:t>
            </w:r>
          </w:p>
        </w:tc>
      </w:tr>
      <w:tr>
        <w:trPr>
          <w:cantSplit/>
        </w:trPr>
        <w:tc>
          <w:tcPr>
            <w:tcW w:type="dxa" w:w="5040"/>
            <w:vAlign w:val="top"/>
          </w:tcPr>
          <w:p>
            <w:pPr>
              <w:spacing w:after="0"/>
            </w:pPr>
            <w:r>
              <w:rPr>
                <w:sz w:val="18"/>
              </w:rPr>
            </w:r>
            <w:r>
              <w:rPr>
                <w:b w:val="0"/>
                <w:sz w:val="18"/>
              </w:rPr>
              <w:t>Receipts</w:t>
            </w:r>
          </w:p>
        </w:tc>
        <w:tc>
          <w:tcPr>
            <w:tcW w:type="dxa" w:w="5040"/>
            <w:vAlign w:val="top"/>
          </w:tcPr>
          <w:p>
            <w:pPr>
              <w:spacing w:after="0"/>
            </w:pPr>
            <w:r>
              <w:rPr>
                <w:sz w:val="18"/>
              </w:rPr>
            </w:r>
            <w:r>
              <w:rPr>
                <w:b w:val="0"/>
                <w:sz w:val="18"/>
              </w:rPr>
              <w:t>receipts are generated with content_hash, hash_algorithm, and canonicalization_version.</w:t>
            </w:r>
          </w:p>
        </w:tc>
      </w:tr>
      <w:tr>
        <w:trPr>
          <w:cantSplit/>
        </w:trPr>
        <w:tc>
          <w:tcPr>
            <w:tcW w:type="dxa" w:w="5040"/>
            <w:vAlign w:val="top"/>
          </w:tcPr>
          <w:p>
            <w:pPr>
              <w:spacing w:after="0"/>
            </w:pPr>
            <w:r>
              <w:rPr>
                <w:sz w:val="18"/>
              </w:rPr>
            </w:r>
            <w:r>
              <w:rPr>
                <w:b w:val="0"/>
                <w:sz w:val="18"/>
              </w:rPr>
              <w:t>Evidence objects</w:t>
            </w:r>
          </w:p>
        </w:tc>
        <w:tc>
          <w:tcPr>
            <w:tcW w:type="dxa" w:w="5040"/>
            <w:vAlign w:val="top"/>
          </w:tcPr>
          <w:p>
            <w:pPr>
              <w:spacing w:after="0"/>
            </w:pPr>
            <w:r>
              <w:rPr>
                <w:sz w:val="18"/>
              </w:rPr>
            </w:r>
            <w:r>
              <w:rPr>
                <w:b w:val="0"/>
                <w:sz w:val="18"/>
              </w:rPr>
              <w:t>supporting evidence is stored or referenced.</w:t>
            </w:r>
          </w:p>
        </w:tc>
      </w:tr>
      <w:tr>
        <w:trPr>
          <w:cantSplit/>
        </w:trPr>
        <w:tc>
          <w:tcPr>
            <w:tcW w:type="dxa" w:w="5040"/>
            <w:vAlign w:val="top"/>
          </w:tcPr>
          <w:p>
            <w:pPr>
              <w:spacing w:after="0"/>
            </w:pPr>
            <w:r>
              <w:rPr>
                <w:sz w:val="18"/>
              </w:rPr>
            </w:r>
            <w:r>
              <w:rPr>
                <w:b w:val="0"/>
                <w:sz w:val="18"/>
              </w:rPr>
              <w:t>Lineage</w:t>
            </w:r>
          </w:p>
        </w:tc>
        <w:tc>
          <w:tcPr>
            <w:tcW w:type="dxa" w:w="5040"/>
            <w:vAlign w:val="top"/>
          </w:tcPr>
          <w:p>
            <w:pPr>
              <w:spacing w:after="0"/>
            </w:pPr>
            <w:r>
              <w:rPr>
                <w:sz w:val="18"/>
              </w:rPr>
            </w:r>
            <w:r>
              <w:rPr>
                <w:b w:val="0"/>
                <w:sz w:val="18"/>
              </w:rPr>
              <w:t>receipt_links or ai_lifecycle_object_links connect core objects.</w:t>
            </w:r>
          </w:p>
        </w:tc>
      </w:tr>
    </w:tbl>
    <w:p/>
    <w:p>
      <w:pPr>
        <w:pStyle w:val="Heading1"/>
      </w:pPr>
      <w:r>
        <w:t>3. Profile 2 - Regulated Evidence</w:t>
      </w:r>
    </w:p>
    <w:p>
      <w:r>
        <w:t>This profile is appropriate for audit, compliance, procurement, and regulated enterprise settings. It requires stronger signature, lineage, and audit-pack practices.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pPr>
              <w:spacing w:after="0"/>
            </w:pPr>
            <w:r>
              <w:rPr>
                <w:sz w:val="18"/>
              </w:rPr>
            </w:r>
            <w:r>
              <w:rPr>
                <w:b/>
                <w:sz w:val="18"/>
              </w:rPr>
              <w:t>Capability</w:t>
            </w:r>
          </w:p>
        </w:tc>
        <w:tc>
          <w:tcPr>
            <w:tcW w:type="dxa" w:w="5040"/>
            <w:shd w:fill="D9EAF7"/>
            <w:vAlign w:val="center"/>
          </w:tcPr>
          <w:p>
            <w:pPr>
              <w:spacing w:after="0"/>
            </w:pPr>
            <w:r>
              <w:rPr>
                <w:sz w:val="18"/>
              </w:rPr>
            </w:r>
            <w:r>
              <w:rPr>
                <w:b/>
                <w:sz w:val="18"/>
              </w:rPr>
              <w:t>Minimum expectation</w:t>
            </w:r>
          </w:p>
        </w:tc>
      </w:tr>
      <w:tr>
        <w:trPr>
          <w:cantSplit/>
        </w:trPr>
        <w:tc>
          <w:tcPr>
            <w:tcW w:type="dxa" w:w="5040"/>
            <w:vAlign w:val="top"/>
          </w:tcPr>
          <w:p>
            <w:pPr>
              <w:spacing w:after="0"/>
            </w:pPr>
            <w:r>
              <w:rPr>
                <w:sz w:val="18"/>
              </w:rPr>
            </w:r>
            <w:r>
              <w:rPr>
                <w:b w:val="0"/>
                <w:sz w:val="18"/>
              </w:rPr>
              <w:t>Policy/gate linkage</w:t>
            </w:r>
          </w:p>
        </w:tc>
        <w:tc>
          <w:tcPr>
            <w:tcW w:type="dxa" w:w="5040"/>
            <w:vAlign w:val="top"/>
          </w:tcPr>
          <w:p>
            <w:pPr>
              <w:spacing w:after="0"/>
            </w:pPr>
            <w:r>
              <w:rPr>
                <w:sz w:val="18"/>
              </w:rPr>
            </w:r>
            <w:r>
              <w:rPr>
                <w:b w:val="0"/>
                <w:sz w:val="18"/>
              </w:rPr>
              <w:t>Every governed receipt links to policy_version_id and gate_evaluation_id where applicable.</w:t>
            </w:r>
          </w:p>
        </w:tc>
      </w:tr>
      <w:tr>
        <w:trPr>
          <w:cantSplit/>
        </w:trPr>
        <w:tc>
          <w:tcPr>
            <w:tcW w:type="dxa" w:w="5040"/>
            <w:vAlign w:val="top"/>
          </w:tcPr>
          <w:p>
            <w:pPr>
              <w:spacing w:after="0"/>
            </w:pPr>
            <w:r>
              <w:rPr>
                <w:sz w:val="18"/>
              </w:rPr>
            </w:r>
            <w:r>
              <w:rPr>
                <w:b w:val="0"/>
                <w:sz w:val="18"/>
              </w:rPr>
              <w:t>Signatures</w:t>
            </w:r>
          </w:p>
        </w:tc>
        <w:tc>
          <w:tcPr>
            <w:tcW w:type="dxa" w:w="5040"/>
            <w:vAlign w:val="top"/>
          </w:tcPr>
          <w:p>
            <w:pPr>
              <w:spacing w:after="0"/>
            </w:pPr>
            <w:r>
              <w:rPr>
                <w:sz w:val="18"/>
              </w:rPr>
            </w:r>
            <w:r>
              <w:rPr>
                <w:b w:val="0"/>
                <w:sz w:val="18"/>
              </w:rPr>
              <w:t>receipts carry signature, signature_algorithm, signed_by, and signed_at fields when external review matters.</w:t>
            </w:r>
          </w:p>
        </w:tc>
      </w:tr>
      <w:tr>
        <w:trPr>
          <w:cantSplit/>
        </w:trPr>
        <w:tc>
          <w:tcPr>
            <w:tcW w:type="dxa" w:w="5040"/>
            <w:vAlign w:val="top"/>
          </w:tcPr>
          <w:p>
            <w:pPr>
              <w:spacing w:after="0"/>
            </w:pPr>
            <w:r>
              <w:rPr>
                <w:sz w:val="18"/>
              </w:rPr>
            </w:r>
            <w:r>
              <w:rPr>
                <w:b w:val="0"/>
                <w:sz w:val="18"/>
              </w:rPr>
              <w:t>Evidence payloads</w:t>
            </w:r>
          </w:p>
        </w:tc>
        <w:tc>
          <w:tcPr>
            <w:tcW w:type="dxa" w:w="5040"/>
            <w:vAlign w:val="top"/>
          </w:tcPr>
          <w:p>
            <w:pPr>
              <w:spacing w:after="0"/>
            </w:pPr>
            <w:r>
              <w:rPr>
                <w:sz w:val="18"/>
              </w:rPr>
            </w:r>
            <w:r>
              <w:rPr>
                <w:b w:val="0"/>
                <w:sz w:val="18"/>
              </w:rPr>
              <w:t>evidence_objects include schema_version_id, content_hash, canonicalization_version, and storage hashes when artifacts are externalized.</w:t>
            </w:r>
          </w:p>
        </w:tc>
      </w:tr>
      <w:tr>
        <w:trPr>
          <w:cantSplit/>
        </w:trPr>
        <w:tc>
          <w:tcPr>
            <w:tcW w:type="dxa" w:w="5040"/>
            <w:vAlign w:val="top"/>
          </w:tcPr>
          <w:p>
            <w:pPr>
              <w:spacing w:after="0"/>
            </w:pPr>
            <w:r>
              <w:rPr>
                <w:sz w:val="18"/>
              </w:rPr>
            </w:r>
            <w:r>
              <w:rPr>
                <w:b w:val="0"/>
                <w:sz w:val="18"/>
              </w:rPr>
              <w:t>Audit packs</w:t>
            </w:r>
          </w:p>
        </w:tc>
        <w:tc>
          <w:tcPr>
            <w:tcW w:type="dxa" w:w="5040"/>
            <w:vAlign w:val="top"/>
          </w:tcPr>
          <w:p>
            <w:pPr>
              <w:spacing w:after="0"/>
            </w:pPr>
            <w:r>
              <w:rPr>
                <w:sz w:val="18"/>
              </w:rPr>
            </w:r>
            <w:r>
              <w:rPr>
                <w:b w:val="0"/>
                <w:sz w:val="18"/>
              </w:rPr>
              <w:t>audit_packs and audit_pack_items assemble deterministic review packages.</w:t>
            </w:r>
          </w:p>
        </w:tc>
      </w:tr>
      <w:tr>
        <w:trPr>
          <w:cantSplit/>
        </w:trPr>
        <w:tc>
          <w:tcPr>
            <w:tcW w:type="dxa" w:w="5040"/>
            <w:vAlign w:val="top"/>
          </w:tcPr>
          <w:p>
            <w:pPr>
              <w:spacing w:after="0"/>
            </w:pPr>
            <w:r>
              <w:rPr>
                <w:sz w:val="18"/>
              </w:rPr>
            </w:r>
            <w:r>
              <w:rPr>
                <w:b w:val="0"/>
                <w:sz w:val="18"/>
              </w:rPr>
              <w:t>Verification</w:t>
            </w:r>
          </w:p>
        </w:tc>
        <w:tc>
          <w:tcPr>
            <w:tcW w:type="dxa" w:w="5040"/>
            <w:vAlign w:val="top"/>
          </w:tcPr>
          <w:p>
            <w:pPr>
              <w:spacing w:after="0"/>
            </w:pPr>
            <w:r>
              <w:rPr>
                <w:sz w:val="18"/>
              </w:rPr>
            </w:r>
            <w:r>
              <w:rPr>
                <w:b w:val="0"/>
                <w:sz w:val="18"/>
              </w:rPr>
              <w:t>verification_jobs can validate package integrity and identify warnings/errors.</w:t>
            </w:r>
          </w:p>
        </w:tc>
      </w:tr>
    </w:tbl>
    <w:p/>
    <w:p>
      <w:pPr>
        <w:pStyle w:val="Heading1"/>
      </w:pPr>
      <w:r>
        <w:t>4. Profile 3 - Forensic Evidence</w:t>
      </w:r>
    </w:p>
    <w:p>
      <w:r>
        <w:t>This profile supports contested, adversarial, or legally sensitive use. It should be used where evidence may need to withstand skeptical external review, chain-of-custody scrutiny, or dispute resolution.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pPr>
              <w:spacing w:after="0"/>
            </w:pPr>
            <w:r>
              <w:rPr>
                <w:sz w:val="18"/>
              </w:rPr>
            </w:r>
            <w:r>
              <w:rPr>
                <w:b/>
                <w:sz w:val="18"/>
              </w:rPr>
              <w:t>Capability</w:t>
            </w:r>
          </w:p>
        </w:tc>
        <w:tc>
          <w:tcPr>
            <w:tcW w:type="dxa" w:w="5040"/>
            <w:shd w:fill="D9EAF7"/>
            <w:vAlign w:val="center"/>
          </w:tcPr>
          <w:p>
            <w:pPr>
              <w:spacing w:after="0"/>
            </w:pPr>
            <w:r>
              <w:rPr>
                <w:sz w:val="18"/>
              </w:rPr>
            </w:r>
            <w:r>
              <w:rPr>
                <w:b/>
                <w:sz w:val="18"/>
              </w:rPr>
              <w:t>Minimum expectation</w:t>
            </w:r>
          </w:p>
        </w:tc>
      </w:tr>
      <w:tr>
        <w:trPr>
          <w:cantSplit/>
        </w:trPr>
        <w:tc>
          <w:tcPr>
            <w:tcW w:type="dxa" w:w="5040"/>
            <w:vAlign w:val="top"/>
          </w:tcPr>
          <w:p>
            <w:pPr>
              <w:spacing w:after="0"/>
            </w:pPr>
            <w:r>
              <w:rPr>
                <w:sz w:val="18"/>
              </w:rPr>
            </w:r>
            <w:r>
              <w:rPr>
                <w:b w:val="0"/>
                <w:sz w:val="18"/>
              </w:rPr>
              <w:t>Sealed custody</w:t>
            </w:r>
          </w:p>
        </w:tc>
        <w:tc>
          <w:tcPr>
            <w:tcW w:type="dxa" w:w="5040"/>
            <w:vAlign w:val="top"/>
          </w:tcPr>
          <w:p>
            <w:pPr>
              <w:spacing w:after="0"/>
            </w:pPr>
            <w:r>
              <w:rPr>
                <w:sz w:val="18"/>
              </w:rPr>
            </w:r>
            <w:r>
              <w:rPr>
                <w:b w:val="0"/>
                <w:sz w:val="18"/>
              </w:rPr>
              <w:t>vault_objects contain content_hash, signature, sealed_by, sealed_at, retention_until, and compliance tags.</w:t>
            </w:r>
          </w:p>
        </w:tc>
      </w:tr>
      <w:tr>
        <w:trPr>
          <w:cantSplit/>
        </w:trPr>
        <w:tc>
          <w:tcPr>
            <w:tcW w:type="dxa" w:w="5040"/>
            <w:vAlign w:val="top"/>
          </w:tcPr>
          <w:p>
            <w:pPr>
              <w:spacing w:after="0"/>
            </w:pPr>
            <w:r>
              <w:rPr>
                <w:sz w:val="18"/>
              </w:rPr>
            </w:r>
            <w:r>
              <w:rPr>
                <w:b w:val="0"/>
                <w:sz w:val="18"/>
              </w:rPr>
              <w:t>Merkle batching</w:t>
            </w:r>
          </w:p>
        </w:tc>
        <w:tc>
          <w:tcPr>
            <w:tcW w:type="dxa" w:w="5040"/>
            <w:vAlign w:val="top"/>
          </w:tcPr>
          <w:p>
            <w:pPr>
              <w:spacing w:after="0"/>
            </w:pPr>
            <w:r>
              <w:rPr>
                <w:sz w:val="18"/>
              </w:rPr>
            </w:r>
            <w:r>
              <w:rPr>
                <w:b w:val="0"/>
                <w:sz w:val="18"/>
              </w:rPr>
              <w:t>receipt_batches and receipt_batch_items provide Merkle root and inclusion proofs.</w:t>
            </w:r>
          </w:p>
        </w:tc>
      </w:tr>
      <w:tr>
        <w:trPr>
          <w:cantSplit/>
        </w:trPr>
        <w:tc>
          <w:tcPr>
            <w:tcW w:type="dxa" w:w="5040"/>
            <w:vAlign w:val="top"/>
          </w:tcPr>
          <w:p>
            <w:pPr>
              <w:spacing w:after="0"/>
            </w:pPr>
            <w:r>
              <w:rPr>
                <w:sz w:val="18"/>
              </w:rPr>
            </w:r>
            <w:r>
              <w:rPr>
                <w:b w:val="0"/>
                <w:sz w:val="18"/>
              </w:rPr>
              <w:t>Independent verification</w:t>
            </w:r>
          </w:p>
        </w:tc>
        <w:tc>
          <w:tcPr>
            <w:tcW w:type="dxa" w:w="5040"/>
            <w:vAlign w:val="top"/>
          </w:tcPr>
          <w:p>
            <w:pPr>
              <w:spacing w:after="0"/>
            </w:pPr>
            <w:r>
              <w:rPr>
                <w:sz w:val="18"/>
              </w:rPr>
            </w:r>
            <w:r>
              <w:rPr>
                <w:b w:val="0"/>
                <w:sz w:val="18"/>
              </w:rPr>
              <w:t>verification_jobs validate signatures, hashes, batch membership, chain consistency, and audit-pack completeness.</w:t>
            </w:r>
          </w:p>
        </w:tc>
      </w:tr>
      <w:tr>
        <w:trPr>
          <w:cantSplit/>
        </w:trPr>
        <w:tc>
          <w:tcPr>
            <w:tcW w:type="dxa" w:w="5040"/>
            <w:vAlign w:val="top"/>
          </w:tcPr>
          <w:p>
            <w:pPr>
              <w:spacing w:after="0"/>
            </w:pPr>
            <w:r>
              <w:rPr>
                <w:sz w:val="18"/>
              </w:rPr>
            </w:r>
            <w:r>
              <w:rPr>
                <w:b w:val="0"/>
                <w:sz w:val="18"/>
              </w:rPr>
              <w:t>Legal holds</w:t>
            </w:r>
          </w:p>
        </w:tc>
        <w:tc>
          <w:tcPr>
            <w:tcW w:type="dxa" w:w="5040"/>
            <w:vAlign w:val="top"/>
          </w:tcPr>
          <w:p>
            <w:pPr>
              <w:spacing w:after="0"/>
            </w:pPr>
            <w:r>
              <w:rPr>
                <w:sz w:val="18"/>
              </w:rPr>
            </w:r>
            <w:r>
              <w:rPr>
                <w:b w:val="0"/>
                <w:sz w:val="18"/>
              </w:rPr>
              <w:t>legal_holds preserve evidence under defined scope and release conditions.</w:t>
            </w:r>
          </w:p>
        </w:tc>
      </w:tr>
      <w:tr>
        <w:trPr>
          <w:cantSplit/>
        </w:trPr>
        <w:tc>
          <w:tcPr>
            <w:tcW w:type="dxa" w:w="5040"/>
            <w:vAlign w:val="top"/>
          </w:tcPr>
          <w:p>
            <w:pPr>
              <w:spacing w:after="0"/>
            </w:pPr>
            <w:r>
              <w:rPr>
                <w:sz w:val="18"/>
              </w:rPr>
            </w:r>
            <w:r>
              <w:rPr>
                <w:b w:val="0"/>
                <w:sz w:val="18"/>
              </w:rPr>
              <w:t>Privacy-safe proof</w:t>
            </w:r>
          </w:p>
        </w:tc>
        <w:tc>
          <w:tcPr>
            <w:tcW w:type="dxa" w:w="5040"/>
            <w:vAlign w:val="top"/>
          </w:tcPr>
          <w:p>
            <w:pPr>
              <w:spacing w:after="0"/>
            </w:pPr>
            <w:r>
              <w:rPr>
                <w:sz w:val="18"/>
              </w:rPr>
            </w:r>
            <w:r>
              <w:rPr>
                <w:b w:val="0"/>
                <w:sz w:val="18"/>
              </w:rPr>
              <w:t>personal_data_references and privacy_redaction_events support minimization and redacted verification.</w:t>
            </w:r>
          </w:p>
        </w:tc>
      </w:tr>
    </w:tbl>
    <w:p/>
    <w:p>
      <w:pPr>
        <w:pStyle w:val="Heading1"/>
      </w:pPr>
      <w:r>
        <w:t>5. Evidence Claim Language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shd w:fill="D9EAF7"/>
            <w:vAlign w:val="center"/>
          </w:tcPr>
          <w:p>
            <w:pPr>
              <w:spacing w:after="0"/>
            </w:pPr>
            <w:r>
              <w:rPr>
                <w:sz w:val="18"/>
              </w:rPr>
            </w:r>
            <w:r>
              <w:rPr>
                <w:b/>
                <w:sz w:val="18"/>
              </w:rPr>
              <w:t>Do not say</w:t>
            </w:r>
          </w:p>
        </w:tc>
        <w:tc>
          <w:tcPr>
            <w:tcW w:type="dxa" w:w="5040"/>
            <w:shd w:fill="D9EAF7"/>
            <w:vAlign w:val="center"/>
          </w:tcPr>
          <w:p>
            <w:pPr>
              <w:spacing w:after="0"/>
            </w:pPr>
            <w:r>
              <w:rPr>
                <w:sz w:val="18"/>
              </w:rPr>
            </w:r>
            <w:r>
              <w:rPr>
                <w:b/>
                <w:sz w:val="18"/>
              </w:rPr>
              <w:t>Prefer</w:t>
            </w:r>
          </w:p>
        </w:tc>
      </w:tr>
      <w:tr>
        <w:trPr>
          <w:cantSplit/>
        </w:trPr>
        <w:tc>
          <w:tcPr>
            <w:tcW w:type="dxa" w:w="5040"/>
            <w:vAlign w:val="top"/>
          </w:tcPr>
          <w:p>
            <w:pPr>
              <w:spacing w:after="0"/>
            </w:pPr>
            <w:r>
              <w:rPr>
                <w:sz w:val="18"/>
              </w:rPr>
            </w:r>
            <w:r>
              <w:rPr>
                <w:b w:val="0"/>
                <w:sz w:val="18"/>
              </w:rPr>
              <w:t>This proves compliance.</w:t>
            </w:r>
          </w:p>
        </w:tc>
        <w:tc>
          <w:tcPr>
            <w:tcW w:type="dxa" w:w="5040"/>
            <w:vAlign w:val="top"/>
          </w:tcPr>
          <w:p>
            <w:pPr>
              <w:spacing w:after="0"/>
            </w:pPr>
            <w:r>
              <w:rPr>
                <w:sz w:val="18"/>
              </w:rPr>
            </w:r>
            <w:r>
              <w:rPr>
                <w:b w:val="0"/>
                <w:sz w:val="18"/>
              </w:rPr>
              <w:t>This provides verifiable evidence supporting the stated control execution.</w:t>
            </w:r>
          </w:p>
        </w:tc>
      </w:tr>
      <w:tr>
        <w:trPr>
          <w:cantSplit/>
        </w:trPr>
        <w:tc>
          <w:tcPr>
            <w:tcW w:type="dxa" w:w="5040"/>
            <w:vAlign w:val="top"/>
          </w:tcPr>
          <w:p>
            <w:pPr>
              <w:spacing w:after="0"/>
            </w:pPr>
            <w:r>
              <w:rPr>
                <w:sz w:val="18"/>
              </w:rPr>
            </w:r>
            <w:r>
              <w:rPr>
                <w:b w:val="0"/>
                <w:sz w:val="18"/>
              </w:rPr>
              <w:t>This proves the model was safe.</w:t>
            </w:r>
          </w:p>
        </w:tc>
        <w:tc>
          <w:tcPr>
            <w:tcW w:type="dxa" w:w="5040"/>
            <w:vAlign w:val="top"/>
          </w:tcPr>
          <w:p>
            <w:pPr>
              <w:spacing w:after="0"/>
            </w:pPr>
            <w:r>
              <w:rPr>
                <w:sz w:val="18"/>
              </w:rPr>
            </w:r>
            <w:r>
              <w:rPr>
                <w:b w:val="0"/>
                <w:sz w:val="18"/>
              </w:rPr>
              <w:t>This proves the model passed the specified validation gate under the referenced policy version.</w:t>
            </w:r>
          </w:p>
        </w:tc>
      </w:tr>
      <w:tr>
        <w:trPr>
          <w:cantSplit/>
        </w:trPr>
        <w:tc>
          <w:tcPr>
            <w:tcW w:type="dxa" w:w="5040"/>
            <w:vAlign w:val="top"/>
          </w:tcPr>
          <w:p>
            <w:pPr>
              <w:spacing w:after="0"/>
            </w:pPr>
            <w:r>
              <w:rPr>
                <w:sz w:val="18"/>
              </w:rPr>
            </w:r>
            <w:r>
              <w:rPr>
                <w:b w:val="0"/>
                <w:sz w:val="18"/>
              </w:rPr>
              <w:t>The artifact is authentic.</w:t>
            </w:r>
          </w:p>
        </w:tc>
        <w:tc>
          <w:tcPr>
            <w:tcW w:type="dxa" w:w="5040"/>
            <w:vAlign w:val="top"/>
          </w:tcPr>
          <w:p>
            <w:pPr>
              <w:spacing w:after="0"/>
            </w:pPr>
            <w:r>
              <w:rPr>
                <w:sz w:val="18"/>
              </w:rPr>
            </w:r>
            <w:r>
              <w:rPr>
                <w:b w:val="0"/>
                <w:sz w:val="18"/>
              </w:rPr>
              <w:t>The artifact matches, or probably links to, the referenced release record under the stated verification method.</w:t>
            </w:r>
          </w:p>
        </w:tc>
      </w:tr>
      <w:tr>
        <w:trPr>
          <w:cantSplit/>
        </w:trPr>
        <w:tc>
          <w:tcPr>
            <w:tcW w:type="dxa" w:w="5040"/>
            <w:vAlign w:val="top"/>
          </w:tcPr>
          <w:p>
            <w:pPr>
              <w:spacing w:after="0"/>
            </w:pPr>
            <w:r>
              <w:rPr>
                <w:sz w:val="18"/>
              </w:rPr>
            </w:r>
            <w:r>
              <w:rPr>
                <w:b w:val="0"/>
                <w:sz w:val="18"/>
              </w:rPr>
              <w:t>The vault is immutable forever.</w:t>
            </w:r>
          </w:p>
        </w:tc>
        <w:tc>
          <w:tcPr>
            <w:tcW w:type="dxa" w:w="5040"/>
            <w:vAlign w:val="top"/>
          </w:tcPr>
          <w:p>
            <w:pPr>
              <w:spacing w:after="0"/>
            </w:pPr>
            <w:r>
              <w:rPr>
                <w:sz w:val="18"/>
              </w:rPr>
            </w:r>
            <w:r>
              <w:rPr>
                <w:b w:val="0"/>
                <w:sz w:val="18"/>
              </w:rPr>
              <w:t>The vault provides tamper-evident custody under defined retention, legal hold, and deletion policies.</w:t>
            </w:r>
          </w:p>
        </w:tc>
      </w:tr>
    </w:tbl>
    <w:p/>
    <w:p>
      <w:pPr>
        <w:pStyle w:val="Heading1"/>
      </w:pPr>
      <w:r>
        <w:t>6. Maturity Roadmap</w:t>
      </w:r>
    </w:p>
    <w:p>
      <w:r>
        <w:t>1. Start with structured policy, gates, receipts, and evidence objects.</w:t>
      </w:r>
    </w:p>
    <w:p>
      <w:r>
        <w:t>2. Add signatures, deterministic canonicalization, and audit-pack exports.</w:t>
      </w:r>
    </w:p>
    <w:p>
      <w:r>
        <w:t>3. Add vault sealing, Merkle batching, verification jobs, retention profiles, and legal hold support.</w:t>
      </w:r>
    </w:p>
    <w:p>
      <w:r>
        <w:t>4. Add third-party custody, external notarization, HSM/KMS-backed signing, and privacy-preserving selective disclosure where needed.</w:t>
      </w:r>
    </w:p>
    <w:p>
      <w:pPr>
        <w:pStyle w:val="Heading1"/>
      </w:pPr>
      <w:r>
        <w:t>AI Use and Editorial Note</w:t>
      </w:r>
    </w:p>
    <w:p>
      <w:r>
        <w:t>This draft was prepared for concept development, publication planning, and architecture alignment. AI assistance may have been used to structure and draft the material, with human editorial control, technical judgment, and final review expected before publication or external distribution.</w:t>
      </w:r>
    </w:p>
    <w:p>
      <w:pPr>
        <w:pStyle w:val="Heading1"/>
      </w:pPr>
      <w:r>
        <w:t>Source Basis</w:t>
      </w:r>
    </w:p>
    <w:p>
      <w:r>
        <w:t>This document is based on the AGEI category paper, CIAF-LCM process paper, CIAF-LCM with Governance Gates paper, evidence vault paper, agent governance paper, shadow AI paper, dual-layer provenance paper, global regulatory reference guide, and the completed database/schema structure exported in DATABASE.md.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