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Tamper-Evident Evidence Vault</w:t>
      </w:r>
    </w:p>
    <w:p>
      <w:pPr>
        <w:jc w:val="center"/>
      </w:pPr>
      <w:r>
        <w:rPr>
          <w:i/>
          <w:sz w:val="24"/>
        </w:rPr>
        <w:t>Database-Aligned Custody Model for Receipts, Evidence Objects, Audit Packs, and Verification Jobs</w:t>
      </w:r>
    </w:p>
    <w:p>
      <w:pPr>
        <w:jc w:val="center"/>
      </w:pPr>
      <w:r>
        <w:rPr>
          <w:i/>
        </w:rPr>
        <w:t>Denzil Greenwood | CognitiveInsight.ai | April 2026</w:t>
      </w:r>
    </w:p>
    <w:p/>
    <w:p>
      <w:pPr>
        <w:pStyle w:val="Heading1"/>
      </w:pPr>
      <w:r>
        <w:t>Abstract</w:t>
      </w:r>
    </w:p>
    <w:p>
      <w:r>
        <w:t>This updated vault paper grounds the evidence vault in the completed database structure. It explains how receipts, evidence objects, vault objects, receipt batches, audit packs, legal holds, retention policies, and verification jobs implement durable custody for AI lifecycle evidence.</w:t>
      </w:r>
    </w:p>
    <w:p>
      <w:pPr>
        <w:pStyle w:val="Heading1"/>
      </w:pPr>
      <w:r>
        <w:t>1. Vault Role</w:t>
      </w:r>
    </w:p>
    <w:p>
      <w:r>
        <w:t>The vault is the custody substrate of AGEI. It is where receipts and supporting artifacts become durable, verifiable evidence. It is not merely object storage or a data lake. Its value comes from canonicalization, hashing, signing, linkage, retention, sealing, deterministic audit-pack assembly, and independent verification.</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vAlign w:val="center"/>
          </w:tcPr>
          <w:p>
            <w:pPr>
              <w:spacing w:after="0"/>
            </w:pPr>
            <w:r>
              <w:rPr>
                <w:sz w:val="18"/>
              </w:rPr>
            </w:r>
            <w:r>
              <w:rPr>
                <w:b/>
                <w:sz w:val="18"/>
              </w:rPr>
              <w:t>Vault function</w:t>
            </w:r>
          </w:p>
        </w:tc>
        <w:tc>
          <w:tcPr>
            <w:tcW w:type="dxa" w:w="5040"/>
            <w:shd w:fill="D9EAF7"/>
            <w:vAlign w:val="center"/>
          </w:tcPr>
          <w:p>
            <w:pPr>
              <w:spacing w:after="0"/>
            </w:pPr>
            <w:r>
              <w:rPr>
                <w:sz w:val="18"/>
              </w:rPr>
            </w:r>
            <w:r>
              <w:rPr>
                <w:b/>
                <w:sz w:val="18"/>
              </w:rPr>
              <w:t>Database support</w:t>
            </w:r>
          </w:p>
        </w:tc>
      </w:tr>
      <w:tr>
        <w:trPr>
          <w:cantSplit/>
        </w:trPr>
        <w:tc>
          <w:tcPr>
            <w:tcW w:type="dxa" w:w="5040"/>
            <w:vAlign w:val="top"/>
          </w:tcPr>
          <w:p>
            <w:pPr>
              <w:spacing w:after="0"/>
            </w:pPr>
            <w:r>
              <w:rPr>
                <w:sz w:val="18"/>
              </w:rPr>
            </w:r>
            <w:r>
              <w:rPr>
                <w:b w:val="0"/>
                <w:sz w:val="18"/>
              </w:rPr>
              <w:t>Receipt preservation</w:t>
            </w:r>
          </w:p>
        </w:tc>
        <w:tc>
          <w:tcPr>
            <w:tcW w:type="dxa" w:w="5040"/>
            <w:vAlign w:val="top"/>
          </w:tcPr>
          <w:p>
            <w:pPr>
              <w:spacing w:after="0"/>
            </w:pPr>
            <w:r>
              <w:rPr>
                <w:sz w:val="18"/>
              </w:rPr>
            </w:r>
            <w:r>
              <w:rPr>
                <w:b w:val="0"/>
                <w:sz w:val="18"/>
              </w:rPr>
              <w:t>receipts, receipt_links, receipt_batches, receipt_batch_items.</w:t>
            </w:r>
          </w:p>
        </w:tc>
      </w:tr>
      <w:tr>
        <w:trPr>
          <w:cantSplit/>
        </w:trPr>
        <w:tc>
          <w:tcPr>
            <w:tcW w:type="dxa" w:w="5040"/>
            <w:vAlign w:val="top"/>
          </w:tcPr>
          <w:p>
            <w:pPr>
              <w:spacing w:after="0"/>
            </w:pPr>
            <w:r>
              <w:rPr>
                <w:sz w:val="18"/>
              </w:rPr>
            </w:r>
            <w:r>
              <w:rPr>
                <w:b w:val="0"/>
                <w:sz w:val="18"/>
              </w:rPr>
              <w:t>Evidence payload storage</w:t>
            </w:r>
          </w:p>
        </w:tc>
        <w:tc>
          <w:tcPr>
            <w:tcW w:type="dxa" w:w="5040"/>
            <w:vAlign w:val="top"/>
          </w:tcPr>
          <w:p>
            <w:pPr>
              <w:spacing w:after="0"/>
            </w:pPr>
            <w:r>
              <w:rPr>
                <w:sz w:val="18"/>
              </w:rPr>
            </w:r>
            <w:r>
              <w:rPr>
                <w:b w:val="0"/>
                <w:sz w:val="18"/>
              </w:rPr>
              <w:t>evidence_objects.</w:t>
            </w:r>
          </w:p>
        </w:tc>
      </w:tr>
      <w:tr>
        <w:trPr>
          <w:cantSplit/>
        </w:trPr>
        <w:tc>
          <w:tcPr>
            <w:tcW w:type="dxa" w:w="5040"/>
            <w:vAlign w:val="top"/>
          </w:tcPr>
          <w:p>
            <w:pPr>
              <w:spacing w:after="0"/>
            </w:pPr>
            <w:r>
              <w:rPr>
                <w:sz w:val="18"/>
              </w:rPr>
            </w:r>
            <w:r>
              <w:rPr>
                <w:b w:val="0"/>
                <w:sz w:val="18"/>
              </w:rPr>
              <w:t>Sealed custody object</w:t>
            </w:r>
          </w:p>
        </w:tc>
        <w:tc>
          <w:tcPr>
            <w:tcW w:type="dxa" w:w="5040"/>
            <w:vAlign w:val="top"/>
          </w:tcPr>
          <w:p>
            <w:pPr>
              <w:spacing w:after="0"/>
            </w:pPr>
            <w:r>
              <w:rPr>
                <w:sz w:val="18"/>
              </w:rPr>
            </w:r>
            <w:r>
              <w:rPr>
                <w:b w:val="0"/>
                <w:sz w:val="18"/>
              </w:rPr>
              <w:t>vault_objects.</w:t>
            </w:r>
          </w:p>
        </w:tc>
      </w:tr>
      <w:tr>
        <w:trPr>
          <w:cantSplit/>
        </w:trPr>
        <w:tc>
          <w:tcPr>
            <w:tcW w:type="dxa" w:w="5040"/>
            <w:vAlign w:val="top"/>
          </w:tcPr>
          <w:p>
            <w:pPr>
              <w:spacing w:after="0"/>
            </w:pPr>
            <w:r>
              <w:rPr>
                <w:sz w:val="18"/>
              </w:rPr>
            </w:r>
            <w:r>
              <w:rPr>
                <w:b w:val="0"/>
                <w:sz w:val="18"/>
              </w:rPr>
              <w:t>Audit package assembly</w:t>
            </w:r>
          </w:p>
        </w:tc>
        <w:tc>
          <w:tcPr>
            <w:tcW w:type="dxa" w:w="5040"/>
            <w:vAlign w:val="top"/>
          </w:tcPr>
          <w:p>
            <w:pPr>
              <w:spacing w:after="0"/>
            </w:pPr>
            <w:r>
              <w:rPr>
                <w:sz w:val="18"/>
              </w:rPr>
            </w:r>
            <w:r>
              <w:rPr>
                <w:b w:val="0"/>
                <w:sz w:val="18"/>
              </w:rPr>
              <w:t>audit_packs, audit_pack_items.</w:t>
            </w:r>
          </w:p>
        </w:tc>
      </w:tr>
      <w:tr>
        <w:trPr>
          <w:cantSplit/>
        </w:trPr>
        <w:tc>
          <w:tcPr>
            <w:tcW w:type="dxa" w:w="5040"/>
            <w:vAlign w:val="top"/>
          </w:tcPr>
          <w:p>
            <w:pPr>
              <w:spacing w:after="0"/>
            </w:pPr>
            <w:r>
              <w:rPr>
                <w:sz w:val="18"/>
              </w:rPr>
            </w:r>
            <w:r>
              <w:rPr>
                <w:b w:val="0"/>
                <w:sz w:val="18"/>
              </w:rPr>
              <w:t>Verification</w:t>
            </w:r>
          </w:p>
        </w:tc>
        <w:tc>
          <w:tcPr>
            <w:tcW w:type="dxa" w:w="5040"/>
            <w:vAlign w:val="top"/>
          </w:tcPr>
          <w:p>
            <w:pPr>
              <w:spacing w:after="0"/>
            </w:pPr>
            <w:r>
              <w:rPr>
                <w:sz w:val="18"/>
              </w:rPr>
            </w:r>
            <w:r>
              <w:rPr>
                <w:b w:val="0"/>
                <w:sz w:val="18"/>
              </w:rPr>
              <w:t>verification_jobs.</w:t>
            </w:r>
          </w:p>
        </w:tc>
      </w:tr>
      <w:tr>
        <w:trPr>
          <w:cantSplit/>
        </w:trPr>
        <w:tc>
          <w:tcPr>
            <w:tcW w:type="dxa" w:w="5040"/>
            <w:vAlign w:val="top"/>
          </w:tcPr>
          <w:p>
            <w:pPr>
              <w:spacing w:after="0"/>
            </w:pPr>
            <w:r>
              <w:rPr>
                <w:sz w:val="18"/>
              </w:rPr>
            </w:r>
            <w:r>
              <w:rPr>
                <w:b w:val="0"/>
                <w:sz w:val="18"/>
              </w:rPr>
              <w:t>Retention and hold management</w:t>
            </w:r>
          </w:p>
        </w:tc>
        <w:tc>
          <w:tcPr>
            <w:tcW w:type="dxa" w:w="5040"/>
            <w:vAlign w:val="top"/>
          </w:tcPr>
          <w:p>
            <w:pPr>
              <w:spacing w:after="0"/>
            </w:pPr>
            <w:r>
              <w:rPr>
                <w:sz w:val="18"/>
              </w:rPr>
            </w:r>
            <w:r>
              <w:rPr>
                <w:b w:val="0"/>
                <w:sz w:val="18"/>
              </w:rPr>
              <w:t>retention_policies, legal_holds.</w:t>
            </w:r>
          </w:p>
        </w:tc>
      </w:tr>
      <w:tr>
        <w:trPr>
          <w:cantSplit/>
        </w:trPr>
        <w:tc>
          <w:tcPr>
            <w:tcW w:type="dxa" w:w="5040"/>
            <w:vAlign w:val="top"/>
          </w:tcPr>
          <w:p>
            <w:pPr>
              <w:spacing w:after="0"/>
            </w:pPr>
            <w:r>
              <w:rPr>
                <w:sz w:val="18"/>
              </w:rPr>
            </w:r>
            <w:r>
              <w:rPr>
                <w:b w:val="0"/>
                <w:sz w:val="18"/>
              </w:rPr>
              <w:t>Privacy-aware references</w:t>
            </w:r>
          </w:p>
        </w:tc>
        <w:tc>
          <w:tcPr>
            <w:tcW w:type="dxa" w:w="5040"/>
            <w:vAlign w:val="top"/>
          </w:tcPr>
          <w:p>
            <w:pPr>
              <w:spacing w:after="0"/>
            </w:pPr>
            <w:r>
              <w:rPr>
                <w:sz w:val="18"/>
              </w:rPr>
            </w:r>
            <w:r>
              <w:rPr>
                <w:b w:val="0"/>
                <w:sz w:val="18"/>
              </w:rPr>
              <w:t>personal_data_references, privacy_redaction_events, privacy_exports.</w:t>
            </w:r>
          </w:p>
        </w:tc>
      </w:tr>
    </w:tbl>
    <w:p/>
    <w:p>
      <w:pPr>
        <w:pStyle w:val="Heading1"/>
      </w:pPr>
      <w:r>
        <w:t>2. Object Model</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vAlign w:val="center"/>
          </w:tcPr>
          <w:p>
            <w:pPr>
              <w:spacing w:after="0"/>
            </w:pPr>
            <w:r>
              <w:rPr>
                <w:sz w:val="18"/>
              </w:rPr>
            </w:r>
            <w:r>
              <w:rPr>
                <w:b/>
                <w:sz w:val="18"/>
              </w:rPr>
              <w:t>Object</w:t>
            </w:r>
          </w:p>
        </w:tc>
        <w:tc>
          <w:tcPr>
            <w:tcW w:type="dxa" w:w="3360"/>
            <w:shd w:fill="D9EAF7"/>
            <w:vAlign w:val="center"/>
          </w:tcPr>
          <w:p>
            <w:pPr>
              <w:spacing w:after="0"/>
            </w:pPr>
            <w:r>
              <w:rPr>
                <w:sz w:val="18"/>
              </w:rPr>
            </w:r>
            <w:r>
              <w:rPr>
                <w:b/>
                <w:sz w:val="18"/>
              </w:rPr>
              <w:t>Role</w:t>
            </w:r>
          </w:p>
        </w:tc>
        <w:tc>
          <w:tcPr>
            <w:tcW w:type="dxa" w:w="3360"/>
            <w:shd w:fill="D9EAF7"/>
            <w:vAlign w:val="center"/>
          </w:tcPr>
          <w:p>
            <w:pPr>
              <w:spacing w:after="0"/>
            </w:pPr>
            <w:r>
              <w:rPr>
                <w:sz w:val="18"/>
              </w:rPr>
            </w:r>
            <w:r>
              <w:rPr>
                <w:b/>
                <w:sz w:val="18"/>
              </w:rPr>
              <w:t>Key fields</w:t>
            </w:r>
          </w:p>
        </w:tc>
      </w:tr>
      <w:tr>
        <w:trPr>
          <w:cantSplit/>
        </w:trPr>
        <w:tc>
          <w:tcPr>
            <w:tcW w:type="dxa" w:w="3360"/>
            <w:vAlign w:val="top"/>
          </w:tcPr>
          <w:p>
            <w:pPr>
              <w:spacing w:after="0"/>
            </w:pPr>
            <w:r>
              <w:rPr>
                <w:sz w:val="18"/>
              </w:rPr>
            </w:r>
            <w:r>
              <w:rPr>
                <w:b w:val="0"/>
                <w:sz w:val="18"/>
              </w:rPr>
              <w:t>receipts</w:t>
            </w:r>
          </w:p>
        </w:tc>
        <w:tc>
          <w:tcPr>
            <w:tcW w:type="dxa" w:w="3360"/>
            <w:vAlign w:val="top"/>
          </w:tcPr>
          <w:p>
            <w:pPr>
              <w:spacing w:after="0"/>
            </w:pPr>
            <w:r>
              <w:rPr>
                <w:sz w:val="18"/>
              </w:rPr>
            </w:r>
            <w:r>
              <w:rPr>
                <w:b w:val="0"/>
                <w:sz w:val="18"/>
              </w:rPr>
              <w:t>Atomic evidence record.</w:t>
            </w:r>
          </w:p>
        </w:tc>
        <w:tc>
          <w:tcPr>
            <w:tcW w:type="dxa" w:w="3360"/>
            <w:vAlign w:val="top"/>
          </w:tcPr>
          <w:p>
            <w:pPr>
              <w:spacing w:after="0"/>
            </w:pPr>
            <w:r>
              <w:rPr>
                <w:sz w:val="18"/>
              </w:rPr>
            </w:r>
            <w:r>
              <w:rPr>
                <w:b w:val="0"/>
                <w:sz w:val="18"/>
              </w:rPr>
              <w:t>receipt_payload, content_hash, signature, gate_evaluation_id, policy_version_id, lifecycle_stage, merkle_proof.</w:t>
            </w:r>
          </w:p>
        </w:tc>
      </w:tr>
      <w:tr>
        <w:trPr>
          <w:cantSplit/>
        </w:trPr>
        <w:tc>
          <w:tcPr>
            <w:tcW w:type="dxa" w:w="3360"/>
            <w:vAlign w:val="top"/>
          </w:tcPr>
          <w:p>
            <w:pPr>
              <w:spacing w:after="0"/>
            </w:pPr>
            <w:r>
              <w:rPr>
                <w:sz w:val="18"/>
              </w:rPr>
            </w:r>
            <w:r>
              <w:rPr>
                <w:b w:val="0"/>
                <w:sz w:val="18"/>
              </w:rPr>
              <w:t>evidence_objects</w:t>
            </w:r>
          </w:p>
        </w:tc>
        <w:tc>
          <w:tcPr>
            <w:tcW w:type="dxa" w:w="3360"/>
            <w:vAlign w:val="top"/>
          </w:tcPr>
          <w:p>
            <w:pPr>
              <w:spacing w:after="0"/>
            </w:pPr>
            <w:r>
              <w:rPr>
                <w:sz w:val="18"/>
              </w:rPr>
            </w:r>
            <w:r>
              <w:rPr>
                <w:b w:val="0"/>
                <w:sz w:val="18"/>
              </w:rPr>
              <w:t>Structured payload or storage pointer.</w:t>
            </w:r>
          </w:p>
        </w:tc>
        <w:tc>
          <w:tcPr>
            <w:tcW w:type="dxa" w:w="3360"/>
            <w:vAlign w:val="top"/>
          </w:tcPr>
          <w:p>
            <w:pPr>
              <w:spacing w:after="0"/>
            </w:pPr>
            <w:r>
              <w:rPr>
                <w:sz w:val="18"/>
              </w:rPr>
            </w:r>
            <w:r>
              <w:rPr>
                <w:b w:val="0"/>
                <w:sz w:val="18"/>
              </w:rPr>
              <w:t>evidence_payload, content_hash, schema_version_id, storage_path, storage_content_hash, is_sealed.</w:t>
            </w:r>
          </w:p>
        </w:tc>
      </w:tr>
      <w:tr>
        <w:trPr>
          <w:cantSplit/>
        </w:trPr>
        <w:tc>
          <w:tcPr>
            <w:tcW w:type="dxa" w:w="3360"/>
            <w:vAlign w:val="top"/>
          </w:tcPr>
          <w:p>
            <w:pPr>
              <w:spacing w:after="0"/>
            </w:pPr>
            <w:r>
              <w:rPr>
                <w:sz w:val="18"/>
              </w:rPr>
            </w:r>
            <w:r>
              <w:rPr>
                <w:b w:val="0"/>
                <w:sz w:val="18"/>
              </w:rPr>
              <w:t>vault_objects</w:t>
            </w:r>
          </w:p>
        </w:tc>
        <w:tc>
          <w:tcPr>
            <w:tcW w:type="dxa" w:w="3360"/>
            <w:vAlign w:val="top"/>
          </w:tcPr>
          <w:p>
            <w:pPr>
              <w:spacing w:after="0"/>
            </w:pPr>
            <w:r>
              <w:rPr>
                <w:sz w:val="18"/>
              </w:rPr>
            </w:r>
            <w:r>
              <w:rPr>
                <w:b w:val="0"/>
                <w:sz w:val="18"/>
              </w:rPr>
              <w:t>Sealed custody object.</w:t>
            </w:r>
          </w:p>
        </w:tc>
        <w:tc>
          <w:tcPr>
            <w:tcW w:type="dxa" w:w="3360"/>
            <w:vAlign w:val="top"/>
          </w:tcPr>
          <w:p>
            <w:pPr>
              <w:spacing w:after="0"/>
            </w:pPr>
            <w:r>
              <w:rPr>
                <w:sz w:val="18"/>
              </w:rPr>
            </w:r>
            <w:r>
              <w:rPr>
                <w:b w:val="0"/>
                <w:sz w:val="18"/>
              </w:rPr>
              <w:t>vault_payload, content_hash, signature, sealed_by, sealed_at, merkle_root, retention_until.</w:t>
            </w:r>
          </w:p>
        </w:tc>
      </w:tr>
      <w:tr>
        <w:trPr>
          <w:cantSplit/>
        </w:trPr>
        <w:tc>
          <w:tcPr>
            <w:tcW w:type="dxa" w:w="3360"/>
            <w:vAlign w:val="top"/>
          </w:tcPr>
          <w:p>
            <w:pPr>
              <w:spacing w:after="0"/>
            </w:pPr>
            <w:r>
              <w:rPr>
                <w:sz w:val="18"/>
              </w:rPr>
            </w:r>
            <w:r>
              <w:rPr>
                <w:b w:val="0"/>
                <w:sz w:val="18"/>
              </w:rPr>
              <w:t>audit_packs</w:t>
            </w:r>
          </w:p>
        </w:tc>
        <w:tc>
          <w:tcPr>
            <w:tcW w:type="dxa" w:w="3360"/>
            <w:vAlign w:val="top"/>
          </w:tcPr>
          <w:p>
            <w:pPr>
              <w:spacing w:after="0"/>
            </w:pPr>
            <w:r>
              <w:rPr>
                <w:sz w:val="18"/>
              </w:rPr>
            </w:r>
            <w:r>
              <w:rPr>
                <w:b w:val="0"/>
                <w:sz w:val="18"/>
              </w:rPr>
              <w:t>Exportable review package.</w:t>
            </w:r>
          </w:p>
        </w:tc>
        <w:tc>
          <w:tcPr>
            <w:tcW w:type="dxa" w:w="3360"/>
            <w:vAlign w:val="top"/>
          </w:tcPr>
          <w:p>
            <w:pPr>
              <w:spacing w:after="0"/>
            </w:pPr>
            <w:r>
              <w:rPr>
                <w:sz w:val="18"/>
              </w:rPr>
            </w:r>
            <w:r>
              <w:rPr>
                <w:b w:val="0"/>
                <w:sz w:val="18"/>
              </w:rPr>
              <w:t>scope_filter, status, is_sealed, pack_hash, export_url, total counts.</w:t>
            </w:r>
          </w:p>
        </w:tc>
      </w:tr>
      <w:tr>
        <w:trPr>
          <w:cantSplit/>
        </w:trPr>
        <w:tc>
          <w:tcPr>
            <w:tcW w:type="dxa" w:w="3360"/>
            <w:vAlign w:val="top"/>
          </w:tcPr>
          <w:p>
            <w:pPr>
              <w:spacing w:after="0"/>
            </w:pPr>
            <w:r>
              <w:rPr>
                <w:sz w:val="18"/>
              </w:rPr>
            </w:r>
            <w:r>
              <w:rPr>
                <w:b w:val="0"/>
                <w:sz w:val="18"/>
              </w:rPr>
              <w:t>audit_pack_items</w:t>
            </w:r>
          </w:p>
        </w:tc>
        <w:tc>
          <w:tcPr>
            <w:tcW w:type="dxa" w:w="3360"/>
            <w:vAlign w:val="top"/>
          </w:tcPr>
          <w:p>
            <w:pPr>
              <w:spacing w:after="0"/>
            </w:pPr>
            <w:r>
              <w:rPr>
                <w:sz w:val="18"/>
              </w:rPr>
            </w:r>
            <w:r>
              <w:rPr>
                <w:b w:val="0"/>
                <w:sz w:val="18"/>
              </w:rPr>
              <w:t>Snapshot of each included evidence item.</w:t>
            </w:r>
          </w:p>
        </w:tc>
        <w:tc>
          <w:tcPr>
            <w:tcW w:type="dxa" w:w="3360"/>
            <w:vAlign w:val="top"/>
          </w:tcPr>
          <w:p>
            <w:pPr>
              <w:spacing w:after="0"/>
            </w:pPr>
            <w:r>
              <w:rPr>
                <w:sz w:val="18"/>
              </w:rPr>
            </w:r>
            <w:r>
              <w:rPr>
                <w:b w:val="0"/>
                <w:sz w:val="18"/>
              </w:rPr>
              <w:t>item_snapshot, item_hash, canonicalization_version, section/order.</w:t>
            </w:r>
          </w:p>
        </w:tc>
      </w:tr>
      <w:tr>
        <w:trPr>
          <w:cantSplit/>
        </w:trPr>
        <w:tc>
          <w:tcPr>
            <w:tcW w:type="dxa" w:w="3360"/>
            <w:vAlign w:val="top"/>
          </w:tcPr>
          <w:p>
            <w:pPr>
              <w:spacing w:after="0"/>
            </w:pPr>
            <w:r>
              <w:rPr>
                <w:sz w:val="18"/>
              </w:rPr>
            </w:r>
            <w:r>
              <w:rPr>
                <w:b w:val="0"/>
                <w:sz w:val="18"/>
              </w:rPr>
              <w:t>verification_jobs</w:t>
            </w:r>
          </w:p>
        </w:tc>
        <w:tc>
          <w:tcPr>
            <w:tcW w:type="dxa" w:w="3360"/>
            <w:vAlign w:val="top"/>
          </w:tcPr>
          <w:p>
            <w:pPr>
              <w:spacing w:after="0"/>
            </w:pPr>
            <w:r>
              <w:rPr>
                <w:sz w:val="18"/>
              </w:rPr>
            </w:r>
            <w:r>
              <w:rPr>
                <w:b w:val="0"/>
                <w:sz w:val="18"/>
              </w:rPr>
              <w:t>Integrity and reconstruction checks.</w:t>
            </w:r>
          </w:p>
        </w:tc>
        <w:tc>
          <w:tcPr>
            <w:tcW w:type="dxa" w:w="3360"/>
            <w:vAlign w:val="top"/>
          </w:tcPr>
          <w:p>
            <w:pPr>
              <w:spacing w:after="0"/>
            </w:pPr>
            <w:r>
              <w:rPr>
                <w:sz w:val="18"/>
              </w:rPr>
            </w:r>
            <w:r>
              <w:rPr>
                <w:b w:val="0"/>
                <w:sz w:val="18"/>
              </w:rPr>
              <w:t>target, config, result_status, findings, warnings, errors, checked/passed counts.</w:t>
            </w:r>
          </w:p>
        </w:tc>
      </w:tr>
    </w:tbl>
    <w:p/>
    <w:p>
      <w:pPr>
        <w:pStyle w:val="Heading1"/>
      </w:pPr>
      <w:r>
        <w:t>3. Ingestion Flow</w:t>
      </w:r>
    </w:p>
    <w:p>
      <w:r>
        <w:t>1. Receive receipt or evidence object from lifecycle, gate, agent, provenance, privacy, incident, or shadow AI subsystem.</w:t>
      </w:r>
    </w:p>
    <w:p>
      <w:r>
        <w:t>2. Canonicalize payload according to canonicalization_version.</w:t>
      </w:r>
    </w:p>
    <w:p>
      <w:r>
        <w:t>3. Compute content_hash using hash_algorithm.</w:t>
      </w:r>
    </w:p>
    <w:p>
      <w:r>
        <w:t>4. Sign where the assurance profile requires signature metadata.</w:t>
      </w:r>
    </w:p>
    <w:p>
      <w:r>
        <w:t>5. Store searchable metadata in relational tables.</w:t>
      </w:r>
    </w:p>
    <w:p>
      <w:r>
        <w:t>6. Store large artifacts by bucket/path with storage_content_hash.</w:t>
      </w:r>
    </w:p>
    <w:p>
      <w:r>
        <w:t>7. Seal high-assurance objects into vault_objects.</w:t>
      </w:r>
    </w:p>
    <w:p>
      <w:r>
        <w:t>8. Link receipts and vault objects to audit packs, legal holds, or verification jobs as needed.</w:t>
      </w:r>
    </w:p>
    <w:p>
      <w:pPr>
        <w:pStyle w:val="Heading1"/>
      </w:pPr>
      <w:r>
        <w:t>4. Merkle Batching</w:t>
      </w:r>
    </w:p>
    <w:p>
      <w:r>
        <w:t>receipt_batches and receipt_batch_items allow receipts to be grouped into a Merkle tree. Each receipt has a leaf hash and index, while the batch preserves a merkle_root and total_receipts. This supports efficient membership proof without exporting the entire batch.</w:t>
      </w:r>
    </w:p>
    <w:p>
      <w:pPr>
        <w:pStyle w:val="Heading1"/>
      </w:pPr>
      <w:r>
        <w:t>5. Audit Pack Assembly</w:t>
      </w:r>
    </w:p>
    <w:p>
      <w:r>
        <w:t>Audit packs materialize evidence on demand. The pack defines the inspection scope, includes item snapshots and hashes, seals the package, and can be exported. audit_pack_items should preserve the exact item snapshot used in the pack so that later review does not depend on live table state alone.</w:t>
      </w:r>
    </w:p>
    <w:p>
      <w:pPr>
        <w:pStyle w:val="Heading1"/>
      </w:pPr>
      <w:r>
        <w:t>6. Verification Jobs</w:t>
      </w:r>
    </w:p>
    <w:p>
      <w:r>
        <w:t>verification_jobs turn verification into an evidence-bearing workflow. A job may check receipt signatures, content hashes, schema validity, batch inclusion, lineage consistency, vault object sealing, audit-pack completeness, or privacy redaction claims. The job result itself should be treated as evidence.</w:t>
      </w:r>
    </w:p>
    <w:p>
      <w:pPr>
        <w:pStyle w:val="Heading1"/>
      </w:pPr>
      <w:r>
        <w:t>7. Retention, Legal Holds, and Privacy</w:t>
      </w:r>
    </w:p>
    <w:p>
      <w:r>
        <w:t>The vault should not claim blanket immutability without qualification. Some records require WORM-like retention; others require deletion after retention expiration or privacy-rights fulfillment. legal_holds preserve scoped evidence when deletion would otherwise occur. personal_data_references and privacy_redaction_events allow the system to support privacy obligations while preserving auditability of the governance action.</w:t>
      </w:r>
    </w:p>
    <w:p>
      <w:pPr>
        <w:pStyle w:val="Heading1"/>
      </w:pPr>
      <w:r>
        <w:t>8. Conclusion</w:t>
      </w:r>
    </w:p>
    <w:p>
      <w:r>
        <w:t>The completed database makes the evidence vault operationally real. It can preserve receipts, evidence payloads, sealed custody objects, audit-pack snapshots, verification results, retention policies, and legal holds in a unified evidence graph.</w:t>
      </w:r>
    </w:p>
    <w:p>
      <w:pPr>
        <w:pStyle w:val="Heading1"/>
      </w:pPr>
      <w:r>
        <w:t>AI Use and Editorial Note</w:t>
      </w:r>
    </w:p>
    <w:p>
      <w:r>
        <w:t>This draft was prepared for concept development, publication planning, and architecture alignment. AI assistance may have been used to structure and draft the material, with human editorial control, technical judgment, and final review expected before publication or external distribution.</w:t>
      </w:r>
    </w:p>
    <w:p>
      <w:pPr>
        <w:pStyle w:val="Heading1"/>
      </w:pPr>
      <w:r>
        <w:t>Source Basis</w:t>
      </w:r>
    </w:p>
    <w:p>
      <w:r>
        <w:t>This document is based on the AGEI category paper, CIAF-LCM process paper, CIAF-LCM with Governance Gates paper, evidence vault paper, agent governance paper, shadow AI paper, dual-layer provenance paper, global regulatory reference guide, and the completed database/schema structure exported in DATABASE.md.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