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Governance Planes for Agentic AI</w:t>
      </w:r>
    </w:p>
    <w:p>
      <w:pPr>
        <w:jc w:val="center"/>
      </w:pPr>
      <w:r>
        <w:rPr>
          <w:i/>
          <w:sz w:val="24"/>
        </w:rPr>
        <w:t>Updated Proof-Carrying Runtime Action Model</w:t>
      </w:r>
    </w:p>
    <w:p>
      <w:pPr>
        <w:jc w:val="center"/>
      </w:pPr>
      <w:r>
        <w:rPr>
          <w:i/>
        </w:rPr>
        <w:t>Denzil Greenwood | CognitiveInsight.ai | April 2026</w:t>
      </w:r>
    </w:p>
    <w:p/>
    <w:p>
      <w:pPr>
        <w:pStyle w:val="Heading1"/>
      </w:pPr>
      <w:r>
        <w:t>Abstract</w:t>
      </w:r>
    </w:p>
    <w:p>
      <w:r>
        <w:t>This updated agent governance paper aligns the five governance planes - identity, policy, privilege, execution, and evidence - to the completed database structure. It emphasizes pre-action proof, scoped delegation, tool definitions, gate-mediated execution, and post-action receipts.</w:t>
      </w:r>
    </w:p>
    <w:p>
      <w:pPr>
        <w:pStyle w:val="Heading1"/>
      </w:pPr>
      <w:r>
        <w:t>1. Central Claim</w:t>
      </w:r>
    </w:p>
    <w:p>
      <w:r>
        <w:t>An agent action is not governed merely because it is logged. It is governed when identity, delegation, policy, privilege, execution constraints, and evidence are bound before action and preserved after action.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Plane</w:t>
            </w:r>
          </w:p>
        </w:tc>
        <w:tc>
          <w:tcPr>
            <w:tcW w:type="dxa" w:w="3360"/>
            <w:shd w:fill="D9EAF7"/>
            <w:vAlign w:val="center"/>
          </w:tcPr>
          <w:p>
            <w:pPr>
              <w:spacing w:after="0"/>
            </w:pPr>
            <w:r>
              <w:rPr>
                <w:sz w:val="18"/>
              </w:rPr>
            </w:r>
            <w:r>
              <w:rPr>
                <w:b/>
                <w:sz w:val="18"/>
              </w:rPr>
              <w:t>Database representation</w:t>
            </w:r>
          </w:p>
        </w:tc>
        <w:tc>
          <w:tcPr>
            <w:tcW w:type="dxa" w:w="3360"/>
            <w:shd w:fill="D9EAF7"/>
            <w:vAlign w:val="center"/>
          </w:tcPr>
          <w:p>
            <w:pPr>
              <w:spacing w:after="0"/>
            </w:pPr>
            <w:r>
              <w:rPr>
                <w:sz w:val="18"/>
              </w:rPr>
            </w:r>
            <w:r>
              <w:rPr>
                <w:b/>
                <w:sz w:val="18"/>
              </w:rPr>
              <w:t>Governance question</w:t>
            </w:r>
          </w:p>
        </w:tc>
      </w:tr>
      <w:tr>
        <w:trPr>
          <w:cantSplit/>
        </w:trPr>
        <w:tc>
          <w:tcPr>
            <w:tcW w:type="dxa" w:w="3360"/>
            <w:vAlign w:val="top"/>
          </w:tcPr>
          <w:p>
            <w:pPr>
              <w:spacing w:after="0"/>
            </w:pPr>
            <w:r>
              <w:rPr>
                <w:sz w:val="18"/>
              </w:rPr>
            </w:r>
            <w:r>
              <w:rPr>
                <w:b w:val="0"/>
                <w:sz w:val="18"/>
              </w:rPr>
              <w:t>Identity</w:t>
            </w:r>
          </w:p>
        </w:tc>
        <w:tc>
          <w:tcPr>
            <w:tcW w:type="dxa" w:w="3360"/>
            <w:vAlign w:val="top"/>
          </w:tcPr>
          <w:p>
            <w:pPr>
              <w:spacing w:after="0"/>
            </w:pPr>
            <w:r>
              <w:rPr>
                <w:sz w:val="18"/>
              </w:rPr>
            </w:r>
            <w:r>
              <w:rPr>
                <w:b w:val="0"/>
                <w:sz w:val="18"/>
              </w:rPr>
              <w:t>principals, organization_members, agent_sessions</w:t>
            </w:r>
          </w:p>
        </w:tc>
        <w:tc>
          <w:tcPr>
            <w:tcW w:type="dxa" w:w="3360"/>
            <w:vAlign w:val="top"/>
          </w:tcPr>
          <w:p>
            <w:pPr>
              <w:spacing w:after="0"/>
            </w:pPr>
            <w:r>
              <w:rPr>
                <w:sz w:val="18"/>
              </w:rPr>
            </w:r>
            <w:r>
              <w:rPr>
                <w:b w:val="0"/>
                <w:sz w:val="18"/>
              </w:rPr>
              <w:t>Who or what is acting, and in which organization/session/workflow?</w:t>
            </w:r>
          </w:p>
        </w:tc>
      </w:tr>
      <w:tr>
        <w:trPr>
          <w:cantSplit/>
        </w:trPr>
        <w:tc>
          <w:tcPr>
            <w:tcW w:type="dxa" w:w="3360"/>
            <w:vAlign w:val="top"/>
          </w:tcPr>
          <w:p>
            <w:pPr>
              <w:spacing w:after="0"/>
            </w:pPr>
            <w:r>
              <w:rPr>
                <w:sz w:val="18"/>
              </w:rPr>
            </w:r>
            <w:r>
              <w:rPr>
                <w:b w:val="0"/>
                <w:sz w:val="18"/>
              </w:rPr>
              <w:t>Policy</w:t>
            </w:r>
          </w:p>
        </w:tc>
        <w:tc>
          <w:tcPr>
            <w:tcW w:type="dxa" w:w="3360"/>
            <w:vAlign w:val="top"/>
          </w:tcPr>
          <w:p>
            <w:pPr>
              <w:spacing w:after="0"/>
            </w:pPr>
            <w:r>
              <w:rPr>
                <w:sz w:val="18"/>
              </w:rPr>
            </w:r>
            <w:r>
              <w:rPr>
                <w:b w:val="0"/>
                <w:sz w:val="18"/>
              </w:rPr>
              <w:t>policy_versions, policy_rules, policy_evaluations, gate_definitions, gate_evaluations</w:t>
            </w:r>
          </w:p>
        </w:tc>
        <w:tc>
          <w:tcPr>
            <w:tcW w:type="dxa" w:w="3360"/>
            <w:vAlign w:val="top"/>
          </w:tcPr>
          <w:p>
            <w:pPr>
              <w:spacing w:after="0"/>
            </w:pPr>
            <w:r>
              <w:rPr>
                <w:sz w:val="18"/>
              </w:rPr>
            </w:r>
            <w:r>
              <w:rPr>
                <w:b w:val="0"/>
                <w:sz w:val="18"/>
              </w:rPr>
              <w:t>Which rules apply and what decision was produced?</w:t>
            </w:r>
          </w:p>
        </w:tc>
      </w:tr>
      <w:tr>
        <w:trPr>
          <w:cantSplit/>
        </w:trPr>
        <w:tc>
          <w:tcPr>
            <w:tcW w:type="dxa" w:w="3360"/>
            <w:vAlign w:val="top"/>
          </w:tcPr>
          <w:p>
            <w:pPr>
              <w:spacing w:after="0"/>
            </w:pPr>
            <w:r>
              <w:rPr>
                <w:sz w:val="18"/>
              </w:rPr>
            </w:r>
            <w:r>
              <w:rPr>
                <w:b w:val="0"/>
                <w:sz w:val="18"/>
              </w:rPr>
              <w:t>Privilege</w:t>
            </w:r>
          </w:p>
        </w:tc>
        <w:tc>
          <w:tcPr>
            <w:tcW w:type="dxa" w:w="3360"/>
            <w:vAlign w:val="top"/>
          </w:tcPr>
          <w:p>
            <w:pPr>
              <w:spacing w:after="0"/>
            </w:pPr>
            <w:r>
              <w:rPr>
                <w:sz w:val="18"/>
              </w:rPr>
            </w:r>
            <w:r>
              <w:rPr>
                <w:b w:val="0"/>
                <w:sz w:val="18"/>
              </w:rPr>
              <w:t>agent_delegations, pre_action_proof_bundles, authorization_token_hash</w:t>
            </w:r>
          </w:p>
        </w:tc>
        <w:tc>
          <w:tcPr>
            <w:tcW w:type="dxa" w:w="3360"/>
            <w:vAlign w:val="top"/>
          </w:tcPr>
          <w:p>
            <w:pPr>
              <w:spacing w:after="0"/>
            </w:pPr>
            <w:r>
              <w:rPr>
                <w:sz w:val="18"/>
              </w:rPr>
            </w:r>
            <w:r>
              <w:rPr>
                <w:b w:val="0"/>
                <w:sz w:val="18"/>
              </w:rPr>
              <w:t>What scoped authority exists now?</w:t>
            </w:r>
          </w:p>
        </w:tc>
      </w:tr>
      <w:tr>
        <w:trPr>
          <w:cantSplit/>
        </w:trPr>
        <w:tc>
          <w:tcPr>
            <w:tcW w:type="dxa" w:w="3360"/>
            <w:vAlign w:val="top"/>
          </w:tcPr>
          <w:p>
            <w:pPr>
              <w:spacing w:after="0"/>
            </w:pPr>
            <w:r>
              <w:rPr>
                <w:sz w:val="18"/>
              </w:rPr>
            </w:r>
            <w:r>
              <w:rPr>
                <w:b w:val="0"/>
                <w:sz w:val="18"/>
              </w:rPr>
              <w:t>Execution</w:t>
            </w:r>
          </w:p>
        </w:tc>
        <w:tc>
          <w:tcPr>
            <w:tcW w:type="dxa" w:w="3360"/>
            <w:vAlign w:val="top"/>
          </w:tcPr>
          <w:p>
            <w:pPr>
              <w:spacing w:after="0"/>
            </w:pPr>
            <w:r>
              <w:rPr>
                <w:sz w:val="18"/>
              </w:rPr>
            </w:r>
            <w:r>
              <w:rPr>
                <w:b w:val="0"/>
                <w:sz w:val="18"/>
              </w:rPr>
              <w:t>agent_tool_definitions, agent_tool_invocations</w:t>
            </w:r>
          </w:p>
        </w:tc>
        <w:tc>
          <w:tcPr>
            <w:tcW w:type="dxa" w:w="3360"/>
            <w:vAlign w:val="top"/>
          </w:tcPr>
          <w:p>
            <w:pPr>
              <w:spacing w:after="0"/>
            </w:pPr>
            <w:r>
              <w:rPr>
                <w:sz w:val="18"/>
              </w:rPr>
            </w:r>
            <w:r>
              <w:rPr>
                <w:b w:val="0"/>
                <w:sz w:val="18"/>
              </w:rPr>
              <w:t>Which tool/action was requested, with what payload, and what execution status resulted?</w:t>
            </w:r>
          </w:p>
        </w:tc>
      </w:tr>
      <w:tr>
        <w:trPr>
          <w:cantSplit/>
        </w:trPr>
        <w:tc>
          <w:tcPr>
            <w:tcW w:type="dxa" w:w="3360"/>
            <w:vAlign w:val="top"/>
          </w:tcPr>
          <w:p>
            <w:pPr>
              <w:spacing w:after="0"/>
            </w:pPr>
            <w:r>
              <w:rPr>
                <w:sz w:val="18"/>
              </w:rPr>
            </w:r>
            <w:r>
              <w:rPr>
                <w:b w:val="0"/>
                <w:sz w:val="18"/>
              </w:rPr>
              <w:t>Evidence</w:t>
            </w:r>
          </w:p>
        </w:tc>
        <w:tc>
          <w:tcPr>
            <w:tcW w:type="dxa" w:w="3360"/>
            <w:vAlign w:val="top"/>
          </w:tcPr>
          <w:p>
            <w:pPr>
              <w:spacing w:after="0"/>
            </w:pPr>
            <w:r>
              <w:rPr>
                <w:sz w:val="18"/>
              </w:rPr>
            </w:r>
            <w:r>
              <w:rPr>
                <w:b w:val="0"/>
                <w:sz w:val="18"/>
              </w:rPr>
              <w:t>receipts, evidence_objects, vault_objects, audit_packs, verification_jobs</w:t>
            </w:r>
          </w:p>
        </w:tc>
        <w:tc>
          <w:tcPr>
            <w:tcW w:type="dxa" w:w="3360"/>
            <w:vAlign w:val="top"/>
          </w:tcPr>
          <w:p>
            <w:pPr>
              <w:spacing w:after="0"/>
            </w:pPr>
            <w:r>
              <w:rPr>
                <w:sz w:val="18"/>
              </w:rPr>
            </w:r>
            <w:r>
              <w:rPr>
                <w:b w:val="0"/>
                <w:sz w:val="18"/>
              </w:rPr>
              <w:t>What proof exists afterward and can it be verified?</w:t>
            </w:r>
          </w:p>
        </w:tc>
      </w:tr>
    </w:tbl>
    <w:p/>
    <w:p>
      <w:pPr>
        <w:pStyle w:val="Heading1"/>
      </w:pPr>
      <w:r>
        <w:t>2. Agent Session Model</w:t>
      </w:r>
    </w:p>
    <w:p>
      <w:r>
        <w:t>agent_sessions provide the runtime context for governed tool/action evidence. They record session_key, agent_principal_id, delegating_principal_id, workflow_name, workflow_role, session_context_hash, policy_version_id, start/completion receipt IDs, status, and timing. This makes the session an evidence-bearing governance boundary rather than a transient runtime variable.</w:t>
      </w:r>
    </w:p>
    <w:p>
      <w:pPr>
        <w:pStyle w:val="Heading1"/>
      </w:pPr>
      <w:r>
        <w:t>3. Delegation Model</w:t>
      </w:r>
    </w:p>
    <w:p>
      <w:r>
        <w:t>agent_delegations preserve scoped delegation chain evidence. They bind delegating principal, agent principal, authority scope, purpose, validity period, delegation token hash, receipt, evidence object, and metadata. This is essential for proving that an agent acted under bounded authority rather than ambient system power.</w:t>
      </w:r>
    </w:p>
    <w:p>
      <w:pPr>
        <w:pStyle w:val="Heading1"/>
      </w:pPr>
      <w:r>
        <w:t>4. Tool Definition Model</w:t>
      </w:r>
    </w:p>
    <w:p>
      <w:r>
        <w:t>agent_tool_definitions describe the governed tools/actions available to agents. They include tool key/name/version, resource class, risk class, allowed parameters schema, required gate definition, required evidence types, active flag, and creator. This turns tool use into a managed control surface.</w:t>
      </w:r>
    </w:p>
    <w:p>
      <w:pPr>
        <w:pStyle w:val="Heading1"/>
      </w:pPr>
      <w:r>
        <w:t>5. Pre-Action Proof Model</w:t>
      </w:r>
    </w:p>
    <w:p>
      <w:r>
        <w:t>pre_action_proof_bundles are the control bridge between policy decision and execution. They should be required for sensitive tools, external actions, state changes, protected data access, financial actions, legal/medical/credit workflows, or any action that crosses an organizational risk threshold.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pPr>
              <w:spacing w:after="0"/>
            </w:pPr>
            <w:r>
              <w:rPr>
                <w:sz w:val="18"/>
              </w:rPr>
            </w:r>
            <w:r>
              <w:rPr>
                <w:b/>
                <w:sz w:val="18"/>
              </w:rPr>
              <w:t>Field</w:t>
            </w:r>
          </w:p>
        </w:tc>
        <w:tc>
          <w:tcPr>
            <w:tcW w:type="dxa" w:w="5040"/>
            <w:shd w:fill="D9EAF7"/>
            <w:vAlign w:val="center"/>
          </w:tcPr>
          <w:p>
            <w:pPr>
              <w:spacing w:after="0"/>
            </w:pPr>
            <w:r>
              <w:rPr>
                <w:sz w:val="18"/>
              </w:rPr>
            </w:r>
            <w:r>
              <w:rPr>
                <w:b/>
                <w:sz w:val="18"/>
              </w:rPr>
              <w:t>Purpose</w:t>
            </w:r>
          </w:p>
        </w:tc>
      </w:tr>
      <w:tr>
        <w:trPr>
          <w:cantSplit/>
        </w:trPr>
        <w:tc>
          <w:tcPr>
            <w:tcW w:type="dxa" w:w="5040"/>
            <w:vAlign w:val="top"/>
          </w:tcPr>
          <w:p>
            <w:pPr>
              <w:spacing w:after="0"/>
            </w:pPr>
            <w:r>
              <w:rPr>
                <w:sz w:val="18"/>
              </w:rPr>
            </w:r>
            <w:r>
              <w:rPr>
                <w:b w:val="0"/>
                <w:sz w:val="18"/>
              </w:rPr>
              <w:t>context_hash</w:t>
            </w:r>
          </w:p>
        </w:tc>
        <w:tc>
          <w:tcPr>
            <w:tcW w:type="dxa" w:w="5040"/>
            <w:vAlign w:val="top"/>
          </w:tcPr>
          <w:p>
            <w:pPr>
              <w:spacing w:after="0"/>
            </w:pPr>
            <w:r>
              <w:rPr>
                <w:sz w:val="18"/>
              </w:rPr>
            </w:r>
            <w:r>
              <w:rPr>
                <w:b w:val="0"/>
                <w:sz w:val="18"/>
              </w:rPr>
              <w:t>Ensures the proof applies to the same context presented to the tool.</w:t>
            </w:r>
          </w:p>
        </w:tc>
      </w:tr>
      <w:tr>
        <w:trPr>
          <w:cantSplit/>
        </w:trPr>
        <w:tc>
          <w:tcPr>
            <w:tcW w:type="dxa" w:w="5040"/>
            <w:vAlign w:val="top"/>
          </w:tcPr>
          <w:p>
            <w:pPr>
              <w:spacing w:after="0"/>
            </w:pPr>
            <w:r>
              <w:rPr>
                <w:sz w:val="18"/>
              </w:rPr>
            </w:r>
            <w:r>
              <w:rPr>
                <w:b w:val="0"/>
                <w:sz w:val="18"/>
              </w:rPr>
              <w:t>policy_check_receipt_id</w:t>
            </w:r>
          </w:p>
        </w:tc>
        <w:tc>
          <w:tcPr>
            <w:tcW w:type="dxa" w:w="5040"/>
            <w:vAlign w:val="top"/>
          </w:tcPr>
          <w:p>
            <w:pPr>
              <w:spacing w:after="0"/>
            </w:pPr>
            <w:r>
              <w:rPr>
                <w:sz w:val="18"/>
              </w:rPr>
            </w:r>
            <w:r>
              <w:rPr>
                <w:b w:val="0"/>
                <w:sz w:val="18"/>
              </w:rPr>
              <w:t>Shows that a policy check was performed.</w:t>
            </w:r>
          </w:p>
        </w:tc>
      </w:tr>
      <w:tr>
        <w:trPr>
          <w:cantSplit/>
        </w:trPr>
        <w:tc>
          <w:tcPr>
            <w:tcW w:type="dxa" w:w="5040"/>
            <w:vAlign w:val="top"/>
          </w:tcPr>
          <w:p>
            <w:pPr>
              <w:spacing w:after="0"/>
            </w:pPr>
            <w:r>
              <w:rPr>
                <w:sz w:val="18"/>
              </w:rPr>
            </w:r>
            <w:r>
              <w:rPr>
                <w:b w:val="0"/>
                <w:sz w:val="18"/>
              </w:rPr>
              <w:t>authorization_token_hash</w:t>
            </w:r>
          </w:p>
        </w:tc>
        <w:tc>
          <w:tcPr>
            <w:tcW w:type="dxa" w:w="5040"/>
            <w:vAlign w:val="top"/>
          </w:tcPr>
          <w:p>
            <w:pPr>
              <w:spacing w:after="0"/>
            </w:pPr>
            <w:r>
              <w:rPr>
                <w:sz w:val="18"/>
              </w:rPr>
            </w:r>
            <w:r>
              <w:rPr>
                <w:b w:val="0"/>
                <w:sz w:val="18"/>
              </w:rPr>
              <w:t>References scoped authority without storing a raw token.</w:t>
            </w:r>
          </w:p>
        </w:tc>
      </w:tr>
      <w:tr>
        <w:trPr>
          <w:cantSplit/>
        </w:trPr>
        <w:tc>
          <w:tcPr>
            <w:tcW w:type="dxa" w:w="5040"/>
            <w:vAlign w:val="top"/>
          </w:tcPr>
          <w:p>
            <w:pPr>
              <w:spacing w:after="0"/>
            </w:pPr>
            <w:r>
              <w:rPr>
                <w:sz w:val="18"/>
              </w:rPr>
            </w:r>
            <w:r>
              <w:rPr>
                <w:b w:val="0"/>
                <w:sz w:val="18"/>
              </w:rPr>
              <w:t>delegation_id</w:t>
            </w:r>
          </w:p>
        </w:tc>
        <w:tc>
          <w:tcPr>
            <w:tcW w:type="dxa" w:w="5040"/>
            <w:vAlign w:val="top"/>
          </w:tcPr>
          <w:p>
            <w:pPr>
              <w:spacing w:after="0"/>
            </w:pPr>
            <w:r>
              <w:rPr>
                <w:sz w:val="18"/>
              </w:rPr>
            </w:r>
            <w:r>
              <w:rPr>
                <w:b w:val="0"/>
                <w:sz w:val="18"/>
              </w:rPr>
              <w:t>Links the action to delegated authority.</w:t>
            </w:r>
          </w:p>
        </w:tc>
      </w:tr>
      <w:tr>
        <w:trPr>
          <w:cantSplit/>
        </w:trPr>
        <w:tc>
          <w:tcPr>
            <w:tcW w:type="dxa" w:w="5040"/>
            <w:vAlign w:val="top"/>
          </w:tcPr>
          <w:p>
            <w:pPr>
              <w:spacing w:after="0"/>
            </w:pPr>
            <w:r>
              <w:rPr>
                <w:sz w:val="18"/>
              </w:rPr>
            </w:r>
            <w:r>
              <w:rPr>
                <w:b w:val="0"/>
                <w:sz w:val="18"/>
              </w:rPr>
              <w:t>gate_evaluation_id</w:t>
            </w:r>
          </w:p>
        </w:tc>
        <w:tc>
          <w:tcPr>
            <w:tcW w:type="dxa" w:w="5040"/>
            <w:vAlign w:val="top"/>
          </w:tcPr>
          <w:p>
            <w:pPr>
              <w:spacing w:after="0"/>
            </w:pPr>
            <w:r>
              <w:rPr>
                <w:sz w:val="18"/>
              </w:rPr>
            </w:r>
            <w:r>
              <w:rPr>
                <w:b w:val="0"/>
                <w:sz w:val="18"/>
              </w:rPr>
              <w:t>Binds the proof to approve/deny/escalate/inspect decision.</w:t>
            </w:r>
          </w:p>
        </w:tc>
      </w:tr>
      <w:tr>
        <w:trPr>
          <w:cantSplit/>
        </w:trPr>
        <w:tc>
          <w:tcPr>
            <w:tcW w:type="dxa" w:w="5040"/>
            <w:vAlign w:val="top"/>
          </w:tcPr>
          <w:p>
            <w:pPr>
              <w:spacing w:after="0"/>
            </w:pPr>
            <w:r>
              <w:rPr>
                <w:sz w:val="18"/>
              </w:rPr>
            </w:r>
            <w:r>
              <w:rPr>
                <w:b w:val="0"/>
                <w:sz w:val="18"/>
              </w:rPr>
              <w:t>risk_class</w:t>
            </w:r>
          </w:p>
        </w:tc>
        <w:tc>
          <w:tcPr>
            <w:tcW w:type="dxa" w:w="5040"/>
            <w:vAlign w:val="top"/>
          </w:tcPr>
          <w:p>
            <w:pPr>
              <w:spacing w:after="0"/>
            </w:pPr>
            <w:r>
              <w:rPr>
                <w:sz w:val="18"/>
              </w:rPr>
            </w:r>
            <w:r>
              <w:rPr>
                <w:b w:val="0"/>
                <w:sz w:val="18"/>
              </w:rPr>
              <w:t>Determines required proof level and gate burden.</w:t>
            </w:r>
          </w:p>
        </w:tc>
      </w:tr>
      <w:tr>
        <w:trPr>
          <w:cantSplit/>
        </w:trPr>
        <w:tc>
          <w:tcPr>
            <w:tcW w:type="dxa" w:w="5040"/>
            <w:vAlign w:val="top"/>
          </w:tcPr>
          <w:p>
            <w:pPr>
              <w:spacing w:after="0"/>
            </w:pPr>
            <w:r>
              <w:rPr>
                <w:sz w:val="18"/>
              </w:rPr>
            </w:r>
            <w:r>
              <w:rPr>
                <w:b w:val="0"/>
                <w:sz w:val="18"/>
              </w:rPr>
              <w:t>proof_hash</w:t>
            </w:r>
          </w:p>
        </w:tc>
        <w:tc>
          <w:tcPr>
            <w:tcW w:type="dxa" w:w="5040"/>
            <w:vAlign w:val="top"/>
          </w:tcPr>
          <w:p>
            <w:pPr>
              <w:spacing w:after="0"/>
            </w:pPr>
            <w:r>
              <w:rPr>
                <w:sz w:val="18"/>
              </w:rPr>
            </w:r>
            <w:r>
              <w:rPr>
                <w:b w:val="0"/>
                <w:sz w:val="18"/>
              </w:rPr>
              <w:t>Makes the proof bundle tamper-evident.</w:t>
            </w:r>
          </w:p>
        </w:tc>
      </w:tr>
    </w:tbl>
    <w:p/>
    <w:p>
      <w:pPr>
        <w:pStyle w:val="Heading1"/>
      </w:pPr>
      <w:r>
        <w:t>6. Tool Invocation Evidence</w:t>
      </w:r>
    </w:p>
    <w:p>
      <w:r>
        <w:t>agent_tool_invocations record the tool request and execution evidence. They include pre_action_proof_id, invocation_key, action category, target resource, request payload hash/payload, gate outcome, execution status, result payload hash, state change hash, request receipt, execution receipt, evidence object, and timing.</w:t>
      </w:r>
    </w:p>
    <w:p>
      <w:pPr>
        <w:pStyle w:val="Heading1"/>
      </w:pPr>
      <w:r>
        <w:t>7. Action State Machine</w:t>
      </w:r>
    </w:p>
    <w:p>
      <w:r>
        <w:t>1. Agent proposes tool/action.</w:t>
      </w:r>
    </w:p>
    <w:p>
      <w:r>
        <w:t>2. System identifies session, delegation, principal, tool definition, risk class, and target resource.</w:t>
      </w:r>
    </w:p>
    <w:p>
      <w:r>
        <w:t>3. Policy rules are evaluated.</w:t>
      </w:r>
    </w:p>
    <w:p>
      <w:r>
        <w:t>4. Gate evaluation returns approve, deny, escalate, or inspect.</w:t>
      </w:r>
    </w:p>
    <w:p>
      <w:r>
        <w:t>5. Pre-action proof bundle is created for allowed or escalated actions.</w:t>
      </w:r>
    </w:p>
    <w:p>
      <w:r>
        <w:t>6. Tool wrapper checks proof before execution.</w:t>
      </w:r>
    </w:p>
    <w:p>
      <w:r>
        <w:t>7. Execution succeeds, fails, or is blocked.</w:t>
      </w:r>
    </w:p>
    <w:p>
      <w:r>
        <w:t>8. Request receipt and execution receipt are written.</w:t>
      </w:r>
    </w:p>
    <w:p>
      <w:r>
        <w:t>9. Evidence object/vault object/audit pack linkage is created as required.</w:t>
      </w:r>
    </w:p>
    <w:p>
      <w:pPr>
        <w:pStyle w:val="Heading1"/>
      </w:pPr>
      <w:r>
        <w:t>8. Conclusion</w:t>
      </w:r>
    </w:p>
    <w:p>
      <w:r>
        <w:t>The completed schema gives the agent governance paper a concrete operating model. The five planes are now represented in database objects that can support proof-carrying actions, least privilege, scoped delegation, deny-by-default tool use, evidence-bearing denials, and later audit reconstruction.</w:t>
      </w:r>
    </w:p>
    <w:p>
      <w:pPr>
        <w:pStyle w:val="Heading1"/>
      </w:pPr>
      <w:r>
        <w:t>AI Use and Editorial Note</w:t>
      </w:r>
    </w:p>
    <w:p>
      <w:r>
        <w:t>This draft was prepared for concept development, publication planning, and architecture alignment. AI assistance may have been used to structure and draft the material, with human editorial control, technical judgment, and final review expected before publication or external distribution.</w:t>
      </w:r>
    </w:p>
    <w:p>
      <w:pPr>
        <w:pStyle w:val="Heading1"/>
      </w:pPr>
      <w:r>
        <w:t>Source Basis</w:t>
      </w:r>
    </w:p>
    <w:p>
      <w:r>
        <w:t>This document is based on the AGEI category paper, CIAF-LCM process paper, CIAF-LCM with Governance Gates paper, evidence vault paper, agent governance paper, shadow AI paper, dual-layer provenance paper, global regulatory reference guide, and the completed database/schema structure exported in DATABASE.md.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