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Shadow AI and Dual-Layer Provenance</w:t>
      </w:r>
    </w:p>
    <w:p>
      <w:pPr>
        <w:jc w:val="center"/>
      </w:pPr>
      <w:r>
        <w:rPr>
          <w:i/>
          <w:sz w:val="24"/>
        </w:rPr>
        <w:t>Operational Update for Evidence Perimeter Expansion and Downstream Artifact Verification</w:t>
      </w:r>
    </w:p>
    <w:p>
      <w:pPr>
        <w:jc w:val="center"/>
      </w:pPr>
      <w:r>
        <w:rPr>
          <w:i/>
        </w:rPr>
        <w:t>Denzil Greenwood | CognitiveInsight.ai | April 2026</w:t>
      </w:r>
    </w:p>
    <w:p/>
    <w:p>
      <w:pPr>
        <w:pStyle w:val="Heading1"/>
      </w:pPr>
      <w:r>
        <w:t>Abstract</w:t>
      </w:r>
    </w:p>
    <w:p>
      <w:r>
        <w:t>This document updates the shadow AI and dual-layer provenance concepts against the completed database structure. It shows how unmanaged AI use can be discovered, classified, governed, and linked to evidence, and how distributed artifacts can be released, fingerprinted, and verified after leaving the runtime boundary.</w:t>
      </w:r>
    </w:p>
    <w:p>
      <w:pPr>
        <w:pStyle w:val="Heading1"/>
      </w:pPr>
      <w:r>
        <w:t>1. Expanded Evidence Perimeter</w:t>
      </w:r>
    </w:p>
    <w:p>
      <w:r>
        <w:t>AGEI cannot stop at approved model pipelines. Two important evidence gaps remain: unmanaged AI use outside approved channels, and artifacts that leave the runtime environment. The completed schema now represents both gaps as evidence-bearing workflows.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Gap</w:t>
            </w:r>
          </w:p>
        </w:tc>
        <w:tc>
          <w:tcPr>
            <w:tcW w:type="dxa" w:w="3360"/>
            <w:shd w:fill="D9EAF7"/>
            <w:vAlign w:val="center"/>
          </w:tcPr>
          <w:p>
            <w:pPr>
              <w:spacing w:after="0"/>
            </w:pPr>
            <w:r>
              <w:rPr>
                <w:sz w:val="18"/>
              </w:rPr>
            </w:r>
            <w:r>
              <w:rPr>
                <w:b/>
                <w:sz w:val="18"/>
              </w:rPr>
              <w:t>Operational tables</w:t>
            </w:r>
          </w:p>
        </w:tc>
        <w:tc>
          <w:tcPr>
            <w:tcW w:type="dxa" w:w="3360"/>
            <w:shd w:fill="D9EAF7"/>
            <w:vAlign w:val="center"/>
          </w:tcPr>
          <w:p>
            <w:pPr>
              <w:spacing w:after="0"/>
            </w:pPr>
            <w:r>
              <w:rPr>
                <w:sz w:val="18"/>
              </w:rPr>
            </w:r>
            <w:r>
              <w:rPr>
                <w:b/>
                <w:sz w:val="18"/>
              </w:rPr>
              <w:t>Purpose</w:t>
            </w:r>
          </w:p>
        </w:tc>
      </w:tr>
      <w:tr>
        <w:trPr>
          <w:cantSplit/>
        </w:trPr>
        <w:tc>
          <w:tcPr>
            <w:tcW w:type="dxa" w:w="3360"/>
            <w:vAlign w:val="top"/>
          </w:tcPr>
          <w:p>
            <w:pPr>
              <w:spacing w:after="0"/>
            </w:pPr>
            <w:r>
              <w:rPr>
                <w:sz w:val="18"/>
              </w:rPr>
            </w:r>
            <w:r>
              <w:rPr>
                <w:b w:val="0"/>
                <w:sz w:val="18"/>
              </w:rPr>
              <w:t>Shadow AI</w:t>
            </w:r>
          </w:p>
        </w:tc>
        <w:tc>
          <w:tcPr>
            <w:tcW w:type="dxa" w:w="3360"/>
            <w:vAlign w:val="top"/>
          </w:tcPr>
          <w:p>
            <w:pPr>
              <w:spacing w:after="0"/>
            </w:pPr>
            <w:r>
              <w:rPr>
                <w:sz w:val="18"/>
              </w:rPr>
            </w:r>
            <w:r>
              <w:rPr>
                <w:b w:val="0"/>
                <w:sz w:val="18"/>
              </w:rPr>
              <w:t>shadow_ai_tool_registry, shadow_ai_discovery_records, shadow_ai_classifications, shadow_ai_governance_responses</w:t>
            </w:r>
          </w:p>
        </w:tc>
        <w:tc>
          <w:tcPr>
            <w:tcW w:type="dxa" w:w="3360"/>
            <w:vAlign w:val="top"/>
          </w:tcPr>
          <w:p>
            <w:pPr>
              <w:spacing w:after="0"/>
            </w:pPr>
            <w:r>
              <w:rPr>
                <w:sz w:val="18"/>
              </w:rPr>
            </w:r>
            <w:r>
              <w:rPr>
                <w:b w:val="0"/>
                <w:sz w:val="18"/>
              </w:rPr>
              <w:t>Discover unmanaged AI use, classify risk, and route governance responses.</w:t>
            </w:r>
          </w:p>
        </w:tc>
      </w:tr>
      <w:tr>
        <w:trPr>
          <w:cantSplit/>
        </w:trPr>
        <w:tc>
          <w:tcPr>
            <w:tcW w:type="dxa" w:w="3360"/>
            <w:vAlign w:val="top"/>
          </w:tcPr>
          <w:p>
            <w:pPr>
              <w:spacing w:after="0"/>
            </w:pPr>
            <w:r>
              <w:rPr>
                <w:sz w:val="18"/>
              </w:rPr>
            </w:r>
            <w:r>
              <w:rPr>
                <w:b w:val="0"/>
                <w:sz w:val="18"/>
              </w:rPr>
              <w:t>Downstream provenance</w:t>
            </w:r>
          </w:p>
        </w:tc>
        <w:tc>
          <w:tcPr>
            <w:tcW w:type="dxa" w:w="3360"/>
            <w:vAlign w:val="top"/>
          </w:tcPr>
          <w:p>
            <w:pPr>
              <w:spacing w:after="0"/>
            </w:pPr>
            <w:r>
              <w:rPr>
                <w:sz w:val="18"/>
              </w:rPr>
            </w:r>
            <w:r>
              <w:rPr>
                <w:b w:val="0"/>
                <w:sz w:val="18"/>
              </w:rPr>
              <w:t>artifact_release_records, forensic_fingerprints, provenance_verification_records</w:t>
            </w:r>
          </w:p>
        </w:tc>
        <w:tc>
          <w:tcPr>
            <w:tcW w:type="dxa" w:w="3360"/>
            <w:vAlign w:val="top"/>
          </w:tcPr>
          <w:p>
            <w:pPr>
              <w:spacing w:after="0"/>
            </w:pPr>
            <w:r>
              <w:rPr>
                <w:sz w:val="18"/>
              </w:rPr>
            </w:r>
            <w:r>
              <w:rPr>
                <w:b w:val="0"/>
                <w:sz w:val="18"/>
              </w:rPr>
              <w:t>Bind released artifacts to pre/post-watermark hashes, fingerprints, and later verification receipts.</w:t>
            </w:r>
          </w:p>
        </w:tc>
      </w:tr>
    </w:tbl>
    <w:p/>
    <w:p>
      <w:pPr>
        <w:pStyle w:val="Heading1"/>
      </w:pPr>
      <w:r>
        <w:t>2. Shadow AI Operating Model</w:t>
      </w:r>
    </w:p>
    <w:p>
      <w:r>
        <w:t>The shadow AI model should be evidence-led rather than surveillance-led. The goal is not indiscriminate employee monitoring. The goal is purpose-limited discovery, risk classification, and accountable governance response.</w:t>
      </w:r>
    </w:p>
    <w:p>
      <w:r>
        <w:t>1. Register known tools, sanctioned tools, prohibited tools, and unmanaged tools in shadow_ai_tool_registry.</w:t>
      </w:r>
    </w:p>
    <w:p>
      <w:r>
        <w:t>2. Create a shadow_ai_discovery_record when a signal suggests unmanaged AI use.</w:t>
      </w:r>
    </w:p>
    <w:p>
      <w:r>
        <w:t>3. Record signal source, signal type, confidence, sensitivity hint, content retention mode, hash, and receipt/evidence references.</w:t>
      </w:r>
    </w:p>
    <w:p>
      <w:r>
        <w:t>4. Classify the event through shadow_ai_classifications using risk level, policy version, gate evaluation, reason code, and receipt.</w:t>
      </w:r>
    </w:p>
    <w:p>
      <w:r>
        <w:t>5. Route the response through shadow_ai_governance_responses: educate, approve, migrate, restrict, block, investigate, or create incident.</w:t>
      </w:r>
    </w:p>
    <w:p>
      <w:r>
        <w:t>6. If risk threshold is met, link the discovery or response to incidents and audit packs.</w:t>
      </w:r>
    </w:p>
    <w:p>
      <w:pPr>
        <w:pStyle w:val="Heading1"/>
      </w:pPr>
      <w:r>
        <w:t>3. Shadow AI Response Taxonomy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Response</w:t>
            </w:r>
          </w:p>
        </w:tc>
        <w:tc>
          <w:tcPr>
            <w:tcW w:type="dxa" w:w="3360"/>
            <w:shd w:fill="D9EAF7"/>
            <w:vAlign w:val="center"/>
          </w:tcPr>
          <w:p>
            <w:pPr>
              <w:spacing w:after="0"/>
            </w:pPr>
            <w:r>
              <w:rPr>
                <w:sz w:val="18"/>
              </w:rPr>
            </w:r>
            <w:r>
              <w:rPr>
                <w:b/>
                <w:sz w:val="18"/>
              </w:rPr>
              <w:t>When appropriate</w:t>
            </w:r>
          </w:p>
        </w:tc>
        <w:tc>
          <w:tcPr>
            <w:tcW w:type="dxa" w:w="3360"/>
            <w:shd w:fill="D9EAF7"/>
            <w:vAlign w:val="center"/>
          </w:tcPr>
          <w:p>
            <w:pPr>
              <w:spacing w:after="0"/>
            </w:pPr>
            <w:r>
              <w:rPr>
                <w:sz w:val="18"/>
              </w:rPr>
            </w:r>
            <w:r>
              <w:rPr>
                <w:b/>
                <w:sz w:val="18"/>
              </w:rPr>
              <w:t>Evidence to retain</w:t>
            </w:r>
          </w:p>
        </w:tc>
      </w:tr>
      <w:tr>
        <w:trPr>
          <w:cantSplit/>
        </w:trPr>
        <w:tc>
          <w:tcPr>
            <w:tcW w:type="dxa" w:w="3360"/>
            <w:vAlign w:val="top"/>
          </w:tcPr>
          <w:p>
            <w:pPr>
              <w:spacing w:after="0"/>
            </w:pPr>
            <w:r>
              <w:rPr>
                <w:sz w:val="18"/>
              </w:rPr>
            </w:r>
            <w:r>
              <w:rPr>
                <w:b w:val="0"/>
                <w:sz w:val="18"/>
              </w:rPr>
              <w:t>Educate</w:t>
            </w:r>
          </w:p>
        </w:tc>
        <w:tc>
          <w:tcPr>
            <w:tcW w:type="dxa" w:w="3360"/>
            <w:vAlign w:val="top"/>
          </w:tcPr>
          <w:p>
            <w:pPr>
              <w:spacing w:after="0"/>
            </w:pPr>
            <w:r>
              <w:rPr>
                <w:sz w:val="18"/>
              </w:rPr>
            </w:r>
            <w:r>
              <w:rPr>
                <w:b w:val="0"/>
                <w:sz w:val="18"/>
              </w:rPr>
              <w:t>Low-risk experimentation or policy misunderstanding.</w:t>
            </w:r>
          </w:p>
        </w:tc>
        <w:tc>
          <w:tcPr>
            <w:tcW w:type="dxa" w:w="3360"/>
            <w:vAlign w:val="top"/>
          </w:tcPr>
          <w:p>
            <w:pPr>
              <w:spacing w:after="0"/>
            </w:pPr>
            <w:r>
              <w:rPr>
                <w:sz w:val="18"/>
              </w:rPr>
            </w:r>
            <w:r>
              <w:rPr>
                <w:b w:val="0"/>
                <w:sz w:val="18"/>
              </w:rPr>
              <w:t>Discovery record, classification, training/remediation response receipt.</w:t>
            </w:r>
          </w:p>
        </w:tc>
      </w:tr>
      <w:tr>
        <w:trPr>
          <w:cantSplit/>
        </w:trPr>
        <w:tc>
          <w:tcPr>
            <w:tcW w:type="dxa" w:w="3360"/>
            <w:vAlign w:val="top"/>
          </w:tcPr>
          <w:p>
            <w:pPr>
              <w:spacing w:after="0"/>
            </w:pPr>
            <w:r>
              <w:rPr>
                <w:sz w:val="18"/>
              </w:rPr>
            </w:r>
            <w:r>
              <w:rPr>
                <w:b w:val="0"/>
                <w:sz w:val="18"/>
              </w:rPr>
              <w:t>Approve</w:t>
            </w:r>
          </w:p>
        </w:tc>
        <w:tc>
          <w:tcPr>
            <w:tcW w:type="dxa" w:w="3360"/>
            <w:vAlign w:val="top"/>
          </w:tcPr>
          <w:p>
            <w:pPr>
              <w:spacing w:after="0"/>
            </w:pPr>
            <w:r>
              <w:rPr>
                <w:sz w:val="18"/>
              </w:rPr>
            </w:r>
            <w:r>
              <w:rPr>
                <w:b w:val="0"/>
                <w:sz w:val="18"/>
              </w:rPr>
              <w:t>Tool/use case is acceptable after review.</w:t>
            </w:r>
          </w:p>
        </w:tc>
        <w:tc>
          <w:tcPr>
            <w:tcW w:type="dxa" w:w="3360"/>
            <w:vAlign w:val="top"/>
          </w:tcPr>
          <w:p>
            <w:pPr>
              <w:spacing w:after="0"/>
            </w:pPr>
            <w:r>
              <w:rPr>
                <w:sz w:val="18"/>
              </w:rPr>
            </w:r>
            <w:r>
              <w:rPr>
                <w:b w:val="0"/>
                <w:sz w:val="18"/>
              </w:rPr>
              <w:t>Tool registry update, policy/gate evidence, approval receipt.</w:t>
            </w:r>
          </w:p>
        </w:tc>
      </w:tr>
      <w:tr>
        <w:trPr>
          <w:cantSplit/>
        </w:trPr>
        <w:tc>
          <w:tcPr>
            <w:tcW w:type="dxa" w:w="3360"/>
            <w:vAlign w:val="top"/>
          </w:tcPr>
          <w:p>
            <w:pPr>
              <w:spacing w:after="0"/>
            </w:pPr>
            <w:r>
              <w:rPr>
                <w:sz w:val="18"/>
              </w:rPr>
            </w:r>
            <w:r>
              <w:rPr>
                <w:b w:val="0"/>
                <w:sz w:val="18"/>
              </w:rPr>
              <w:t>Migrate</w:t>
            </w:r>
          </w:p>
        </w:tc>
        <w:tc>
          <w:tcPr>
            <w:tcW w:type="dxa" w:w="3360"/>
            <w:vAlign w:val="top"/>
          </w:tcPr>
          <w:p>
            <w:pPr>
              <w:spacing w:after="0"/>
            </w:pPr>
            <w:r>
              <w:rPr>
                <w:sz w:val="18"/>
              </w:rPr>
            </w:r>
            <w:r>
              <w:rPr>
                <w:b w:val="0"/>
                <w:sz w:val="18"/>
              </w:rPr>
              <w:t>Use case is valid but should move to approved channel.</w:t>
            </w:r>
          </w:p>
        </w:tc>
        <w:tc>
          <w:tcPr>
            <w:tcW w:type="dxa" w:w="3360"/>
            <w:vAlign w:val="top"/>
          </w:tcPr>
          <w:p>
            <w:pPr>
              <w:spacing w:after="0"/>
            </w:pPr>
            <w:r>
              <w:rPr>
                <w:sz w:val="18"/>
              </w:rPr>
            </w:r>
            <w:r>
              <w:rPr>
                <w:b w:val="0"/>
                <w:sz w:val="18"/>
              </w:rPr>
              <w:t>Migration target, owner, due date, completion receipt.</w:t>
            </w:r>
          </w:p>
        </w:tc>
      </w:tr>
      <w:tr>
        <w:trPr>
          <w:cantSplit/>
        </w:trPr>
        <w:tc>
          <w:tcPr>
            <w:tcW w:type="dxa" w:w="3360"/>
            <w:vAlign w:val="top"/>
          </w:tcPr>
          <w:p>
            <w:pPr>
              <w:spacing w:after="0"/>
            </w:pPr>
            <w:r>
              <w:rPr>
                <w:sz w:val="18"/>
              </w:rPr>
            </w:r>
            <w:r>
              <w:rPr>
                <w:b w:val="0"/>
                <w:sz w:val="18"/>
              </w:rPr>
              <w:t>Restrict/block</w:t>
            </w:r>
          </w:p>
        </w:tc>
        <w:tc>
          <w:tcPr>
            <w:tcW w:type="dxa" w:w="3360"/>
            <w:vAlign w:val="top"/>
          </w:tcPr>
          <w:p>
            <w:pPr>
              <w:spacing w:after="0"/>
            </w:pPr>
            <w:r>
              <w:rPr>
                <w:sz w:val="18"/>
              </w:rPr>
            </w:r>
            <w:r>
              <w:rPr>
                <w:b w:val="0"/>
                <w:sz w:val="18"/>
              </w:rPr>
              <w:t>Use case or tool violates policy or sensitive data rules.</w:t>
            </w:r>
          </w:p>
        </w:tc>
        <w:tc>
          <w:tcPr>
            <w:tcW w:type="dxa" w:w="3360"/>
            <w:vAlign w:val="top"/>
          </w:tcPr>
          <w:p>
            <w:pPr>
              <w:spacing w:after="0"/>
            </w:pPr>
            <w:r>
              <w:rPr>
                <w:sz w:val="18"/>
              </w:rPr>
            </w:r>
            <w:r>
              <w:rPr>
                <w:b w:val="0"/>
                <w:sz w:val="18"/>
              </w:rPr>
              <w:t>Denial or restriction receipt, reason code, policy reference.</w:t>
            </w:r>
          </w:p>
        </w:tc>
      </w:tr>
      <w:tr>
        <w:trPr>
          <w:cantSplit/>
        </w:trPr>
        <w:tc>
          <w:tcPr>
            <w:tcW w:type="dxa" w:w="3360"/>
            <w:vAlign w:val="top"/>
          </w:tcPr>
          <w:p>
            <w:pPr>
              <w:spacing w:after="0"/>
            </w:pPr>
            <w:r>
              <w:rPr>
                <w:sz w:val="18"/>
              </w:rPr>
            </w:r>
            <w:r>
              <w:rPr>
                <w:b w:val="0"/>
                <w:sz w:val="18"/>
              </w:rPr>
              <w:t>Investigate</w:t>
            </w:r>
          </w:p>
        </w:tc>
        <w:tc>
          <w:tcPr>
            <w:tcW w:type="dxa" w:w="3360"/>
            <w:vAlign w:val="top"/>
          </w:tcPr>
          <w:p>
            <w:pPr>
              <w:spacing w:after="0"/>
            </w:pPr>
            <w:r>
              <w:rPr>
                <w:sz w:val="18"/>
              </w:rPr>
            </w:r>
            <w:r>
              <w:rPr>
                <w:b w:val="0"/>
                <w:sz w:val="18"/>
              </w:rPr>
              <w:t>High-risk disclosure, regulated data, harmful output, or repeated violation.</w:t>
            </w:r>
          </w:p>
        </w:tc>
        <w:tc>
          <w:tcPr>
            <w:tcW w:type="dxa" w:w="3360"/>
            <w:vAlign w:val="top"/>
          </w:tcPr>
          <w:p>
            <w:pPr>
              <w:spacing w:after="0"/>
            </w:pPr>
            <w:r>
              <w:rPr>
                <w:sz w:val="18"/>
              </w:rPr>
            </w:r>
            <w:r>
              <w:rPr>
                <w:b w:val="0"/>
                <w:sz w:val="18"/>
              </w:rPr>
              <w:t>Incident link, evidence object, audit-pack eligibility.</w:t>
            </w:r>
          </w:p>
        </w:tc>
      </w:tr>
    </w:tbl>
    <w:p/>
    <w:p>
      <w:pPr>
        <w:pStyle w:val="Heading1"/>
      </w:pPr>
      <w:r>
        <w:t>4. Artifact Release Model</w:t>
      </w:r>
    </w:p>
    <w:p>
      <w:r>
        <w:t>artifact_release_records preserve downstream release evidence. They include release ID, artifact type/ID, source and release receipt IDs, policy version, gate evaluation, pre-watermark hash, post-watermark hash, release content hash, hash algorithm, canonicalization version, distribution context, released-to/by/at, evidence object, and vault object.</w:t>
      </w:r>
    </w:p>
    <w:p>
      <w:pPr>
        <w:pStyle w:val="Heading1"/>
      </w:pPr>
      <w:r>
        <w:t>5. Dual-State Hashing</w:t>
      </w:r>
    </w:p>
    <w:p>
      <w:r>
        <w:t>Dual-state hashing records both the pre-watermark artifact state and the post-watermark release state. This supports two different questions: whether the released file matches the distributed version, and whether the released version corresponds to the original governed content before watermarking or embedding.</w:t>
      </w:r>
    </w:p>
    <w:p>
      <w:pPr>
        <w:pStyle w:val="Heading1"/>
      </w:pPr>
      <w:r>
        <w:t>6. Forensic Fingerprints</w:t>
      </w:r>
    </w:p>
    <w:p>
      <w:r>
        <w:t>forensic_fingerprints provide fallback linkage when explicit marks are missing, degraded, cropped, or disputed. They store method/version, artifact type, fingerprint payload/hash, zone count, zone size, top-k, threshold, match rule, receipt, and evidence object.</w:t>
      </w:r>
    </w:p>
    <w:p>
      <w:pPr>
        <w:pStyle w:val="Heading1"/>
      </w:pPr>
      <w:r>
        <w:t>7. Verification Records</w:t>
      </w:r>
    </w:p>
    <w:p>
      <w:r>
        <w:t>provenance_verification_records turn an investigation into an evidence event. They preserve suspect artifact type/hash, storage references, method, result, confidence score, matched release/fingerprint references, verification receipt, reviewer, timestamp, and payload. This keeps downstream verification inside the evidence graph.</w:t>
      </w:r>
    </w:p>
    <w:p>
      <w:pPr>
        <w:pStyle w:val="Heading1"/>
      </w:pPr>
      <w:r>
        <w:t>8. Claim Discipline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pPr>
              <w:spacing w:after="0"/>
            </w:pPr>
            <w:r>
              <w:rPr>
                <w:sz w:val="18"/>
              </w:rPr>
            </w:r>
            <w:r>
              <w:rPr>
                <w:b/>
                <w:sz w:val="18"/>
              </w:rPr>
              <w:t>Finding</w:t>
            </w:r>
          </w:p>
        </w:tc>
        <w:tc>
          <w:tcPr>
            <w:tcW w:type="dxa" w:w="5040"/>
            <w:shd w:fill="D9EAF7"/>
            <w:vAlign w:val="center"/>
          </w:tcPr>
          <w:p>
            <w:pPr>
              <w:spacing w:after="0"/>
            </w:pPr>
            <w:r>
              <w:rPr>
                <w:sz w:val="18"/>
              </w:rPr>
            </w:r>
            <w:r>
              <w:rPr>
                <w:b/>
                <w:sz w:val="18"/>
              </w:rPr>
              <w:t>Proper claim</w:t>
            </w:r>
          </w:p>
        </w:tc>
      </w:tr>
      <w:tr>
        <w:trPr>
          <w:cantSplit/>
        </w:trPr>
        <w:tc>
          <w:tcPr>
            <w:tcW w:type="dxa" w:w="5040"/>
            <w:vAlign w:val="top"/>
          </w:tcPr>
          <w:p>
            <w:pPr>
              <w:spacing w:after="0"/>
            </w:pPr>
            <w:r>
              <w:rPr>
                <w:sz w:val="18"/>
              </w:rPr>
            </w:r>
            <w:r>
              <w:rPr>
                <w:b w:val="0"/>
                <w:sz w:val="18"/>
              </w:rPr>
              <w:t>Exact post-watermark hash match</w:t>
            </w:r>
          </w:p>
        </w:tc>
        <w:tc>
          <w:tcPr>
            <w:tcW w:type="dxa" w:w="5040"/>
            <w:vAlign w:val="top"/>
          </w:tcPr>
          <w:p>
            <w:pPr>
              <w:spacing w:after="0"/>
            </w:pPr>
            <w:r>
              <w:rPr>
                <w:sz w:val="18"/>
              </w:rPr>
            </w:r>
            <w:r>
              <w:rPr>
                <w:b w:val="0"/>
                <w:sz w:val="18"/>
              </w:rPr>
              <w:t>The suspect artifact matches the released artifact state.</w:t>
            </w:r>
          </w:p>
        </w:tc>
      </w:tr>
      <w:tr>
        <w:trPr>
          <w:cantSplit/>
        </w:trPr>
        <w:tc>
          <w:tcPr>
            <w:tcW w:type="dxa" w:w="5040"/>
            <w:vAlign w:val="top"/>
          </w:tcPr>
          <w:p>
            <w:pPr>
              <w:spacing w:after="0"/>
            </w:pPr>
            <w:r>
              <w:rPr>
                <w:sz w:val="18"/>
              </w:rPr>
            </w:r>
            <w:r>
              <w:rPr>
                <w:b w:val="0"/>
                <w:sz w:val="18"/>
              </w:rPr>
              <w:t>Pre-watermark hash lineage match</w:t>
            </w:r>
          </w:p>
        </w:tc>
        <w:tc>
          <w:tcPr>
            <w:tcW w:type="dxa" w:w="5040"/>
            <w:vAlign w:val="top"/>
          </w:tcPr>
          <w:p>
            <w:pPr>
              <w:spacing w:after="0"/>
            </w:pPr>
            <w:r>
              <w:rPr>
                <w:sz w:val="18"/>
              </w:rPr>
            </w:r>
            <w:r>
              <w:rPr>
                <w:b w:val="0"/>
                <w:sz w:val="18"/>
              </w:rPr>
              <w:t>The artifact corresponds to the governed pre-release content state.</w:t>
            </w:r>
          </w:p>
        </w:tc>
      </w:tr>
      <w:tr>
        <w:trPr>
          <w:cantSplit/>
        </w:trPr>
        <w:tc>
          <w:tcPr>
            <w:tcW w:type="dxa" w:w="5040"/>
            <w:vAlign w:val="top"/>
          </w:tcPr>
          <w:p>
            <w:pPr>
              <w:spacing w:after="0"/>
            </w:pPr>
            <w:r>
              <w:rPr>
                <w:sz w:val="18"/>
              </w:rPr>
            </w:r>
            <w:r>
              <w:rPr>
                <w:b w:val="0"/>
                <w:sz w:val="18"/>
              </w:rPr>
              <w:t>Fingerprint threshold match</w:t>
            </w:r>
          </w:p>
        </w:tc>
        <w:tc>
          <w:tcPr>
            <w:tcW w:type="dxa" w:w="5040"/>
            <w:vAlign w:val="top"/>
          </w:tcPr>
          <w:p>
            <w:pPr>
              <w:spacing w:after="0"/>
            </w:pPr>
            <w:r>
              <w:rPr>
                <w:sz w:val="18"/>
              </w:rPr>
            </w:r>
            <w:r>
              <w:rPr>
                <w:b w:val="0"/>
                <w:sz w:val="18"/>
              </w:rPr>
              <w:t>The artifact probably links to the governed release under the stated method and confidence.</w:t>
            </w:r>
          </w:p>
        </w:tc>
      </w:tr>
      <w:tr>
        <w:trPr>
          <w:cantSplit/>
        </w:trPr>
        <w:tc>
          <w:tcPr>
            <w:tcW w:type="dxa" w:w="5040"/>
            <w:vAlign w:val="top"/>
          </w:tcPr>
          <w:p>
            <w:pPr>
              <w:spacing w:after="0"/>
            </w:pPr>
            <w:r>
              <w:rPr>
                <w:sz w:val="18"/>
              </w:rPr>
            </w:r>
            <w:r>
              <w:rPr>
                <w:b w:val="0"/>
                <w:sz w:val="18"/>
              </w:rPr>
              <w:t>No marker and weak fingerprint</w:t>
            </w:r>
          </w:p>
        </w:tc>
        <w:tc>
          <w:tcPr>
            <w:tcW w:type="dxa" w:w="5040"/>
            <w:vAlign w:val="top"/>
          </w:tcPr>
          <w:p>
            <w:pPr>
              <w:spacing w:after="0"/>
            </w:pPr>
            <w:r>
              <w:rPr>
                <w:sz w:val="18"/>
              </w:rPr>
            </w:r>
            <w:r>
              <w:rPr>
                <w:b w:val="0"/>
                <w:sz w:val="18"/>
              </w:rPr>
              <w:t>The system cannot support a reliable provenance claim absent corroborating evidence.</w:t>
            </w:r>
          </w:p>
        </w:tc>
      </w:tr>
    </w:tbl>
    <w:p/>
    <w:p>
      <w:pPr>
        <w:pStyle w:val="Heading1"/>
      </w:pPr>
      <w:r>
        <w:t>9. Conclusion</w:t>
      </w:r>
    </w:p>
    <w:p>
      <w:r>
        <w:t>Shadow AI and downstream provenance are now operationally integrated with AGEI. They are not separate side projects. Both expand the evidence perimeter: one inward to unmanaged usage and one outward to distributed artifacts.</w:t>
      </w:r>
    </w:p>
    <w:p>
      <w:pPr>
        <w:pStyle w:val="Heading1"/>
      </w:pPr>
      <w:r>
        <w:t>AI Use and Editorial Note</w:t>
      </w:r>
    </w:p>
    <w:p>
      <w:r>
        <w:t>This draft was prepared for concept development, publication planning, and architecture alignment. AI assistance may have been used to structure and draft the material, with human editorial control, technical judgment, and final review expected before publication or external distribution.</w:t>
      </w:r>
    </w:p>
    <w:p>
      <w:pPr>
        <w:pStyle w:val="Heading1"/>
      </w:pPr>
      <w:r>
        <w:t>Source Basis</w:t>
      </w:r>
    </w:p>
    <w:p>
      <w:r>
        <w:t>This document is based on the AGEI category paper, CIAF-LCM process paper, CIAF-LCM with Governance Gates paper, evidence vault paper, agent governance paper, shadow AI paper, dual-layer provenance paper, global regulatory reference guide, and the completed database/schema structure exported in DATABASE.md.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