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D376" w14:textId="77777777" w:rsidR="002159E2" w:rsidRDefault="00000000">
      <w:pPr>
        <w:spacing w:before="1400" w:after="160"/>
        <w:jc w:val="center"/>
      </w:pPr>
      <w:r>
        <w:rPr>
          <w:b/>
          <w:color w:val="1F4E79"/>
          <w:sz w:val="46"/>
        </w:rPr>
        <w:t>CIAF-LCM Proposed Schema Documentation</w:t>
      </w:r>
    </w:p>
    <w:p w14:paraId="78C83313" w14:textId="77777777" w:rsidR="002159E2" w:rsidRDefault="00000000">
      <w:pPr>
        <w:spacing w:after="80"/>
        <w:jc w:val="center"/>
      </w:pPr>
      <w:r>
        <w:rPr>
          <w:i/>
          <w:color w:val="5F5F5F"/>
          <w:sz w:val="24"/>
        </w:rPr>
        <w:t>Current schema state, architecture fit, and proposed documentation model</w:t>
      </w:r>
    </w:p>
    <w:p w14:paraId="335C5E9B" w14:textId="77777777" w:rsidR="002159E2" w:rsidRDefault="00000000">
      <w:pPr>
        <w:spacing w:after="320"/>
        <w:jc w:val="center"/>
      </w:pPr>
      <w:r>
        <w:rPr>
          <w:color w:val="5F5F5F"/>
        </w:rPr>
        <w:t>Prepared from uploaded schema coordination, implementation, quick reference, inventory, and review documents</w:t>
      </w:r>
    </w:p>
    <w:p w14:paraId="79A64024" w14:textId="77777777" w:rsidR="002159E2" w:rsidRDefault="00000000">
      <w:pPr>
        <w:spacing w:after="440"/>
        <w:jc w:val="center"/>
      </w:pPr>
      <w:r>
        <w:rPr>
          <w:color w:val="5F5F5F"/>
        </w:rPr>
        <w:t>April 19, 2026</w:t>
      </w:r>
    </w:p>
    <w:tbl>
      <w:tblPr>
        <w:tblW w:w="0" w:type="auto"/>
        <w:jc w:val="center"/>
        <w:tblLook w:val="04A0" w:firstRow="1" w:lastRow="0" w:firstColumn="1" w:lastColumn="0" w:noHBand="0" w:noVBand="1"/>
      </w:tblPr>
      <w:tblGrid>
        <w:gridCol w:w="9792"/>
      </w:tblGrid>
      <w:tr w:rsidR="002159E2" w14:paraId="28A15A1D" w14:textId="77777777">
        <w:trPr>
          <w:jc w:val="center"/>
        </w:trPr>
        <w:tc>
          <w:tcPr>
            <w:tcW w:w="9792" w:type="dxa"/>
            <w:shd w:val="clear" w:color="auto" w:fill="EEF5FB"/>
            <w:tcMar>
              <w:top w:w="140" w:type="dxa"/>
              <w:left w:w="160" w:type="dxa"/>
              <w:bottom w:w="140" w:type="dxa"/>
              <w:right w:w="160" w:type="dxa"/>
            </w:tcMar>
          </w:tcPr>
          <w:p w14:paraId="79F78B21" w14:textId="78414D27" w:rsidR="002159E2" w:rsidRDefault="00000000">
            <w:pPr>
              <w:jc w:val="center"/>
            </w:pPr>
            <w:r>
              <w:rPr>
                <w:i/>
              </w:rPr>
              <w:t xml:space="preserve">Document intent: show what schemas currently exist, how they fit the CIAF-LCM lifecycle and </w:t>
            </w:r>
            <w:r w:rsidR="00FF6CFF">
              <w:rPr>
                <w:i/>
              </w:rPr>
              <w:t xml:space="preserve">Governance/Evidence </w:t>
            </w:r>
            <w:r>
              <w:rPr>
                <w:i/>
              </w:rPr>
              <w:t xml:space="preserve"> model, where the architecture is already strong, and what schema work should come next to complete the framework.</w:t>
            </w:r>
          </w:p>
        </w:tc>
      </w:tr>
    </w:tbl>
    <w:p w14:paraId="510ADE61" w14:textId="77777777" w:rsidR="002159E2" w:rsidRDefault="00000000">
      <w:r>
        <w:br w:type="page"/>
      </w:r>
    </w:p>
    <w:p w14:paraId="290212E5" w14:textId="77777777" w:rsidR="002159E2" w:rsidRDefault="00000000">
      <w:pPr>
        <w:pStyle w:val="Heading1"/>
        <w:spacing w:before="240" w:after="100"/>
      </w:pPr>
      <w:r>
        <w:lastRenderedPageBreak/>
        <w:t>1. Executive Summary</w:t>
      </w:r>
    </w:p>
    <w:p w14:paraId="2115A142" w14:textId="77777777" w:rsidR="002159E2" w:rsidRDefault="00000000">
      <w:pPr>
        <w:spacing w:after="120"/>
        <w:ind w:firstLine="259"/>
      </w:pPr>
      <w:r>
        <w:t>The current schema landscape is organized around two coordinated repositories. The CIAF Core repository contains 43 main JSON schemas plus shared components for identifiers, enums, patterns, and signature support. The CIAF Watermarking repository contains 5 active validation schemas, 2 deprecated legacy schemas retained for compatibility, and a new component library with 7 reusable component files. The combined active schema set is effectively 50 files across both repositories, with both sides now aligned to JSON Schema 2020-12 and semantic versioning after the recent migration work.</w:t>
      </w:r>
    </w:p>
    <w:p w14:paraId="55D8138D" w14:textId="77777777" w:rsidR="002159E2" w:rsidRDefault="00000000">
      <w:pPr>
        <w:spacing w:after="120"/>
        <w:ind w:firstLine="259"/>
      </w:pPr>
      <w:r>
        <w:t>The strongest progress is in evidence capture, lifecycle provenance, agent identities and actions, artifact evidence, watermarking, and supply-chain-oriented training and deployment records. The biggest remaining gaps are not in general structure but in consistency and enforcement fidelity: proof metadata is still uneven, gate and policy evaluation objects are still not first-class enough, lineage references are not fully standardized, and some parts of the family are still stronger at capturing evidence than at proving governance-as-enforcement.</w:t>
      </w:r>
    </w:p>
    <w:tbl>
      <w:tblPr>
        <w:tblW w:w="0" w:type="auto"/>
        <w:jc w:val="center"/>
        <w:tblLook w:val="04A0" w:firstRow="1" w:lastRow="0" w:firstColumn="1" w:lastColumn="0" w:noHBand="0" w:noVBand="1"/>
      </w:tblPr>
      <w:tblGrid>
        <w:gridCol w:w="9792"/>
      </w:tblGrid>
      <w:tr w:rsidR="002159E2" w14:paraId="1ED54944" w14:textId="77777777">
        <w:trPr>
          <w:jc w:val="center"/>
        </w:trPr>
        <w:tc>
          <w:tcPr>
            <w:tcW w:w="9792" w:type="dxa"/>
            <w:shd w:val="clear" w:color="auto" w:fill="DCE6F2"/>
            <w:tcMar>
              <w:top w:w="100" w:type="dxa"/>
              <w:left w:w="140" w:type="dxa"/>
              <w:bottom w:w="100" w:type="dxa"/>
              <w:right w:w="140" w:type="dxa"/>
            </w:tcMar>
          </w:tcPr>
          <w:p w14:paraId="5D72F95D" w14:textId="77777777" w:rsidR="002159E2" w:rsidRDefault="00000000">
            <w:pPr>
              <w:jc w:val="center"/>
            </w:pPr>
            <w:r>
              <w:rPr>
                <w:b/>
                <w:color w:val="1F4E79"/>
              </w:rPr>
              <w:t>Bottom line</w:t>
            </w:r>
          </w:p>
        </w:tc>
      </w:tr>
      <w:tr w:rsidR="002159E2" w14:paraId="7EED94F8" w14:textId="77777777">
        <w:trPr>
          <w:jc w:val="center"/>
        </w:trPr>
        <w:tc>
          <w:tcPr>
            <w:tcW w:w="9792" w:type="dxa"/>
            <w:shd w:val="clear" w:color="auto" w:fill="F7FAFD"/>
            <w:tcMar>
              <w:top w:w="120" w:type="dxa"/>
              <w:left w:w="140" w:type="dxa"/>
              <w:bottom w:w="120" w:type="dxa"/>
              <w:right w:w="140" w:type="dxa"/>
            </w:tcMar>
          </w:tcPr>
          <w:p w14:paraId="77687F6E" w14:textId="77777777" w:rsidR="002159E2" w:rsidRDefault="00000000">
            <w:r>
              <w:rPr>
                <w:i/>
                <w:color w:val="5F5F5F"/>
                <w:sz w:val="20"/>
              </w:rPr>
              <w:t>The schema family is now credible as CIAF evidence infrastructure, but it still needs one disciplined pass to fully represent CIAF-LCM as enforceable governance infrastructure rather than mainly evidence-rich observability.</w:t>
            </w:r>
          </w:p>
        </w:tc>
      </w:tr>
    </w:tbl>
    <w:p w14:paraId="7B78F197" w14:textId="77777777" w:rsidR="002159E2" w:rsidRDefault="002159E2"/>
    <w:p w14:paraId="69D925AA" w14:textId="77777777" w:rsidR="002159E2" w:rsidRDefault="00000000">
      <w:pPr>
        <w:pStyle w:val="Heading1"/>
        <w:spacing w:before="240" w:after="100"/>
      </w:pPr>
      <w:r>
        <w:t>2. Current Schema State</w:t>
      </w:r>
    </w:p>
    <w:p w14:paraId="4A86D5AE" w14:textId="77777777" w:rsidR="002159E2" w:rsidRDefault="00000000">
      <w:pPr>
        <w:spacing w:after="120"/>
        <w:ind w:firstLine="259"/>
      </w:pPr>
      <w:r>
        <w:t>The uploaded inventory and implementation documents support the following current-state view of the schema family.</w:t>
      </w:r>
    </w:p>
    <w:tbl>
      <w:tblPr>
        <w:tblStyle w:val="TableGrid"/>
        <w:tblW w:w="0" w:type="auto"/>
        <w:jc w:val="center"/>
        <w:tblLook w:val="04A0" w:firstRow="1" w:lastRow="0" w:firstColumn="1" w:lastColumn="0" w:noHBand="0" w:noVBand="1"/>
      </w:tblPr>
      <w:tblGrid>
        <w:gridCol w:w="2061"/>
        <w:gridCol w:w="1955"/>
        <w:gridCol w:w="1511"/>
        <w:gridCol w:w="1672"/>
        <w:gridCol w:w="2813"/>
      </w:tblGrid>
      <w:tr w:rsidR="002159E2" w14:paraId="20B0AE68" w14:textId="77777777">
        <w:trPr>
          <w:jc w:val="center"/>
        </w:trPr>
        <w:tc>
          <w:tcPr>
            <w:tcW w:w="2160" w:type="dxa"/>
            <w:shd w:val="clear" w:color="auto" w:fill="D9EAF7"/>
            <w:tcMar>
              <w:top w:w="90" w:type="dxa"/>
              <w:left w:w="110" w:type="dxa"/>
              <w:bottom w:w="90" w:type="dxa"/>
              <w:right w:w="110" w:type="dxa"/>
            </w:tcMar>
            <w:vAlign w:val="center"/>
          </w:tcPr>
          <w:p w14:paraId="31C055C5" w14:textId="77777777" w:rsidR="002159E2" w:rsidRDefault="00000000">
            <w:pPr>
              <w:spacing w:before="40" w:after="40"/>
              <w:jc w:val="center"/>
            </w:pPr>
            <w:r>
              <w:rPr>
                <w:b/>
                <w:sz w:val="18"/>
              </w:rPr>
              <w:t>Repository</w:t>
            </w:r>
          </w:p>
        </w:tc>
        <w:tc>
          <w:tcPr>
            <w:tcW w:w="2088" w:type="dxa"/>
            <w:shd w:val="clear" w:color="auto" w:fill="D9EAF7"/>
            <w:tcMar>
              <w:top w:w="90" w:type="dxa"/>
              <w:left w:w="110" w:type="dxa"/>
              <w:bottom w:w="90" w:type="dxa"/>
              <w:right w:w="110" w:type="dxa"/>
            </w:tcMar>
            <w:vAlign w:val="center"/>
          </w:tcPr>
          <w:p w14:paraId="3AA72D13" w14:textId="77777777" w:rsidR="002159E2" w:rsidRDefault="00000000">
            <w:pPr>
              <w:spacing w:before="40" w:after="40"/>
              <w:jc w:val="center"/>
            </w:pPr>
            <w:r>
              <w:rPr>
                <w:b/>
                <w:sz w:val="18"/>
              </w:rPr>
              <w:t>Current state</w:t>
            </w:r>
          </w:p>
        </w:tc>
        <w:tc>
          <w:tcPr>
            <w:tcW w:w="1584" w:type="dxa"/>
            <w:shd w:val="clear" w:color="auto" w:fill="D9EAF7"/>
            <w:tcMar>
              <w:top w:w="90" w:type="dxa"/>
              <w:left w:w="110" w:type="dxa"/>
              <w:bottom w:w="90" w:type="dxa"/>
              <w:right w:w="110" w:type="dxa"/>
            </w:tcMar>
            <w:vAlign w:val="center"/>
          </w:tcPr>
          <w:p w14:paraId="3A7908D2" w14:textId="77777777" w:rsidR="002159E2" w:rsidRDefault="00000000">
            <w:pPr>
              <w:spacing w:before="40" w:after="40"/>
              <w:jc w:val="center"/>
            </w:pPr>
            <w:r>
              <w:rPr>
                <w:b/>
                <w:sz w:val="18"/>
              </w:rPr>
              <w:t>Main schemas</w:t>
            </w:r>
          </w:p>
        </w:tc>
        <w:tc>
          <w:tcPr>
            <w:tcW w:w="1728" w:type="dxa"/>
            <w:shd w:val="clear" w:color="auto" w:fill="D9EAF7"/>
            <w:tcMar>
              <w:top w:w="90" w:type="dxa"/>
              <w:left w:w="110" w:type="dxa"/>
              <w:bottom w:w="90" w:type="dxa"/>
              <w:right w:w="110" w:type="dxa"/>
            </w:tcMar>
            <w:vAlign w:val="center"/>
          </w:tcPr>
          <w:p w14:paraId="50542EBD" w14:textId="77777777" w:rsidR="002159E2" w:rsidRDefault="00000000">
            <w:pPr>
              <w:spacing w:before="40" w:after="40"/>
              <w:jc w:val="center"/>
            </w:pPr>
            <w:r>
              <w:rPr>
                <w:b/>
                <w:sz w:val="18"/>
              </w:rPr>
              <w:t>Supporting components</w:t>
            </w:r>
          </w:p>
        </w:tc>
        <w:tc>
          <w:tcPr>
            <w:tcW w:w="3024" w:type="dxa"/>
            <w:shd w:val="clear" w:color="auto" w:fill="D9EAF7"/>
            <w:tcMar>
              <w:top w:w="90" w:type="dxa"/>
              <w:left w:w="110" w:type="dxa"/>
              <w:bottom w:w="90" w:type="dxa"/>
              <w:right w:w="110" w:type="dxa"/>
            </w:tcMar>
            <w:vAlign w:val="center"/>
          </w:tcPr>
          <w:p w14:paraId="4891E951" w14:textId="77777777" w:rsidR="002159E2" w:rsidRDefault="00000000">
            <w:pPr>
              <w:spacing w:before="40" w:after="40"/>
              <w:jc w:val="center"/>
            </w:pPr>
            <w:r>
              <w:rPr>
                <w:b/>
                <w:sz w:val="18"/>
              </w:rPr>
              <w:t>Notes</w:t>
            </w:r>
          </w:p>
        </w:tc>
      </w:tr>
      <w:tr w:rsidR="002159E2" w14:paraId="416299C7" w14:textId="77777777">
        <w:trPr>
          <w:jc w:val="center"/>
        </w:trPr>
        <w:tc>
          <w:tcPr>
            <w:tcW w:w="2160" w:type="dxa"/>
            <w:shd w:val="clear" w:color="auto" w:fill="F7FBFE"/>
            <w:tcMar>
              <w:top w:w="90" w:type="dxa"/>
              <w:left w:w="110" w:type="dxa"/>
              <w:bottom w:w="90" w:type="dxa"/>
              <w:right w:w="110" w:type="dxa"/>
            </w:tcMar>
            <w:vAlign w:val="center"/>
          </w:tcPr>
          <w:p w14:paraId="351F876D" w14:textId="77777777" w:rsidR="002159E2" w:rsidRDefault="00000000">
            <w:pPr>
              <w:spacing w:before="40" w:after="40"/>
            </w:pPr>
            <w:r>
              <w:rPr>
                <w:sz w:val="18"/>
              </w:rPr>
              <w:t>CIAF Core (pyciaf)</w:t>
            </w:r>
          </w:p>
        </w:tc>
        <w:tc>
          <w:tcPr>
            <w:tcW w:w="2088" w:type="dxa"/>
            <w:shd w:val="clear" w:color="auto" w:fill="F7FBFE"/>
            <w:tcMar>
              <w:top w:w="90" w:type="dxa"/>
              <w:left w:w="110" w:type="dxa"/>
              <w:bottom w:w="90" w:type="dxa"/>
              <w:right w:w="110" w:type="dxa"/>
            </w:tcMar>
            <w:vAlign w:val="center"/>
          </w:tcPr>
          <w:p w14:paraId="159B2A8E" w14:textId="77777777" w:rsidR="002159E2" w:rsidRDefault="00000000">
            <w:pPr>
              <w:spacing w:before="40" w:after="40"/>
            </w:pPr>
            <w:r>
              <w:rPr>
                <w:sz w:val="18"/>
              </w:rPr>
              <w:t>Mature</w:t>
            </w:r>
          </w:p>
        </w:tc>
        <w:tc>
          <w:tcPr>
            <w:tcW w:w="1584" w:type="dxa"/>
            <w:shd w:val="clear" w:color="auto" w:fill="F7FBFE"/>
            <w:tcMar>
              <w:top w:w="90" w:type="dxa"/>
              <w:left w:w="110" w:type="dxa"/>
              <w:bottom w:w="90" w:type="dxa"/>
              <w:right w:w="110" w:type="dxa"/>
            </w:tcMar>
            <w:vAlign w:val="center"/>
          </w:tcPr>
          <w:p w14:paraId="7CBC47C6" w14:textId="77777777" w:rsidR="002159E2" w:rsidRDefault="00000000">
            <w:pPr>
              <w:spacing w:before="40" w:after="40"/>
            </w:pPr>
            <w:r>
              <w:rPr>
                <w:sz w:val="18"/>
              </w:rPr>
              <w:t>43</w:t>
            </w:r>
          </w:p>
        </w:tc>
        <w:tc>
          <w:tcPr>
            <w:tcW w:w="1728" w:type="dxa"/>
            <w:shd w:val="clear" w:color="auto" w:fill="F7FBFE"/>
            <w:tcMar>
              <w:top w:w="90" w:type="dxa"/>
              <w:left w:w="110" w:type="dxa"/>
              <w:bottom w:w="90" w:type="dxa"/>
              <w:right w:w="110" w:type="dxa"/>
            </w:tcMar>
            <w:vAlign w:val="center"/>
          </w:tcPr>
          <w:p w14:paraId="5E1A6DFD" w14:textId="77777777" w:rsidR="002159E2" w:rsidRDefault="00000000">
            <w:pPr>
              <w:spacing w:before="40" w:after="40"/>
            </w:pPr>
            <w:r>
              <w:rPr>
                <w:sz w:val="18"/>
              </w:rPr>
              <w:t>7+ common types</w:t>
            </w:r>
          </w:p>
        </w:tc>
        <w:tc>
          <w:tcPr>
            <w:tcW w:w="3024" w:type="dxa"/>
            <w:shd w:val="clear" w:color="auto" w:fill="F7FBFE"/>
            <w:tcMar>
              <w:top w:w="90" w:type="dxa"/>
              <w:left w:w="110" w:type="dxa"/>
              <w:bottom w:w="90" w:type="dxa"/>
              <w:right w:w="110" w:type="dxa"/>
            </w:tcMar>
            <w:vAlign w:val="center"/>
          </w:tcPr>
          <w:p w14:paraId="36FA74E1" w14:textId="77777777" w:rsidR="002159E2" w:rsidRDefault="00000000">
            <w:pPr>
              <w:spacing w:before="40" w:after="40"/>
            </w:pPr>
            <w:r>
              <w:rPr>
                <w:sz w:val="18"/>
              </w:rPr>
              <w:t>JSON Schema 2020-12, semantic versioning, centralized $ref model</w:t>
            </w:r>
          </w:p>
        </w:tc>
      </w:tr>
      <w:tr w:rsidR="002159E2" w14:paraId="2F692AE0" w14:textId="77777777">
        <w:trPr>
          <w:jc w:val="center"/>
        </w:trPr>
        <w:tc>
          <w:tcPr>
            <w:tcW w:w="2160" w:type="dxa"/>
            <w:tcMar>
              <w:top w:w="90" w:type="dxa"/>
              <w:left w:w="110" w:type="dxa"/>
              <w:bottom w:w="90" w:type="dxa"/>
              <w:right w:w="110" w:type="dxa"/>
            </w:tcMar>
            <w:vAlign w:val="center"/>
          </w:tcPr>
          <w:p w14:paraId="7EB2506A" w14:textId="77777777" w:rsidR="002159E2" w:rsidRDefault="00000000">
            <w:pPr>
              <w:spacing w:before="40" w:after="40"/>
            </w:pPr>
            <w:r>
              <w:rPr>
                <w:sz w:val="18"/>
              </w:rPr>
              <w:t>CIAF Watermarking Validation</w:t>
            </w:r>
          </w:p>
        </w:tc>
        <w:tc>
          <w:tcPr>
            <w:tcW w:w="2088" w:type="dxa"/>
            <w:tcMar>
              <w:top w:w="90" w:type="dxa"/>
              <w:left w:w="110" w:type="dxa"/>
              <w:bottom w:w="90" w:type="dxa"/>
              <w:right w:w="110" w:type="dxa"/>
            </w:tcMar>
            <w:vAlign w:val="center"/>
          </w:tcPr>
          <w:p w14:paraId="19C3ECA5" w14:textId="77777777" w:rsidR="002159E2" w:rsidRDefault="00000000">
            <w:pPr>
              <w:spacing w:before="40" w:after="40"/>
            </w:pPr>
            <w:r>
              <w:rPr>
                <w:sz w:val="18"/>
              </w:rPr>
              <w:t>Aligned after migration</w:t>
            </w:r>
          </w:p>
        </w:tc>
        <w:tc>
          <w:tcPr>
            <w:tcW w:w="1584" w:type="dxa"/>
            <w:tcMar>
              <w:top w:w="90" w:type="dxa"/>
              <w:left w:w="110" w:type="dxa"/>
              <w:bottom w:w="90" w:type="dxa"/>
              <w:right w:w="110" w:type="dxa"/>
            </w:tcMar>
            <w:vAlign w:val="center"/>
          </w:tcPr>
          <w:p w14:paraId="0C5A2C6B" w14:textId="77777777" w:rsidR="002159E2" w:rsidRDefault="00000000">
            <w:pPr>
              <w:spacing w:before="40" w:after="40"/>
            </w:pPr>
            <w:r>
              <w:rPr>
                <w:sz w:val="18"/>
              </w:rPr>
              <w:t>5 active + 2 legacy</w:t>
            </w:r>
          </w:p>
        </w:tc>
        <w:tc>
          <w:tcPr>
            <w:tcW w:w="1728" w:type="dxa"/>
            <w:tcMar>
              <w:top w:w="90" w:type="dxa"/>
              <w:left w:w="110" w:type="dxa"/>
              <w:bottom w:w="90" w:type="dxa"/>
              <w:right w:w="110" w:type="dxa"/>
            </w:tcMar>
            <w:vAlign w:val="center"/>
          </w:tcPr>
          <w:p w14:paraId="7A66BA5E" w14:textId="77777777" w:rsidR="002159E2" w:rsidRDefault="00000000">
            <w:pPr>
              <w:spacing w:before="40" w:after="40"/>
            </w:pPr>
            <w:r>
              <w:rPr>
                <w:sz w:val="18"/>
              </w:rPr>
              <w:t>7 new components</w:t>
            </w:r>
          </w:p>
        </w:tc>
        <w:tc>
          <w:tcPr>
            <w:tcW w:w="3024" w:type="dxa"/>
            <w:tcMar>
              <w:top w:w="90" w:type="dxa"/>
              <w:left w:w="110" w:type="dxa"/>
              <w:bottom w:w="90" w:type="dxa"/>
              <w:right w:w="110" w:type="dxa"/>
            </w:tcMar>
            <w:vAlign w:val="center"/>
          </w:tcPr>
          <w:p w14:paraId="52089C83" w14:textId="77777777" w:rsidR="002159E2" w:rsidRDefault="00000000">
            <w:pPr>
              <w:spacing w:before="40" w:after="40"/>
            </w:pPr>
            <w:r>
              <w:rPr>
                <w:sz w:val="18"/>
              </w:rPr>
              <w:t>Now standardized to 2020-12, semantic versioning, common library added</w:t>
            </w:r>
          </w:p>
        </w:tc>
      </w:tr>
    </w:tbl>
    <w:p w14:paraId="709EB2AE" w14:textId="77777777" w:rsidR="002159E2" w:rsidRDefault="002159E2"/>
    <w:p w14:paraId="1339BF37" w14:textId="77777777" w:rsidR="002159E2" w:rsidRDefault="00000000">
      <w:pPr>
        <w:spacing w:after="120"/>
        <w:ind w:firstLine="259"/>
      </w:pPr>
      <w:r>
        <w:t>The CIAF Core side includes schemas for actions and receipts, artifact evidence, approvals and decisions, training and model lineage, deployment and infrastructure, policy and permissions, forensic evidence, identity and resource, execution and processing, proof metadata, data containers, and references. The watermarking side now centers on collision, corpus metadata, watermark fingerprints, validation metrics, and validation configuration, plus new shared components for identifiers, enumerations, and zone-based patterns.</w:t>
      </w:r>
    </w:p>
    <w:p w14:paraId="29695A27" w14:textId="77777777" w:rsidR="002159E2" w:rsidRDefault="00000000">
      <w:pPr>
        <w:spacing w:after="120"/>
        <w:ind w:firstLine="259"/>
      </w:pPr>
      <w:r>
        <w:lastRenderedPageBreak/>
        <w:t>This means the base material for a real schema documentation document already exists. What is missing is not raw content, but a synthesized document that explains the family as one architecture: what each schema group is for, where it fits in CIAF-LCM, which schemas form the core contract path, and which schema additions are still required to fully realize the lifecycle-and-gates model.</w:t>
      </w:r>
    </w:p>
    <w:p w14:paraId="49B45459" w14:textId="77777777" w:rsidR="002159E2" w:rsidRDefault="00000000">
      <w:pPr>
        <w:pStyle w:val="Heading1"/>
        <w:spacing w:before="240" w:after="100"/>
      </w:pPr>
      <w:r>
        <w:t>3. How the Current Schemas Relate to CIAF-LCM</w:t>
      </w:r>
    </w:p>
    <w:p w14:paraId="2614AD6E" w14:textId="77777777" w:rsidR="002159E2" w:rsidRDefault="00000000">
      <w:pPr>
        <w:spacing w:after="120"/>
        <w:ind w:firstLine="259"/>
      </w:pPr>
      <w:r>
        <w:t>The best way to document the current family is not alphabetically and not only by repository. It should be organized by CIAF-LCM function. That reveals how the pieces work together.</w:t>
      </w:r>
    </w:p>
    <w:tbl>
      <w:tblPr>
        <w:tblStyle w:val="TableGrid"/>
        <w:tblW w:w="0" w:type="auto"/>
        <w:jc w:val="center"/>
        <w:tblLook w:val="04A0" w:firstRow="1" w:lastRow="0" w:firstColumn="1" w:lastColumn="0" w:noHBand="0" w:noVBand="1"/>
      </w:tblPr>
      <w:tblGrid>
        <w:gridCol w:w="2016"/>
        <w:gridCol w:w="3096"/>
        <w:gridCol w:w="2736"/>
        <w:gridCol w:w="2160"/>
      </w:tblGrid>
      <w:tr w:rsidR="002159E2" w14:paraId="043DA87C" w14:textId="77777777">
        <w:trPr>
          <w:jc w:val="center"/>
        </w:trPr>
        <w:tc>
          <w:tcPr>
            <w:tcW w:w="2016" w:type="dxa"/>
            <w:shd w:val="clear" w:color="auto" w:fill="D9EAF7"/>
            <w:tcMar>
              <w:top w:w="90" w:type="dxa"/>
              <w:left w:w="110" w:type="dxa"/>
              <w:bottom w:w="90" w:type="dxa"/>
              <w:right w:w="110" w:type="dxa"/>
            </w:tcMar>
            <w:vAlign w:val="center"/>
          </w:tcPr>
          <w:p w14:paraId="024E194D" w14:textId="77777777" w:rsidR="002159E2" w:rsidRDefault="00000000">
            <w:pPr>
              <w:spacing w:before="40" w:after="40"/>
              <w:jc w:val="center"/>
            </w:pPr>
            <w:r>
              <w:rPr>
                <w:b/>
                <w:sz w:val="17"/>
              </w:rPr>
              <w:t>CIAF-LCM function</w:t>
            </w:r>
          </w:p>
        </w:tc>
        <w:tc>
          <w:tcPr>
            <w:tcW w:w="3096" w:type="dxa"/>
            <w:shd w:val="clear" w:color="auto" w:fill="D9EAF7"/>
            <w:tcMar>
              <w:top w:w="90" w:type="dxa"/>
              <w:left w:w="110" w:type="dxa"/>
              <w:bottom w:w="90" w:type="dxa"/>
              <w:right w:w="110" w:type="dxa"/>
            </w:tcMar>
            <w:vAlign w:val="center"/>
          </w:tcPr>
          <w:p w14:paraId="092D4544" w14:textId="77777777" w:rsidR="002159E2" w:rsidRDefault="00000000">
            <w:pPr>
              <w:spacing w:before="40" w:after="40"/>
              <w:jc w:val="center"/>
            </w:pPr>
            <w:r>
              <w:rPr>
                <w:b/>
                <w:sz w:val="17"/>
              </w:rPr>
              <w:t>Current schema families</w:t>
            </w:r>
          </w:p>
        </w:tc>
        <w:tc>
          <w:tcPr>
            <w:tcW w:w="2736" w:type="dxa"/>
            <w:shd w:val="clear" w:color="auto" w:fill="D9EAF7"/>
            <w:tcMar>
              <w:top w:w="90" w:type="dxa"/>
              <w:left w:w="110" w:type="dxa"/>
              <w:bottom w:w="90" w:type="dxa"/>
              <w:right w:w="110" w:type="dxa"/>
            </w:tcMar>
            <w:vAlign w:val="center"/>
          </w:tcPr>
          <w:p w14:paraId="28C6EE37" w14:textId="77777777" w:rsidR="002159E2" w:rsidRDefault="00000000">
            <w:pPr>
              <w:spacing w:before="40" w:after="40"/>
              <w:jc w:val="center"/>
            </w:pPr>
            <w:r>
              <w:rPr>
                <w:b/>
                <w:sz w:val="17"/>
              </w:rPr>
              <w:t>What they do now</w:t>
            </w:r>
          </w:p>
        </w:tc>
        <w:tc>
          <w:tcPr>
            <w:tcW w:w="2160" w:type="dxa"/>
            <w:shd w:val="clear" w:color="auto" w:fill="D9EAF7"/>
            <w:tcMar>
              <w:top w:w="90" w:type="dxa"/>
              <w:left w:w="110" w:type="dxa"/>
              <w:bottom w:w="90" w:type="dxa"/>
              <w:right w:w="110" w:type="dxa"/>
            </w:tcMar>
            <w:vAlign w:val="center"/>
          </w:tcPr>
          <w:p w14:paraId="72AD7A67" w14:textId="77777777" w:rsidR="002159E2" w:rsidRDefault="00000000">
            <w:pPr>
              <w:spacing w:before="40" w:after="40"/>
              <w:jc w:val="center"/>
            </w:pPr>
            <w:r>
              <w:rPr>
                <w:b/>
                <w:sz w:val="17"/>
              </w:rPr>
              <w:t>Documentation position</w:t>
            </w:r>
          </w:p>
        </w:tc>
      </w:tr>
      <w:tr w:rsidR="002159E2" w14:paraId="3F16B5C7" w14:textId="77777777">
        <w:trPr>
          <w:jc w:val="center"/>
        </w:trPr>
        <w:tc>
          <w:tcPr>
            <w:tcW w:w="2016" w:type="dxa"/>
            <w:shd w:val="clear" w:color="auto" w:fill="F7FBFE"/>
            <w:tcMar>
              <w:top w:w="90" w:type="dxa"/>
              <w:left w:w="110" w:type="dxa"/>
              <w:bottom w:w="90" w:type="dxa"/>
              <w:right w:w="110" w:type="dxa"/>
            </w:tcMar>
            <w:vAlign w:val="center"/>
          </w:tcPr>
          <w:p w14:paraId="4C755DDC" w14:textId="77777777" w:rsidR="002159E2" w:rsidRDefault="00000000">
            <w:pPr>
              <w:spacing w:before="40" w:after="40"/>
            </w:pPr>
            <w:r>
              <w:rPr>
                <w:sz w:val="17"/>
              </w:rPr>
              <w:t>Identity / authority</w:t>
            </w:r>
          </w:p>
        </w:tc>
        <w:tc>
          <w:tcPr>
            <w:tcW w:w="3096" w:type="dxa"/>
            <w:shd w:val="clear" w:color="auto" w:fill="F7FBFE"/>
            <w:tcMar>
              <w:top w:w="90" w:type="dxa"/>
              <w:left w:w="110" w:type="dxa"/>
              <w:bottom w:w="90" w:type="dxa"/>
              <w:right w:w="110" w:type="dxa"/>
            </w:tcMar>
            <w:vAlign w:val="center"/>
          </w:tcPr>
          <w:p w14:paraId="4D9E9F55" w14:textId="77777777" w:rsidR="002159E2" w:rsidRDefault="00000000">
            <w:pPr>
              <w:spacing w:before="40" w:after="40"/>
            </w:pPr>
            <w:r>
              <w:rPr>
                <w:sz w:val="17"/>
              </w:rPr>
              <w:t>identity, resource, permission, elevation-grant</w:t>
            </w:r>
          </w:p>
        </w:tc>
        <w:tc>
          <w:tcPr>
            <w:tcW w:w="2736" w:type="dxa"/>
            <w:shd w:val="clear" w:color="auto" w:fill="F7FBFE"/>
            <w:tcMar>
              <w:top w:w="90" w:type="dxa"/>
              <w:left w:w="110" w:type="dxa"/>
              <w:bottom w:w="90" w:type="dxa"/>
              <w:right w:w="110" w:type="dxa"/>
            </w:tcMar>
            <w:vAlign w:val="center"/>
          </w:tcPr>
          <w:p w14:paraId="5953549F" w14:textId="77777777" w:rsidR="002159E2" w:rsidRDefault="00000000">
            <w:pPr>
              <w:spacing w:before="40" w:after="40"/>
            </w:pPr>
            <w:r>
              <w:rPr>
                <w:sz w:val="17"/>
              </w:rPr>
              <w:t>Represent who acted, on what, and under what permission model</w:t>
            </w:r>
          </w:p>
        </w:tc>
        <w:tc>
          <w:tcPr>
            <w:tcW w:w="2160" w:type="dxa"/>
            <w:shd w:val="clear" w:color="auto" w:fill="F7FBFE"/>
            <w:tcMar>
              <w:top w:w="90" w:type="dxa"/>
              <w:left w:w="110" w:type="dxa"/>
              <w:bottom w:w="90" w:type="dxa"/>
              <w:right w:w="110" w:type="dxa"/>
            </w:tcMar>
            <w:vAlign w:val="center"/>
          </w:tcPr>
          <w:p w14:paraId="6CE2424F" w14:textId="77777777" w:rsidR="002159E2" w:rsidRDefault="00000000">
            <w:pPr>
              <w:spacing w:before="40" w:after="40"/>
            </w:pPr>
            <w:r>
              <w:rPr>
                <w:sz w:val="17"/>
              </w:rPr>
              <w:t>Foundational governance layer</w:t>
            </w:r>
          </w:p>
        </w:tc>
      </w:tr>
      <w:tr w:rsidR="002159E2" w14:paraId="50ED3A19" w14:textId="77777777">
        <w:trPr>
          <w:jc w:val="center"/>
        </w:trPr>
        <w:tc>
          <w:tcPr>
            <w:tcW w:w="2016" w:type="dxa"/>
            <w:tcMar>
              <w:top w:w="90" w:type="dxa"/>
              <w:left w:w="110" w:type="dxa"/>
              <w:bottom w:w="90" w:type="dxa"/>
              <w:right w:w="110" w:type="dxa"/>
            </w:tcMar>
            <w:vAlign w:val="center"/>
          </w:tcPr>
          <w:p w14:paraId="65486E7B" w14:textId="77777777" w:rsidR="002159E2" w:rsidRDefault="00000000">
            <w:pPr>
              <w:spacing w:before="40" w:after="40"/>
            </w:pPr>
            <w:r>
              <w:rPr>
                <w:sz w:val="17"/>
              </w:rPr>
              <w:t>Policy / decision support</w:t>
            </w:r>
          </w:p>
        </w:tc>
        <w:tc>
          <w:tcPr>
            <w:tcW w:w="3096" w:type="dxa"/>
            <w:tcMar>
              <w:top w:w="90" w:type="dxa"/>
              <w:left w:w="110" w:type="dxa"/>
              <w:bottom w:w="90" w:type="dxa"/>
              <w:right w:w="110" w:type="dxa"/>
            </w:tcMar>
            <w:vAlign w:val="center"/>
          </w:tcPr>
          <w:p w14:paraId="26C340B3" w14:textId="77777777" w:rsidR="002159E2" w:rsidRDefault="00000000">
            <w:pPr>
              <w:spacing w:before="40" w:after="40"/>
            </w:pPr>
            <w:r>
              <w:rPr>
                <w:sz w:val="17"/>
              </w:rPr>
              <w:t>policy, policy-set, policy-rule, policy-evaluation</w:t>
            </w:r>
          </w:p>
        </w:tc>
        <w:tc>
          <w:tcPr>
            <w:tcW w:w="2736" w:type="dxa"/>
            <w:tcMar>
              <w:top w:w="90" w:type="dxa"/>
              <w:left w:w="110" w:type="dxa"/>
              <w:bottom w:w="90" w:type="dxa"/>
              <w:right w:w="110" w:type="dxa"/>
            </w:tcMar>
            <w:vAlign w:val="center"/>
          </w:tcPr>
          <w:p w14:paraId="2B95C89A" w14:textId="77777777" w:rsidR="002159E2" w:rsidRDefault="00000000">
            <w:pPr>
              <w:spacing w:before="40" w:after="40"/>
            </w:pPr>
            <w:r>
              <w:rPr>
                <w:sz w:val="17"/>
              </w:rPr>
              <w:t>Represent policy identity and some evaluation structure</w:t>
            </w:r>
          </w:p>
        </w:tc>
        <w:tc>
          <w:tcPr>
            <w:tcW w:w="2160" w:type="dxa"/>
            <w:tcMar>
              <w:top w:w="90" w:type="dxa"/>
              <w:left w:w="110" w:type="dxa"/>
              <w:bottom w:w="90" w:type="dxa"/>
              <w:right w:w="110" w:type="dxa"/>
            </w:tcMar>
            <w:vAlign w:val="center"/>
          </w:tcPr>
          <w:p w14:paraId="2C3D90EA" w14:textId="77777777" w:rsidR="002159E2" w:rsidRDefault="00000000">
            <w:pPr>
              <w:spacing w:before="40" w:after="40"/>
            </w:pPr>
            <w:r>
              <w:rPr>
                <w:sz w:val="17"/>
              </w:rPr>
              <w:t>Needs stronger first-class policy contract explanation</w:t>
            </w:r>
          </w:p>
        </w:tc>
      </w:tr>
      <w:tr w:rsidR="002159E2" w14:paraId="44B22ED6" w14:textId="77777777">
        <w:trPr>
          <w:jc w:val="center"/>
        </w:trPr>
        <w:tc>
          <w:tcPr>
            <w:tcW w:w="2016" w:type="dxa"/>
            <w:shd w:val="clear" w:color="auto" w:fill="F7FBFE"/>
            <w:tcMar>
              <w:top w:w="90" w:type="dxa"/>
              <w:left w:w="110" w:type="dxa"/>
              <w:bottom w:w="90" w:type="dxa"/>
              <w:right w:w="110" w:type="dxa"/>
            </w:tcMar>
            <w:vAlign w:val="center"/>
          </w:tcPr>
          <w:p w14:paraId="37DAA9CC" w14:textId="77777777" w:rsidR="002159E2" w:rsidRDefault="00000000">
            <w:pPr>
              <w:spacing w:before="40" w:after="40"/>
            </w:pPr>
            <w:r>
              <w:rPr>
                <w:sz w:val="17"/>
              </w:rPr>
              <w:t>Lifecycle action / receipts</w:t>
            </w:r>
          </w:p>
        </w:tc>
        <w:tc>
          <w:tcPr>
            <w:tcW w:w="3096" w:type="dxa"/>
            <w:shd w:val="clear" w:color="auto" w:fill="F7FBFE"/>
            <w:tcMar>
              <w:top w:w="90" w:type="dxa"/>
              <w:left w:w="110" w:type="dxa"/>
              <w:bottom w:w="90" w:type="dxa"/>
              <w:right w:w="110" w:type="dxa"/>
            </w:tcMar>
            <w:vAlign w:val="center"/>
          </w:tcPr>
          <w:p w14:paraId="5AB0D358" w14:textId="77777777" w:rsidR="002159E2" w:rsidRDefault="00000000">
            <w:pPr>
              <w:spacing w:before="40" w:after="40"/>
            </w:pPr>
            <w:r>
              <w:rPr>
                <w:sz w:val="17"/>
              </w:rPr>
              <w:t>action-request, execution-result, action-receipt, receipt, inference-receipt-enhanced, training-receipt-enhanced</w:t>
            </w:r>
          </w:p>
        </w:tc>
        <w:tc>
          <w:tcPr>
            <w:tcW w:w="2736" w:type="dxa"/>
            <w:shd w:val="clear" w:color="auto" w:fill="F7FBFE"/>
            <w:tcMar>
              <w:top w:w="90" w:type="dxa"/>
              <w:left w:w="110" w:type="dxa"/>
              <w:bottom w:w="90" w:type="dxa"/>
              <w:right w:w="110" w:type="dxa"/>
            </w:tcMar>
            <w:vAlign w:val="center"/>
          </w:tcPr>
          <w:p w14:paraId="4CA8C7CF" w14:textId="77777777" w:rsidR="002159E2" w:rsidRDefault="00000000">
            <w:pPr>
              <w:spacing w:before="40" w:after="40"/>
            </w:pPr>
            <w:r>
              <w:rPr>
                <w:sz w:val="17"/>
              </w:rPr>
              <w:t>Capture request, execution, and proof records across the lifecycle</w:t>
            </w:r>
          </w:p>
        </w:tc>
        <w:tc>
          <w:tcPr>
            <w:tcW w:w="2160" w:type="dxa"/>
            <w:shd w:val="clear" w:color="auto" w:fill="F7FBFE"/>
            <w:tcMar>
              <w:top w:w="90" w:type="dxa"/>
              <w:left w:w="110" w:type="dxa"/>
              <w:bottom w:w="90" w:type="dxa"/>
              <w:right w:w="110" w:type="dxa"/>
            </w:tcMar>
            <w:vAlign w:val="center"/>
          </w:tcPr>
          <w:p w14:paraId="02063F2C" w14:textId="77777777" w:rsidR="002159E2" w:rsidRDefault="00000000">
            <w:pPr>
              <w:spacing w:before="40" w:after="40"/>
            </w:pPr>
            <w:r>
              <w:rPr>
                <w:sz w:val="17"/>
              </w:rPr>
              <w:t>Core evidence path</w:t>
            </w:r>
          </w:p>
        </w:tc>
      </w:tr>
      <w:tr w:rsidR="002159E2" w14:paraId="3C9C7532" w14:textId="77777777">
        <w:trPr>
          <w:jc w:val="center"/>
        </w:trPr>
        <w:tc>
          <w:tcPr>
            <w:tcW w:w="2016" w:type="dxa"/>
            <w:tcMar>
              <w:top w:w="90" w:type="dxa"/>
              <w:left w:w="110" w:type="dxa"/>
              <w:bottom w:w="90" w:type="dxa"/>
              <w:right w:w="110" w:type="dxa"/>
            </w:tcMar>
            <w:vAlign w:val="center"/>
          </w:tcPr>
          <w:p w14:paraId="02BB95E6" w14:textId="77777777" w:rsidR="002159E2" w:rsidRDefault="00000000">
            <w:pPr>
              <w:spacing w:before="40" w:after="40"/>
            </w:pPr>
            <w:r>
              <w:rPr>
                <w:sz w:val="17"/>
              </w:rPr>
              <w:t>Gates / approvals</w:t>
            </w:r>
          </w:p>
        </w:tc>
        <w:tc>
          <w:tcPr>
            <w:tcW w:w="3096" w:type="dxa"/>
            <w:tcMar>
              <w:top w:w="90" w:type="dxa"/>
              <w:left w:w="110" w:type="dxa"/>
              <w:bottom w:w="90" w:type="dxa"/>
              <w:right w:w="110" w:type="dxa"/>
            </w:tcMar>
            <w:vAlign w:val="center"/>
          </w:tcPr>
          <w:p w14:paraId="71724DFA" w14:textId="77777777" w:rsidR="002159E2" w:rsidRDefault="00000000">
            <w:pPr>
              <w:spacing w:before="40" w:after="40"/>
            </w:pPr>
            <w:r>
              <w:rPr>
                <w:sz w:val="17"/>
              </w:rPr>
              <w:t>gate-definition, gate-evaluation, gate-receipt, approval-decision, human-override-record</w:t>
            </w:r>
          </w:p>
        </w:tc>
        <w:tc>
          <w:tcPr>
            <w:tcW w:w="2736" w:type="dxa"/>
            <w:tcMar>
              <w:top w:w="90" w:type="dxa"/>
              <w:left w:w="110" w:type="dxa"/>
              <w:bottom w:w="90" w:type="dxa"/>
              <w:right w:w="110" w:type="dxa"/>
            </w:tcMar>
            <w:vAlign w:val="center"/>
          </w:tcPr>
          <w:p w14:paraId="49265D38" w14:textId="77777777" w:rsidR="002159E2" w:rsidRDefault="00000000">
            <w:pPr>
              <w:spacing w:before="40" w:after="40"/>
            </w:pPr>
            <w:r>
              <w:rPr>
                <w:sz w:val="17"/>
              </w:rPr>
              <w:t>Represent lifecycle control and review points</w:t>
            </w:r>
          </w:p>
        </w:tc>
        <w:tc>
          <w:tcPr>
            <w:tcW w:w="2160" w:type="dxa"/>
            <w:tcMar>
              <w:top w:w="90" w:type="dxa"/>
              <w:left w:w="110" w:type="dxa"/>
              <w:bottom w:w="90" w:type="dxa"/>
              <w:right w:w="110" w:type="dxa"/>
            </w:tcMar>
            <w:vAlign w:val="center"/>
          </w:tcPr>
          <w:p w14:paraId="5FD2FF63" w14:textId="77777777" w:rsidR="002159E2" w:rsidRDefault="00000000">
            <w:pPr>
              <w:spacing w:before="40" w:after="40"/>
            </w:pPr>
            <w:r>
              <w:rPr>
                <w:sz w:val="17"/>
              </w:rPr>
              <w:t>Should be elevated as the enforcement core</w:t>
            </w:r>
          </w:p>
        </w:tc>
      </w:tr>
      <w:tr w:rsidR="002159E2" w14:paraId="2C41DBEC" w14:textId="77777777">
        <w:trPr>
          <w:jc w:val="center"/>
        </w:trPr>
        <w:tc>
          <w:tcPr>
            <w:tcW w:w="2016" w:type="dxa"/>
            <w:shd w:val="clear" w:color="auto" w:fill="F7FBFE"/>
            <w:tcMar>
              <w:top w:w="90" w:type="dxa"/>
              <w:left w:w="110" w:type="dxa"/>
              <w:bottom w:w="90" w:type="dxa"/>
              <w:right w:w="110" w:type="dxa"/>
            </w:tcMar>
            <w:vAlign w:val="center"/>
          </w:tcPr>
          <w:p w14:paraId="5948DF25" w14:textId="77777777" w:rsidR="002159E2" w:rsidRDefault="00000000">
            <w:pPr>
              <w:spacing w:before="40" w:after="40"/>
            </w:pPr>
            <w:r>
              <w:rPr>
                <w:sz w:val="17"/>
              </w:rPr>
              <w:t>Training / deployment provenance</w:t>
            </w:r>
          </w:p>
        </w:tc>
        <w:tc>
          <w:tcPr>
            <w:tcW w:w="3096" w:type="dxa"/>
            <w:shd w:val="clear" w:color="auto" w:fill="F7FBFE"/>
            <w:tcMar>
              <w:top w:w="90" w:type="dxa"/>
              <w:left w:w="110" w:type="dxa"/>
              <w:bottom w:w="90" w:type="dxa"/>
              <w:right w:w="110" w:type="dxa"/>
            </w:tcMar>
            <w:vAlign w:val="center"/>
          </w:tcPr>
          <w:p w14:paraId="5BA5826E" w14:textId="77777777" w:rsidR="002159E2" w:rsidRDefault="00000000">
            <w:pPr>
              <w:spacing w:before="40" w:after="40"/>
            </w:pPr>
            <w:r>
              <w:rPr>
                <w:sz w:val="17"/>
              </w:rPr>
              <w:t>training-checkpoint, training-environment, training-metrics, build-artifact, sbom, predeployment-anchor, deployment-anchor, model-architecture</w:t>
            </w:r>
          </w:p>
        </w:tc>
        <w:tc>
          <w:tcPr>
            <w:tcW w:w="2736" w:type="dxa"/>
            <w:shd w:val="clear" w:color="auto" w:fill="F7FBFE"/>
            <w:tcMar>
              <w:top w:w="90" w:type="dxa"/>
              <w:left w:w="110" w:type="dxa"/>
              <w:bottom w:w="90" w:type="dxa"/>
              <w:right w:w="110" w:type="dxa"/>
            </w:tcMar>
            <w:vAlign w:val="center"/>
          </w:tcPr>
          <w:p w14:paraId="778996B1" w14:textId="77777777" w:rsidR="002159E2" w:rsidRDefault="00000000">
            <w:pPr>
              <w:spacing w:before="40" w:after="40"/>
            </w:pPr>
            <w:r>
              <w:rPr>
                <w:sz w:val="17"/>
              </w:rPr>
              <w:t>Support reproducibility, packaging, and release evidence</w:t>
            </w:r>
          </w:p>
        </w:tc>
        <w:tc>
          <w:tcPr>
            <w:tcW w:w="2160" w:type="dxa"/>
            <w:shd w:val="clear" w:color="auto" w:fill="F7FBFE"/>
            <w:tcMar>
              <w:top w:w="90" w:type="dxa"/>
              <w:left w:w="110" w:type="dxa"/>
              <w:bottom w:w="90" w:type="dxa"/>
              <w:right w:w="110" w:type="dxa"/>
            </w:tcMar>
            <w:vAlign w:val="center"/>
          </w:tcPr>
          <w:p w14:paraId="7466F13E" w14:textId="77777777" w:rsidR="002159E2" w:rsidRDefault="00000000">
            <w:pPr>
              <w:spacing w:before="40" w:after="40"/>
            </w:pPr>
            <w:r>
              <w:rPr>
                <w:sz w:val="17"/>
              </w:rPr>
              <w:t>Lifecycle provenance layer</w:t>
            </w:r>
          </w:p>
        </w:tc>
      </w:tr>
      <w:tr w:rsidR="002159E2" w14:paraId="44B5921C" w14:textId="77777777">
        <w:trPr>
          <w:jc w:val="center"/>
        </w:trPr>
        <w:tc>
          <w:tcPr>
            <w:tcW w:w="2016" w:type="dxa"/>
            <w:tcMar>
              <w:top w:w="90" w:type="dxa"/>
              <w:left w:w="110" w:type="dxa"/>
              <w:bottom w:w="90" w:type="dxa"/>
              <w:right w:w="110" w:type="dxa"/>
            </w:tcMar>
            <w:vAlign w:val="center"/>
          </w:tcPr>
          <w:p w14:paraId="759EC512" w14:textId="77777777" w:rsidR="002159E2" w:rsidRDefault="00000000">
            <w:pPr>
              <w:spacing w:before="40" w:after="40"/>
            </w:pPr>
            <w:r>
              <w:rPr>
                <w:sz w:val="17"/>
              </w:rPr>
              <w:t>Artifact / watermarking provenance</w:t>
            </w:r>
          </w:p>
        </w:tc>
        <w:tc>
          <w:tcPr>
            <w:tcW w:w="3096" w:type="dxa"/>
            <w:tcMar>
              <w:top w:w="90" w:type="dxa"/>
              <w:left w:w="110" w:type="dxa"/>
              <w:bottom w:w="90" w:type="dxa"/>
              <w:right w:w="110" w:type="dxa"/>
            </w:tcMar>
            <w:vAlign w:val="center"/>
          </w:tcPr>
          <w:p w14:paraId="66FB49A9" w14:textId="77777777" w:rsidR="002159E2" w:rsidRDefault="00000000">
            <w:pPr>
              <w:spacing w:before="40" w:after="40"/>
            </w:pPr>
            <w:r>
              <w:rPr>
                <w:sz w:val="17"/>
              </w:rPr>
              <w:t>artifact-evidence, artifact-hash-set, artifact-fingerprint, forensic-fragment-set, watermark-descriptor, watermark-fingerprint, collision, validation-*</w:t>
            </w:r>
          </w:p>
        </w:tc>
        <w:tc>
          <w:tcPr>
            <w:tcW w:w="2736" w:type="dxa"/>
            <w:tcMar>
              <w:top w:w="90" w:type="dxa"/>
              <w:left w:w="110" w:type="dxa"/>
              <w:bottom w:w="90" w:type="dxa"/>
              <w:right w:w="110" w:type="dxa"/>
            </w:tcMar>
            <w:vAlign w:val="center"/>
          </w:tcPr>
          <w:p w14:paraId="5145B7A1" w14:textId="77777777" w:rsidR="002159E2" w:rsidRDefault="00000000">
            <w:pPr>
              <w:spacing w:before="40" w:after="40"/>
            </w:pPr>
            <w:r>
              <w:rPr>
                <w:sz w:val="17"/>
              </w:rPr>
              <w:t>Extend evidence into downstream artifacts and validation</w:t>
            </w:r>
          </w:p>
        </w:tc>
        <w:tc>
          <w:tcPr>
            <w:tcW w:w="2160" w:type="dxa"/>
            <w:tcMar>
              <w:top w:w="90" w:type="dxa"/>
              <w:left w:w="110" w:type="dxa"/>
              <w:bottom w:w="90" w:type="dxa"/>
              <w:right w:w="110" w:type="dxa"/>
            </w:tcMar>
            <w:vAlign w:val="center"/>
          </w:tcPr>
          <w:p w14:paraId="7AA27027" w14:textId="77777777" w:rsidR="002159E2" w:rsidRDefault="00000000">
            <w:pPr>
              <w:spacing w:before="40" w:after="40"/>
            </w:pPr>
            <w:r>
              <w:rPr>
                <w:sz w:val="17"/>
              </w:rPr>
              <w:t>Differentiator / downstream proof layer</w:t>
            </w:r>
          </w:p>
        </w:tc>
      </w:tr>
      <w:tr w:rsidR="002159E2" w14:paraId="63B1CA4F" w14:textId="77777777">
        <w:trPr>
          <w:jc w:val="center"/>
        </w:trPr>
        <w:tc>
          <w:tcPr>
            <w:tcW w:w="2016" w:type="dxa"/>
            <w:shd w:val="clear" w:color="auto" w:fill="F7FBFE"/>
            <w:tcMar>
              <w:top w:w="90" w:type="dxa"/>
              <w:left w:w="110" w:type="dxa"/>
              <w:bottom w:w="90" w:type="dxa"/>
              <w:right w:w="110" w:type="dxa"/>
            </w:tcMar>
            <w:vAlign w:val="center"/>
          </w:tcPr>
          <w:p w14:paraId="04B32573" w14:textId="77777777" w:rsidR="002159E2" w:rsidRDefault="00000000">
            <w:pPr>
              <w:spacing w:before="40" w:after="40"/>
            </w:pPr>
            <w:r>
              <w:rPr>
                <w:sz w:val="17"/>
              </w:rPr>
              <w:t>Vault and packaging</w:t>
            </w:r>
          </w:p>
        </w:tc>
        <w:tc>
          <w:tcPr>
            <w:tcW w:w="3096" w:type="dxa"/>
            <w:shd w:val="clear" w:color="auto" w:fill="F7FBFE"/>
            <w:tcMar>
              <w:top w:w="90" w:type="dxa"/>
              <w:left w:w="110" w:type="dxa"/>
              <w:bottom w:w="90" w:type="dxa"/>
              <w:right w:w="110" w:type="dxa"/>
            </w:tcMar>
            <w:vAlign w:val="center"/>
          </w:tcPr>
          <w:p w14:paraId="67B0681E" w14:textId="77777777" w:rsidR="002159E2" w:rsidRDefault="00000000">
            <w:pPr>
              <w:spacing w:before="40" w:after="40"/>
            </w:pPr>
            <w:r>
              <w:rPr>
                <w:sz w:val="17"/>
              </w:rPr>
              <w:t>anchor, capsule, merkle-proof, vault, proof-metadata, lineage-references</w:t>
            </w:r>
          </w:p>
        </w:tc>
        <w:tc>
          <w:tcPr>
            <w:tcW w:w="2736" w:type="dxa"/>
            <w:shd w:val="clear" w:color="auto" w:fill="F7FBFE"/>
            <w:tcMar>
              <w:top w:w="90" w:type="dxa"/>
              <w:left w:w="110" w:type="dxa"/>
              <w:bottom w:w="90" w:type="dxa"/>
              <w:right w:w="110" w:type="dxa"/>
            </w:tcMar>
            <w:vAlign w:val="center"/>
          </w:tcPr>
          <w:p w14:paraId="759741B4" w14:textId="77777777" w:rsidR="002159E2" w:rsidRDefault="00000000">
            <w:pPr>
              <w:spacing w:before="40" w:after="40"/>
            </w:pPr>
            <w:r>
              <w:rPr>
                <w:sz w:val="17"/>
              </w:rPr>
              <w:t>Support durable proof, chain linkage, Merkle evidence, and vault storage</w:t>
            </w:r>
          </w:p>
        </w:tc>
        <w:tc>
          <w:tcPr>
            <w:tcW w:w="2160" w:type="dxa"/>
            <w:shd w:val="clear" w:color="auto" w:fill="F7FBFE"/>
            <w:tcMar>
              <w:top w:w="90" w:type="dxa"/>
              <w:left w:w="110" w:type="dxa"/>
              <w:bottom w:w="90" w:type="dxa"/>
              <w:right w:w="110" w:type="dxa"/>
            </w:tcMar>
            <w:vAlign w:val="center"/>
          </w:tcPr>
          <w:p w14:paraId="46C08B6E" w14:textId="77777777" w:rsidR="002159E2" w:rsidRDefault="00000000">
            <w:pPr>
              <w:spacing w:before="40" w:after="40"/>
            </w:pPr>
            <w:r>
              <w:rPr>
                <w:sz w:val="17"/>
              </w:rPr>
              <w:t>Portable evidence and audit layer</w:t>
            </w:r>
          </w:p>
        </w:tc>
      </w:tr>
      <w:tr w:rsidR="002159E2" w14:paraId="59ADEBE3" w14:textId="77777777">
        <w:trPr>
          <w:jc w:val="center"/>
        </w:trPr>
        <w:tc>
          <w:tcPr>
            <w:tcW w:w="2016" w:type="dxa"/>
            <w:tcMar>
              <w:top w:w="90" w:type="dxa"/>
              <w:left w:w="110" w:type="dxa"/>
              <w:bottom w:w="90" w:type="dxa"/>
              <w:right w:w="110" w:type="dxa"/>
            </w:tcMar>
            <w:vAlign w:val="center"/>
          </w:tcPr>
          <w:p w14:paraId="36AB2040" w14:textId="77777777" w:rsidR="002159E2" w:rsidRDefault="00000000">
            <w:pPr>
              <w:spacing w:before="40" w:after="40"/>
            </w:pPr>
            <w:r>
              <w:rPr>
                <w:sz w:val="17"/>
              </w:rPr>
              <w:t>Corrective action / incident response</w:t>
            </w:r>
          </w:p>
        </w:tc>
        <w:tc>
          <w:tcPr>
            <w:tcW w:w="3096" w:type="dxa"/>
            <w:tcMar>
              <w:top w:w="90" w:type="dxa"/>
              <w:left w:w="110" w:type="dxa"/>
              <w:bottom w:w="90" w:type="dxa"/>
              <w:right w:w="110" w:type="dxa"/>
            </w:tcMar>
            <w:vAlign w:val="center"/>
          </w:tcPr>
          <w:p w14:paraId="5E011223" w14:textId="77777777" w:rsidR="002159E2" w:rsidRDefault="00000000">
            <w:pPr>
              <w:spacing w:before="40" w:after="40"/>
            </w:pPr>
            <w:r>
              <w:rPr>
                <w:sz w:val="17"/>
              </w:rPr>
              <w:t>corrective-action and linked evidence paths</w:t>
            </w:r>
          </w:p>
        </w:tc>
        <w:tc>
          <w:tcPr>
            <w:tcW w:w="2736" w:type="dxa"/>
            <w:tcMar>
              <w:top w:w="90" w:type="dxa"/>
              <w:left w:w="110" w:type="dxa"/>
              <w:bottom w:w="90" w:type="dxa"/>
              <w:right w:w="110" w:type="dxa"/>
            </w:tcMar>
            <w:vAlign w:val="center"/>
          </w:tcPr>
          <w:p w14:paraId="6A21AF37" w14:textId="77777777" w:rsidR="002159E2" w:rsidRDefault="00000000">
            <w:pPr>
              <w:spacing w:before="40" w:after="40"/>
            </w:pPr>
            <w:r>
              <w:rPr>
                <w:sz w:val="17"/>
              </w:rPr>
              <w:t>Show remediation and governance follow-through</w:t>
            </w:r>
          </w:p>
        </w:tc>
        <w:tc>
          <w:tcPr>
            <w:tcW w:w="2160" w:type="dxa"/>
            <w:tcMar>
              <w:top w:w="90" w:type="dxa"/>
              <w:left w:w="110" w:type="dxa"/>
              <w:bottom w:w="90" w:type="dxa"/>
              <w:right w:w="110" w:type="dxa"/>
            </w:tcMar>
            <w:vAlign w:val="center"/>
          </w:tcPr>
          <w:p w14:paraId="294BBD67" w14:textId="77777777" w:rsidR="002159E2" w:rsidRDefault="00000000">
            <w:pPr>
              <w:spacing w:before="40" w:after="40"/>
            </w:pPr>
            <w:r>
              <w:rPr>
                <w:sz w:val="17"/>
              </w:rPr>
              <w:t>Control-response evidence layer</w:t>
            </w:r>
          </w:p>
        </w:tc>
      </w:tr>
    </w:tbl>
    <w:p w14:paraId="003F4AA5" w14:textId="77777777" w:rsidR="002159E2" w:rsidRDefault="002159E2"/>
    <w:p w14:paraId="171F53FE" w14:textId="77777777" w:rsidR="002159E2" w:rsidRDefault="00000000">
      <w:pPr>
        <w:pStyle w:val="Heading1"/>
        <w:spacing w:before="240" w:after="100"/>
      </w:pPr>
      <w:r>
        <w:t>4. What the Current Schema Family Already Does Well</w:t>
      </w:r>
    </w:p>
    <w:p w14:paraId="27E5E5A8" w14:textId="77777777" w:rsidR="002159E2" w:rsidRDefault="00000000">
      <w:pPr>
        <w:pStyle w:val="Heading2"/>
        <w:spacing w:before="0" w:after="120"/>
      </w:pPr>
      <w:r>
        <w:rPr>
          <w:b w:val="0"/>
        </w:rPr>
        <w:t>4.1 It now reads like AI evidence infrastructure</w:t>
      </w:r>
    </w:p>
    <w:p w14:paraId="39A83096" w14:textId="77777777" w:rsidR="002159E2" w:rsidRDefault="00000000">
      <w:pPr>
        <w:spacing w:after="120"/>
        <w:ind w:firstLine="259"/>
      </w:pPr>
      <w:r>
        <w:t xml:space="preserve">The review documents repeatedly note that the schema family now feels much more like an evidence contract layer and much less like generic compliance tooling. The strongest differentiators are the anchor </w:t>
      </w:r>
      <w:r>
        <w:lastRenderedPageBreak/>
        <w:t>and capsule model, artifact evidence and watermarking, training/deployment provenance, and agentic execution objects.</w:t>
      </w:r>
    </w:p>
    <w:p w14:paraId="045CAC48" w14:textId="77777777" w:rsidR="002159E2" w:rsidRDefault="00000000">
      <w:pPr>
        <w:pStyle w:val="Heading2"/>
        <w:spacing w:before="0" w:after="120"/>
      </w:pPr>
      <w:r>
        <w:rPr>
          <w:b w:val="0"/>
        </w:rPr>
        <w:t>4.2 Agentic execution is now first-class</w:t>
      </w:r>
    </w:p>
    <w:p w14:paraId="724A0C10" w14:textId="77777777" w:rsidR="002159E2" w:rsidRDefault="00000000">
      <w:pPr>
        <w:spacing w:after="120"/>
        <w:ind w:firstLine="259"/>
      </w:pPr>
      <w:r>
        <w:t>Identity, resource, permission, agent identities, agent actions, elevation grants, and agent receipts make the execution layer much stronger than earlier versions. This aligns well with the CIAF idea that the framework should prove who acted, under what authority, on what resource, under what policy conditions, and with what resulting evidence.</w:t>
      </w:r>
    </w:p>
    <w:p w14:paraId="1DBDADB6" w14:textId="77777777" w:rsidR="002159E2" w:rsidRDefault="00000000">
      <w:pPr>
        <w:pStyle w:val="Heading2"/>
        <w:spacing w:before="0" w:after="120"/>
      </w:pPr>
      <w:r>
        <w:rPr>
          <w:b w:val="0"/>
        </w:rPr>
        <w:t>4.3 The artifact and watermark layer is a genuine differentiator</w:t>
      </w:r>
    </w:p>
    <w:p w14:paraId="10BDE82D" w14:textId="77777777" w:rsidR="002159E2" w:rsidRDefault="00000000">
      <w:pPr>
        <w:spacing w:after="120"/>
        <w:ind w:firstLine="259"/>
      </w:pPr>
      <w:r>
        <w:t>The artifact-evidence, artifact-hash-set, artifact-fingerprint, forensic-fragment, watermark descriptor, and watermark validation schemas support both cryptographic provenance and forensic resilience. This is important because it extends CIAF beyond action logs into downstream artifact verification and post-distribution evidence.</w:t>
      </w:r>
    </w:p>
    <w:p w14:paraId="6080BDA5" w14:textId="77777777" w:rsidR="002159E2" w:rsidRDefault="00000000">
      <w:pPr>
        <w:pStyle w:val="Heading2"/>
        <w:spacing w:before="0" w:after="120"/>
      </w:pPr>
      <w:r>
        <w:rPr>
          <w:b w:val="0"/>
        </w:rPr>
        <w:t>4.4 Training and deployment provenance are materially stronger</w:t>
      </w:r>
    </w:p>
    <w:p w14:paraId="45F83EBB" w14:textId="77777777" w:rsidR="002159E2" w:rsidRDefault="00000000">
      <w:pPr>
        <w:spacing w:after="120"/>
        <w:ind w:firstLine="259"/>
      </w:pPr>
      <w:r>
        <w:t>The addition of training checkpoints, training environment, metrics, enhanced receipts, build artifacts, SBOMs, predeployment anchors, and deployment anchors makes the lifecycle coverage much stronger. These schemas support proving what was trained, in what environment, from which data, code, and configuration, how it was packaged, and how it was deployed.</w:t>
      </w:r>
    </w:p>
    <w:p w14:paraId="5F8B52F7" w14:textId="77777777" w:rsidR="002159E2" w:rsidRDefault="00000000">
      <w:pPr>
        <w:pStyle w:val="Heading2"/>
        <w:spacing w:before="0" w:after="120"/>
      </w:pPr>
      <w:r>
        <w:rPr>
          <w:b w:val="0"/>
        </w:rPr>
        <w:t>4.5 The watermarking repository is now structurally aligned</w:t>
      </w:r>
    </w:p>
    <w:p w14:paraId="7EFAAF0F" w14:textId="77777777" w:rsidR="002159E2" w:rsidRDefault="00000000">
      <w:pPr>
        <w:spacing w:after="120"/>
        <w:ind w:firstLine="259"/>
      </w:pPr>
      <w:r>
        <w:t>The migration summary makes clear that the watermarking repository is no longer an outlier. It now uses JSON Schema 2020-12, has canonical $id fields, semantic versioning, standardized property ordering, additionalProperties false, clearer naming, and a new component library. That is a major governance improvement.</w:t>
      </w:r>
    </w:p>
    <w:tbl>
      <w:tblPr>
        <w:tblW w:w="0" w:type="auto"/>
        <w:jc w:val="center"/>
        <w:tblLook w:val="04A0" w:firstRow="1" w:lastRow="0" w:firstColumn="1" w:lastColumn="0" w:noHBand="0" w:noVBand="1"/>
      </w:tblPr>
      <w:tblGrid>
        <w:gridCol w:w="9792"/>
      </w:tblGrid>
      <w:tr w:rsidR="002159E2" w14:paraId="09C845BA" w14:textId="77777777">
        <w:trPr>
          <w:jc w:val="center"/>
        </w:trPr>
        <w:tc>
          <w:tcPr>
            <w:tcW w:w="9792" w:type="dxa"/>
            <w:shd w:val="clear" w:color="auto" w:fill="DCE6F2"/>
            <w:tcMar>
              <w:top w:w="100" w:type="dxa"/>
              <w:left w:w="140" w:type="dxa"/>
              <w:bottom w:w="100" w:type="dxa"/>
              <w:right w:w="140" w:type="dxa"/>
            </w:tcMar>
          </w:tcPr>
          <w:p w14:paraId="721AD0C7" w14:textId="77777777" w:rsidR="002159E2" w:rsidRDefault="00000000">
            <w:pPr>
              <w:jc w:val="center"/>
            </w:pPr>
            <w:r>
              <w:rPr>
                <w:b/>
                <w:color w:val="1F4E79"/>
              </w:rPr>
              <w:t>Current maturity read</w:t>
            </w:r>
          </w:p>
        </w:tc>
      </w:tr>
      <w:tr w:rsidR="002159E2" w14:paraId="0306AF73" w14:textId="77777777">
        <w:trPr>
          <w:jc w:val="center"/>
        </w:trPr>
        <w:tc>
          <w:tcPr>
            <w:tcW w:w="9792" w:type="dxa"/>
            <w:shd w:val="clear" w:color="auto" w:fill="F7FAFD"/>
            <w:tcMar>
              <w:top w:w="120" w:type="dxa"/>
              <w:left w:w="140" w:type="dxa"/>
              <w:bottom w:w="120" w:type="dxa"/>
              <w:right w:w="140" w:type="dxa"/>
            </w:tcMar>
          </w:tcPr>
          <w:p w14:paraId="6327A58B" w14:textId="77777777" w:rsidR="002159E2" w:rsidRDefault="00000000">
            <w:r>
              <w:rPr>
                <w:i/>
                <w:color w:val="5F5F5F"/>
                <w:sz w:val="20"/>
              </w:rPr>
              <w:t>Good MVP to strong implementation-ready reference. The family is strong on evidence objects, metadata richness, lifecycle provenance, and cryptographic direction. It is weaker on mandatory preconditions for action, policy evaluation timing, denial receipts, override flow, and incident reconstruction semantics.</w:t>
            </w:r>
          </w:p>
        </w:tc>
      </w:tr>
    </w:tbl>
    <w:p w14:paraId="32857C1C" w14:textId="77777777" w:rsidR="002159E2" w:rsidRDefault="002159E2"/>
    <w:p w14:paraId="45F713E4" w14:textId="77777777" w:rsidR="002159E2" w:rsidRDefault="00000000">
      <w:pPr>
        <w:pStyle w:val="Heading1"/>
        <w:spacing w:before="240" w:after="100"/>
      </w:pPr>
      <w:r>
        <w:t>5. Core Gaps Relative to the Full CIAF-LCM Vision</w:t>
      </w:r>
    </w:p>
    <w:p w14:paraId="32C2FAE1" w14:textId="77777777" w:rsidR="002159E2" w:rsidRDefault="00000000">
      <w:pPr>
        <w:pStyle w:val="Heading2"/>
        <w:spacing w:before="0" w:after="120"/>
      </w:pPr>
      <w:r>
        <w:rPr>
          <w:b w:val="0"/>
        </w:rPr>
        <w:t>5.1 Cryptographic proof metadata is still inconsistent</w:t>
      </w:r>
    </w:p>
    <w:p w14:paraId="7D1F5689" w14:textId="77777777" w:rsidR="002159E2" w:rsidRDefault="00000000">
      <w:pPr>
        <w:spacing w:after="120"/>
        <w:ind w:firstLine="259"/>
      </w:pPr>
      <w:r>
        <w:t>The strongest repeated critique across the uploaded review material is that proof-bearing objects do not yet consistently carry the same proof fields. The desired standard is clear: SHA-256 as the standard content hash, Ed25519 as the default for externally verifiable receipts, HMAC-SHA256 only for internal-only integrity where third-party verification is not needed, and consistent support for signature_algorithm, key_id, and ideally canonicalization_version across receipt-like objects. That standard is not yet applied uniformly.</w:t>
      </w:r>
    </w:p>
    <w:p w14:paraId="3647CCF1" w14:textId="77777777" w:rsidR="002159E2" w:rsidRDefault="00000000">
      <w:pPr>
        <w:pStyle w:val="Heading2"/>
        <w:spacing w:before="0" w:after="120"/>
      </w:pPr>
      <w:r>
        <w:rPr>
          <w:b w:val="0"/>
        </w:rPr>
        <w:lastRenderedPageBreak/>
        <w:t>5.2 Gate modeling is still not strong enough as the enforcement core</w:t>
      </w:r>
    </w:p>
    <w:p w14:paraId="7B8E0719" w14:textId="77777777" w:rsidR="002159E2" w:rsidRDefault="00000000">
      <w:pPr>
        <w:spacing w:after="120"/>
        <w:ind w:firstLine="259"/>
      </w:pPr>
      <w:r>
        <w:t>The uploaded reviews identify gates as the biggest remaining CIAF-LCM omission. The family has events, receipts, permissions, policies, and provenance, but the document set still needs a stronger first-class treatment of provenance gates, validation gates, approval gates, runtime or pre-action gates, denial receipts, and override paths so the framework reflects governance-as-enforcement rather than only evidence capture.</w:t>
      </w:r>
    </w:p>
    <w:p w14:paraId="12B34A36" w14:textId="77777777" w:rsidR="002159E2" w:rsidRDefault="00000000">
      <w:pPr>
        <w:pStyle w:val="Heading2"/>
        <w:spacing w:before="0" w:after="120"/>
      </w:pPr>
      <w:r>
        <w:rPr>
          <w:b w:val="0"/>
        </w:rPr>
        <w:t>5.3 Policy is present but still thinner than the architecture needs</w:t>
      </w:r>
    </w:p>
    <w:p w14:paraId="0332C479" w14:textId="77777777" w:rsidR="002159E2" w:rsidRDefault="00000000">
      <w:pPr>
        <w:spacing w:after="120"/>
        <w:ind w:firstLine="259"/>
      </w:pPr>
      <w:r>
        <w:t>Policy now exists as an explicit object, which is a major improvement, but it still looks closer to policy metadata than a fully evaluable governance contract. The next documentation pass should make PolicySet, PolicyRule, and PolicyEvaluation central, not peripheral.</w:t>
      </w:r>
    </w:p>
    <w:p w14:paraId="4DA81B0A" w14:textId="77777777" w:rsidR="002159E2" w:rsidRDefault="00000000">
      <w:pPr>
        <w:pStyle w:val="Heading2"/>
        <w:spacing w:before="0" w:after="120"/>
      </w:pPr>
      <w:r>
        <w:rPr>
          <w:b w:val="0"/>
        </w:rPr>
        <w:t>5.4 Lineage linkage across objects is not yet standardized enough</w:t>
      </w:r>
    </w:p>
    <w:p w14:paraId="45223A9B" w14:textId="77777777" w:rsidR="002159E2" w:rsidRDefault="00000000">
      <w:pPr>
        <w:spacing w:after="120"/>
        <w:ind w:firstLine="259"/>
      </w:pPr>
      <w:r>
        <w:t>The ingredients for lineage are present, but traversal is not yet explicit enough from dataset anchors to training snapshots, to model anchors, to predeployment and deployment anchors, to inference receipts, to artifact evidence. This makes provenance narratives possible but still harder than they should be.</w:t>
      </w:r>
    </w:p>
    <w:p w14:paraId="4D2F3356" w14:textId="77777777" w:rsidR="002159E2" w:rsidRDefault="00000000">
      <w:pPr>
        <w:pStyle w:val="Heading2"/>
        <w:spacing w:before="0" w:after="120"/>
      </w:pPr>
      <w:r>
        <w:rPr>
          <w:b w:val="0"/>
        </w:rPr>
        <w:t>5.5 Evidence capture remains stronger than enforcement capture</w:t>
      </w:r>
    </w:p>
    <w:p w14:paraId="26D13AB8" w14:textId="77777777" w:rsidR="002159E2" w:rsidRDefault="00000000">
      <w:pPr>
        <w:spacing w:after="120"/>
        <w:ind w:firstLine="259"/>
      </w:pPr>
      <w:r>
        <w:t>This may be the most important conceptual point. The system is strongest in evidence objects, metadata richness, lifecycle provenance, and proof direction. It is weaker in mandatory preconditions for action, gate-before-action invariants, denial receipts, override handling, and incident reconstruction flow. That means the system already looks like evidence infrastructure, but not yet the strongest form of CIAF-LCM as governance enforcement infrastructure.</w:t>
      </w:r>
    </w:p>
    <w:p w14:paraId="43C65B77" w14:textId="77777777" w:rsidR="002159E2" w:rsidRDefault="00000000">
      <w:pPr>
        <w:pStyle w:val="Heading1"/>
        <w:spacing w:before="240" w:after="100"/>
      </w:pPr>
      <w:r>
        <w:t>6. Proposed Schema Documentation Structure</w:t>
      </w:r>
    </w:p>
    <w:p w14:paraId="2BAFCE08" w14:textId="77777777" w:rsidR="002159E2" w:rsidRDefault="00000000">
      <w:pPr>
        <w:spacing w:after="120"/>
        <w:ind w:firstLine="259"/>
      </w:pPr>
      <w:r>
        <w:t>The proposed documentation document should be organized as an architecture and implementation reference, not merely as an inventory. The following structure would best represent what currently exists and how it works in relationship to the CIAF-LCM process.</w:t>
      </w:r>
    </w:p>
    <w:tbl>
      <w:tblPr>
        <w:tblStyle w:val="TableGrid"/>
        <w:tblW w:w="0" w:type="auto"/>
        <w:jc w:val="center"/>
        <w:tblLook w:val="04A0" w:firstRow="1" w:lastRow="0" w:firstColumn="1" w:lastColumn="0" w:noHBand="0" w:noVBand="1"/>
      </w:tblPr>
      <w:tblGrid>
        <w:gridCol w:w="2664"/>
        <w:gridCol w:w="7272"/>
      </w:tblGrid>
      <w:tr w:rsidR="002159E2" w14:paraId="3C6EBD24" w14:textId="77777777">
        <w:trPr>
          <w:jc w:val="center"/>
        </w:trPr>
        <w:tc>
          <w:tcPr>
            <w:tcW w:w="2664" w:type="dxa"/>
            <w:shd w:val="clear" w:color="auto" w:fill="D9EAF7"/>
            <w:tcMar>
              <w:top w:w="90" w:type="dxa"/>
              <w:left w:w="110" w:type="dxa"/>
              <w:bottom w:w="90" w:type="dxa"/>
              <w:right w:w="110" w:type="dxa"/>
            </w:tcMar>
            <w:vAlign w:val="center"/>
          </w:tcPr>
          <w:p w14:paraId="127FCEAB" w14:textId="77777777" w:rsidR="002159E2" w:rsidRDefault="00000000">
            <w:pPr>
              <w:spacing w:before="40" w:after="40"/>
              <w:jc w:val="center"/>
            </w:pPr>
            <w:r>
              <w:rPr>
                <w:b/>
                <w:sz w:val="17"/>
              </w:rPr>
              <w:t>Section</w:t>
            </w:r>
          </w:p>
        </w:tc>
        <w:tc>
          <w:tcPr>
            <w:tcW w:w="7272" w:type="dxa"/>
            <w:shd w:val="clear" w:color="auto" w:fill="D9EAF7"/>
            <w:tcMar>
              <w:top w:w="90" w:type="dxa"/>
              <w:left w:w="110" w:type="dxa"/>
              <w:bottom w:w="90" w:type="dxa"/>
              <w:right w:w="110" w:type="dxa"/>
            </w:tcMar>
            <w:vAlign w:val="center"/>
          </w:tcPr>
          <w:p w14:paraId="4C282DB8" w14:textId="77777777" w:rsidR="002159E2" w:rsidRDefault="00000000">
            <w:pPr>
              <w:spacing w:before="40" w:after="40"/>
              <w:jc w:val="center"/>
            </w:pPr>
            <w:r>
              <w:rPr>
                <w:b/>
                <w:sz w:val="17"/>
              </w:rPr>
              <w:t>Purpose</w:t>
            </w:r>
          </w:p>
        </w:tc>
      </w:tr>
      <w:tr w:rsidR="002159E2" w14:paraId="3A0918FA" w14:textId="77777777">
        <w:trPr>
          <w:jc w:val="center"/>
        </w:trPr>
        <w:tc>
          <w:tcPr>
            <w:tcW w:w="2664" w:type="dxa"/>
            <w:shd w:val="clear" w:color="auto" w:fill="F7FBFE"/>
            <w:tcMar>
              <w:top w:w="90" w:type="dxa"/>
              <w:left w:w="110" w:type="dxa"/>
              <w:bottom w:w="90" w:type="dxa"/>
              <w:right w:w="110" w:type="dxa"/>
            </w:tcMar>
            <w:vAlign w:val="center"/>
          </w:tcPr>
          <w:p w14:paraId="7F5AEAFC" w14:textId="77777777" w:rsidR="002159E2" w:rsidRDefault="00000000">
            <w:pPr>
              <w:spacing w:before="40" w:after="40"/>
            </w:pPr>
            <w:r>
              <w:rPr>
                <w:sz w:val="17"/>
              </w:rPr>
              <w:t>1. Purpose and scope</w:t>
            </w:r>
          </w:p>
        </w:tc>
        <w:tc>
          <w:tcPr>
            <w:tcW w:w="7272" w:type="dxa"/>
            <w:shd w:val="clear" w:color="auto" w:fill="F7FBFE"/>
            <w:tcMar>
              <w:top w:w="90" w:type="dxa"/>
              <w:left w:w="110" w:type="dxa"/>
              <w:bottom w:w="90" w:type="dxa"/>
              <w:right w:w="110" w:type="dxa"/>
            </w:tcMar>
            <w:vAlign w:val="center"/>
          </w:tcPr>
          <w:p w14:paraId="5DF5CEBD" w14:textId="77777777" w:rsidR="002159E2" w:rsidRDefault="00000000">
            <w:pPr>
              <w:spacing w:before="40" w:after="40"/>
            </w:pPr>
            <w:r>
              <w:rPr>
                <w:sz w:val="17"/>
              </w:rPr>
              <w:t>Explain that the document is the schema contract reference for CIAF-LCM evidence infrastructure.</w:t>
            </w:r>
          </w:p>
        </w:tc>
      </w:tr>
      <w:tr w:rsidR="002159E2" w14:paraId="6F3C44ED" w14:textId="77777777">
        <w:trPr>
          <w:jc w:val="center"/>
        </w:trPr>
        <w:tc>
          <w:tcPr>
            <w:tcW w:w="2664" w:type="dxa"/>
            <w:tcMar>
              <w:top w:w="90" w:type="dxa"/>
              <w:left w:w="110" w:type="dxa"/>
              <w:bottom w:w="90" w:type="dxa"/>
              <w:right w:w="110" w:type="dxa"/>
            </w:tcMar>
            <w:vAlign w:val="center"/>
          </w:tcPr>
          <w:p w14:paraId="0A101361" w14:textId="77777777" w:rsidR="002159E2" w:rsidRDefault="00000000">
            <w:pPr>
              <w:spacing w:before="40" w:after="40"/>
            </w:pPr>
            <w:r>
              <w:rPr>
                <w:sz w:val="17"/>
              </w:rPr>
              <w:t>2. Architectural overview</w:t>
            </w:r>
          </w:p>
        </w:tc>
        <w:tc>
          <w:tcPr>
            <w:tcW w:w="7272" w:type="dxa"/>
            <w:tcMar>
              <w:top w:w="90" w:type="dxa"/>
              <w:left w:w="110" w:type="dxa"/>
              <w:bottom w:w="90" w:type="dxa"/>
              <w:right w:w="110" w:type="dxa"/>
            </w:tcMar>
            <w:vAlign w:val="center"/>
          </w:tcPr>
          <w:p w14:paraId="25C41A93" w14:textId="77777777" w:rsidR="002159E2" w:rsidRDefault="00000000">
            <w:pPr>
              <w:spacing w:before="40" w:after="40"/>
            </w:pPr>
            <w:r>
              <w:rPr>
                <w:sz w:val="17"/>
              </w:rPr>
              <w:t>Show the repositories, schema families, and how they map to the CIAF-LCM process.</w:t>
            </w:r>
          </w:p>
        </w:tc>
      </w:tr>
      <w:tr w:rsidR="002159E2" w14:paraId="31905508" w14:textId="77777777">
        <w:trPr>
          <w:jc w:val="center"/>
        </w:trPr>
        <w:tc>
          <w:tcPr>
            <w:tcW w:w="2664" w:type="dxa"/>
            <w:shd w:val="clear" w:color="auto" w:fill="F7FBFE"/>
            <w:tcMar>
              <w:top w:w="90" w:type="dxa"/>
              <w:left w:w="110" w:type="dxa"/>
              <w:bottom w:w="90" w:type="dxa"/>
              <w:right w:w="110" w:type="dxa"/>
            </w:tcMar>
            <w:vAlign w:val="center"/>
          </w:tcPr>
          <w:p w14:paraId="762D3BE5" w14:textId="77777777" w:rsidR="002159E2" w:rsidRDefault="00000000">
            <w:pPr>
              <w:spacing w:before="40" w:after="40"/>
            </w:pPr>
            <w:r>
              <w:rPr>
                <w:sz w:val="17"/>
              </w:rPr>
              <w:t>3. Core standards</w:t>
            </w:r>
          </w:p>
        </w:tc>
        <w:tc>
          <w:tcPr>
            <w:tcW w:w="7272" w:type="dxa"/>
            <w:shd w:val="clear" w:color="auto" w:fill="F7FBFE"/>
            <w:tcMar>
              <w:top w:w="90" w:type="dxa"/>
              <w:left w:w="110" w:type="dxa"/>
              <w:bottom w:w="90" w:type="dxa"/>
              <w:right w:w="110" w:type="dxa"/>
            </w:tcMar>
            <w:vAlign w:val="center"/>
          </w:tcPr>
          <w:p w14:paraId="405FAD83" w14:textId="77777777" w:rsidR="002159E2" w:rsidRDefault="00000000">
            <w:pPr>
              <w:spacing w:before="40" w:after="40"/>
            </w:pPr>
            <w:r>
              <w:rPr>
                <w:sz w:val="17"/>
              </w:rPr>
              <w:t>State JSON Schema 2020-12, semantic versioning, naming, canonical $id, additionalProperties false, and component usage rules.</w:t>
            </w:r>
          </w:p>
        </w:tc>
      </w:tr>
      <w:tr w:rsidR="002159E2" w14:paraId="6901535E" w14:textId="77777777">
        <w:trPr>
          <w:jc w:val="center"/>
        </w:trPr>
        <w:tc>
          <w:tcPr>
            <w:tcW w:w="2664" w:type="dxa"/>
            <w:tcMar>
              <w:top w:w="90" w:type="dxa"/>
              <w:left w:w="110" w:type="dxa"/>
              <w:bottom w:w="90" w:type="dxa"/>
              <w:right w:w="110" w:type="dxa"/>
            </w:tcMar>
            <w:vAlign w:val="center"/>
          </w:tcPr>
          <w:p w14:paraId="091AD09A" w14:textId="77777777" w:rsidR="002159E2" w:rsidRDefault="00000000">
            <w:pPr>
              <w:spacing w:before="40" w:after="40"/>
            </w:pPr>
            <w:r>
              <w:rPr>
                <w:sz w:val="17"/>
              </w:rPr>
              <w:t>4. Cryptographic evidence policy</w:t>
            </w:r>
          </w:p>
        </w:tc>
        <w:tc>
          <w:tcPr>
            <w:tcW w:w="7272" w:type="dxa"/>
            <w:tcMar>
              <w:top w:w="90" w:type="dxa"/>
              <w:left w:w="110" w:type="dxa"/>
              <w:bottom w:w="90" w:type="dxa"/>
              <w:right w:w="110" w:type="dxa"/>
            </w:tcMar>
            <w:vAlign w:val="center"/>
          </w:tcPr>
          <w:p w14:paraId="64C15C5D" w14:textId="77777777" w:rsidR="002159E2" w:rsidRDefault="00000000">
            <w:pPr>
              <w:spacing w:before="40" w:after="40"/>
            </w:pPr>
            <w:r>
              <w:rPr>
                <w:sz w:val="17"/>
              </w:rPr>
              <w:t>State SHA-256, Ed25519, HMAC-SHA256 exception use, required proof metadata, canonicalization_version, and Merkle policy.</w:t>
            </w:r>
          </w:p>
        </w:tc>
      </w:tr>
      <w:tr w:rsidR="002159E2" w14:paraId="2550A860" w14:textId="77777777">
        <w:trPr>
          <w:jc w:val="center"/>
        </w:trPr>
        <w:tc>
          <w:tcPr>
            <w:tcW w:w="2664" w:type="dxa"/>
            <w:shd w:val="clear" w:color="auto" w:fill="F7FBFE"/>
            <w:tcMar>
              <w:top w:w="90" w:type="dxa"/>
              <w:left w:w="110" w:type="dxa"/>
              <w:bottom w:w="90" w:type="dxa"/>
              <w:right w:w="110" w:type="dxa"/>
            </w:tcMar>
            <w:vAlign w:val="center"/>
          </w:tcPr>
          <w:p w14:paraId="72E83974" w14:textId="77777777" w:rsidR="002159E2" w:rsidRDefault="00000000">
            <w:pPr>
              <w:spacing w:before="40" w:after="40"/>
            </w:pPr>
            <w:r>
              <w:rPr>
                <w:sz w:val="17"/>
              </w:rPr>
              <w:t>5. CIAF-LCM lifecycle mapping</w:t>
            </w:r>
          </w:p>
        </w:tc>
        <w:tc>
          <w:tcPr>
            <w:tcW w:w="7272" w:type="dxa"/>
            <w:shd w:val="clear" w:color="auto" w:fill="F7FBFE"/>
            <w:tcMar>
              <w:top w:w="90" w:type="dxa"/>
              <w:left w:w="110" w:type="dxa"/>
              <w:bottom w:w="90" w:type="dxa"/>
              <w:right w:w="110" w:type="dxa"/>
            </w:tcMar>
            <w:vAlign w:val="center"/>
          </w:tcPr>
          <w:p w14:paraId="51F0FE17" w14:textId="77777777" w:rsidR="002159E2" w:rsidRDefault="00000000">
            <w:pPr>
              <w:spacing w:before="40" w:after="40"/>
            </w:pPr>
            <w:r>
              <w:rPr>
                <w:sz w:val="17"/>
              </w:rPr>
              <w:t>Organize schemas by stage: data, training, predeployment, deployment, inference, artifact, incident, vault.</w:t>
            </w:r>
          </w:p>
        </w:tc>
      </w:tr>
      <w:tr w:rsidR="002159E2" w14:paraId="2A69E299" w14:textId="77777777">
        <w:trPr>
          <w:jc w:val="center"/>
        </w:trPr>
        <w:tc>
          <w:tcPr>
            <w:tcW w:w="2664" w:type="dxa"/>
            <w:tcMar>
              <w:top w:w="90" w:type="dxa"/>
              <w:left w:w="110" w:type="dxa"/>
              <w:bottom w:w="90" w:type="dxa"/>
              <w:right w:w="110" w:type="dxa"/>
            </w:tcMar>
            <w:vAlign w:val="center"/>
          </w:tcPr>
          <w:p w14:paraId="2258338F" w14:textId="77777777" w:rsidR="002159E2" w:rsidRDefault="00000000">
            <w:pPr>
              <w:spacing w:before="40" w:after="40"/>
            </w:pPr>
            <w:r>
              <w:rPr>
                <w:sz w:val="17"/>
              </w:rPr>
              <w:t>6. Schema family reference</w:t>
            </w:r>
          </w:p>
        </w:tc>
        <w:tc>
          <w:tcPr>
            <w:tcW w:w="7272" w:type="dxa"/>
            <w:tcMar>
              <w:top w:w="90" w:type="dxa"/>
              <w:left w:w="110" w:type="dxa"/>
              <w:bottom w:w="90" w:type="dxa"/>
              <w:right w:w="110" w:type="dxa"/>
            </w:tcMar>
            <w:vAlign w:val="center"/>
          </w:tcPr>
          <w:p w14:paraId="2CBEAFC5" w14:textId="77777777" w:rsidR="002159E2" w:rsidRDefault="00000000">
            <w:pPr>
              <w:spacing w:before="40" w:after="40"/>
            </w:pPr>
            <w:r>
              <w:rPr>
                <w:sz w:val="17"/>
              </w:rPr>
              <w:t>For each schema family, explain purpose, key objects, and how it links to other families.</w:t>
            </w:r>
          </w:p>
        </w:tc>
      </w:tr>
      <w:tr w:rsidR="002159E2" w14:paraId="63721CD9" w14:textId="77777777">
        <w:trPr>
          <w:jc w:val="center"/>
        </w:trPr>
        <w:tc>
          <w:tcPr>
            <w:tcW w:w="2664" w:type="dxa"/>
            <w:shd w:val="clear" w:color="auto" w:fill="F7FBFE"/>
            <w:tcMar>
              <w:top w:w="90" w:type="dxa"/>
              <w:left w:w="110" w:type="dxa"/>
              <w:bottom w:w="90" w:type="dxa"/>
              <w:right w:w="110" w:type="dxa"/>
            </w:tcMar>
            <w:vAlign w:val="center"/>
          </w:tcPr>
          <w:p w14:paraId="3B26CCBE" w14:textId="77777777" w:rsidR="002159E2" w:rsidRDefault="00000000">
            <w:pPr>
              <w:spacing w:before="40" w:after="40"/>
            </w:pPr>
            <w:r>
              <w:rPr>
                <w:sz w:val="17"/>
              </w:rPr>
              <w:lastRenderedPageBreak/>
              <w:t>7. Gate and policy enforcement model</w:t>
            </w:r>
          </w:p>
        </w:tc>
        <w:tc>
          <w:tcPr>
            <w:tcW w:w="7272" w:type="dxa"/>
            <w:shd w:val="clear" w:color="auto" w:fill="F7FBFE"/>
            <w:tcMar>
              <w:top w:w="90" w:type="dxa"/>
              <w:left w:w="110" w:type="dxa"/>
              <w:bottom w:w="90" w:type="dxa"/>
              <w:right w:w="110" w:type="dxa"/>
            </w:tcMar>
            <w:vAlign w:val="center"/>
          </w:tcPr>
          <w:p w14:paraId="5A896199" w14:textId="77777777" w:rsidR="002159E2" w:rsidRDefault="00000000">
            <w:pPr>
              <w:spacing w:before="40" w:after="40"/>
            </w:pPr>
            <w:r>
              <w:rPr>
                <w:sz w:val="17"/>
              </w:rPr>
              <w:t>Elevate gate-definition, gate-evaluation, gate-receipt, approval-decision, human-override-record, policy-set, policy-rule, and policy-evaluation.</w:t>
            </w:r>
          </w:p>
        </w:tc>
      </w:tr>
      <w:tr w:rsidR="002159E2" w14:paraId="430DD3D0" w14:textId="77777777">
        <w:trPr>
          <w:jc w:val="center"/>
        </w:trPr>
        <w:tc>
          <w:tcPr>
            <w:tcW w:w="2664" w:type="dxa"/>
            <w:tcMar>
              <w:top w:w="90" w:type="dxa"/>
              <w:left w:w="110" w:type="dxa"/>
              <w:bottom w:w="90" w:type="dxa"/>
              <w:right w:w="110" w:type="dxa"/>
            </w:tcMar>
            <w:vAlign w:val="center"/>
          </w:tcPr>
          <w:p w14:paraId="2BC98ABF" w14:textId="77777777" w:rsidR="002159E2" w:rsidRDefault="00000000">
            <w:pPr>
              <w:spacing w:before="40" w:after="40"/>
            </w:pPr>
            <w:r>
              <w:rPr>
                <w:sz w:val="17"/>
              </w:rPr>
              <w:t>8. Evidence vault and receipt flow</w:t>
            </w:r>
          </w:p>
        </w:tc>
        <w:tc>
          <w:tcPr>
            <w:tcW w:w="7272" w:type="dxa"/>
            <w:tcMar>
              <w:top w:w="90" w:type="dxa"/>
              <w:left w:w="110" w:type="dxa"/>
              <w:bottom w:w="90" w:type="dxa"/>
              <w:right w:w="110" w:type="dxa"/>
            </w:tcMar>
            <w:vAlign w:val="center"/>
          </w:tcPr>
          <w:p w14:paraId="6DDC9A06" w14:textId="77777777" w:rsidR="002159E2" w:rsidRDefault="00000000">
            <w:pPr>
              <w:spacing w:before="40" w:after="40"/>
            </w:pPr>
            <w:r>
              <w:rPr>
                <w:sz w:val="17"/>
              </w:rPr>
              <w:t>Explain anchor, capsule, receipt, proof-metadata, merkle-proof, vault, and lineage-references as the durable proof layer.</w:t>
            </w:r>
          </w:p>
        </w:tc>
      </w:tr>
      <w:tr w:rsidR="002159E2" w14:paraId="7AA2BCEC" w14:textId="77777777">
        <w:trPr>
          <w:jc w:val="center"/>
        </w:trPr>
        <w:tc>
          <w:tcPr>
            <w:tcW w:w="2664" w:type="dxa"/>
            <w:shd w:val="clear" w:color="auto" w:fill="F7FBFE"/>
            <w:tcMar>
              <w:top w:w="90" w:type="dxa"/>
              <w:left w:w="110" w:type="dxa"/>
              <w:bottom w:w="90" w:type="dxa"/>
              <w:right w:w="110" w:type="dxa"/>
            </w:tcMar>
            <w:vAlign w:val="center"/>
          </w:tcPr>
          <w:p w14:paraId="0483A151" w14:textId="77777777" w:rsidR="002159E2" w:rsidRDefault="00000000">
            <w:pPr>
              <w:spacing w:before="40" w:after="40"/>
            </w:pPr>
            <w:r>
              <w:rPr>
                <w:sz w:val="17"/>
              </w:rPr>
              <w:t>9. Watermarking and artifact provenance</w:t>
            </w:r>
          </w:p>
        </w:tc>
        <w:tc>
          <w:tcPr>
            <w:tcW w:w="7272" w:type="dxa"/>
            <w:shd w:val="clear" w:color="auto" w:fill="F7FBFE"/>
            <w:tcMar>
              <w:top w:w="90" w:type="dxa"/>
              <w:left w:w="110" w:type="dxa"/>
              <w:bottom w:w="90" w:type="dxa"/>
              <w:right w:w="110" w:type="dxa"/>
            </w:tcMar>
            <w:vAlign w:val="center"/>
          </w:tcPr>
          <w:p w14:paraId="48D0503B" w14:textId="77777777" w:rsidR="002159E2" w:rsidRDefault="00000000">
            <w:pPr>
              <w:spacing w:before="40" w:after="40"/>
            </w:pPr>
            <w:r>
              <w:rPr>
                <w:sz w:val="17"/>
              </w:rPr>
              <w:t>Explain artifact-evidence, artifact-hash-set, watermark descriptors, watermark fingerprints, collisions, and validation metrics as the downstream provenance subsystem.</w:t>
            </w:r>
          </w:p>
        </w:tc>
      </w:tr>
      <w:tr w:rsidR="002159E2" w14:paraId="37C18635" w14:textId="77777777">
        <w:trPr>
          <w:jc w:val="center"/>
        </w:trPr>
        <w:tc>
          <w:tcPr>
            <w:tcW w:w="2664" w:type="dxa"/>
            <w:tcMar>
              <w:top w:w="90" w:type="dxa"/>
              <w:left w:w="110" w:type="dxa"/>
              <w:bottom w:w="90" w:type="dxa"/>
              <w:right w:w="110" w:type="dxa"/>
            </w:tcMar>
            <w:vAlign w:val="center"/>
          </w:tcPr>
          <w:p w14:paraId="5036B39A" w14:textId="77777777" w:rsidR="002159E2" w:rsidRDefault="00000000">
            <w:pPr>
              <w:spacing w:before="40" w:after="40"/>
            </w:pPr>
            <w:r>
              <w:rPr>
                <w:sz w:val="17"/>
              </w:rPr>
              <w:t>10. Gaps and remediation roadmap</w:t>
            </w:r>
          </w:p>
        </w:tc>
        <w:tc>
          <w:tcPr>
            <w:tcW w:w="7272" w:type="dxa"/>
            <w:tcMar>
              <w:top w:w="90" w:type="dxa"/>
              <w:left w:w="110" w:type="dxa"/>
              <w:bottom w:w="90" w:type="dxa"/>
              <w:right w:w="110" w:type="dxa"/>
            </w:tcMar>
            <w:vAlign w:val="center"/>
          </w:tcPr>
          <w:p w14:paraId="5D94FD2D" w14:textId="77777777" w:rsidR="002159E2" w:rsidRDefault="00000000">
            <w:pPr>
              <w:spacing w:before="40" w:after="40"/>
            </w:pPr>
            <w:r>
              <w:rPr>
                <w:sz w:val="17"/>
              </w:rPr>
              <w:t>Show what still needs strengthening to reach full CIAF-LCM fidelity.</w:t>
            </w:r>
          </w:p>
        </w:tc>
      </w:tr>
    </w:tbl>
    <w:p w14:paraId="16467773" w14:textId="77777777" w:rsidR="002159E2" w:rsidRDefault="002159E2"/>
    <w:p w14:paraId="2861223D" w14:textId="77777777" w:rsidR="002159E2" w:rsidRDefault="00000000">
      <w:pPr>
        <w:pStyle w:val="Heading1"/>
        <w:spacing w:before="240" w:after="100"/>
      </w:pPr>
      <w:r>
        <w:t>7. Proposed Standards Section to Include in the Documentation</w:t>
      </w:r>
    </w:p>
    <w:p w14:paraId="316B3F20" w14:textId="77777777" w:rsidR="002159E2" w:rsidRDefault="00000000">
      <w:pPr>
        <w:spacing w:after="120"/>
        <w:ind w:firstLine="259"/>
      </w:pPr>
      <w:r>
        <w:t>Based on the uploaded review material, the proposed schema documentation should add an explicit standards section and treat it as authoritative across the codebase.</w:t>
      </w:r>
    </w:p>
    <w:p w14:paraId="7A61749B" w14:textId="77777777" w:rsidR="002159E2" w:rsidRDefault="00000000">
      <w:pPr>
        <w:pStyle w:val="ListBullet"/>
      </w:pPr>
      <w:r>
        <w:t>SHA-256 is the standard content hashing algorithm for CIAF evidence objects.</w:t>
      </w:r>
    </w:p>
    <w:p w14:paraId="07C3512D" w14:textId="77777777" w:rsidR="002159E2" w:rsidRDefault="00000000">
      <w:pPr>
        <w:pStyle w:val="ListBullet"/>
      </w:pPr>
      <w:r>
        <w:t>Ed25519 is the default signature algorithm for externally verifiable receipts.</w:t>
      </w:r>
    </w:p>
    <w:p w14:paraId="6B0DF05B" w14:textId="77777777" w:rsidR="002159E2" w:rsidRDefault="00000000">
      <w:pPr>
        <w:pStyle w:val="ListBullet"/>
      </w:pPr>
      <w:r>
        <w:t>HMAC-SHA256 is optional for internal-only service integrity and should not be the sole proof method for third-party-verifiable receipts.</w:t>
      </w:r>
    </w:p>
    <w:p w14:paraId="10CAB811" w14:textId="77777777" w:rsidR="002159E2" w:rsidRDefault="00000000">
      <w:pPr>
        <w:pStyle w:val="ListBullet"/>
      </w:pPr>
      <w:r>
        <w:t>All receipt-like and proof-bearing objects should carry at least signature_algorithm, key_id, and preferably canonicalization_version.</w:t>
      </w:r>
    </w:p>
    <w:p w14:paraId="4C0411F5" w14:textId="77777777" w:rsidR="002159E2" w:rsidRDefault="00000000">
      <w:pPr>
        <w:pStyle w:val="ListBullet"/>
      </w:pPr>
      <w:r>
        <w:t>Where applicable, proof-bearing objects should also carry hash_algorithm, receipt_hash, content_hash, prior_receipt_hash, merkle_root, merkle_proof, created_at, and schema_version.</w:t>
      </w:r>
    </w:p>
    <w:p w14:paraId="5331BD2B" w14:textId="77777777" w:rsidR="002159E2" w:rsidRDefault="00000000">
      <w:pPr>
        <w:pStyle w:val="ListBullet"/>
      </w:pPr>
      <w:r>
        <w:t>Merkle batching policy should be documented consistently across dataset collection, training provenance, inference interactions, and watermark evidence.</w:t>
      </w:r>
    </w:p>
    <w:p w14:paraId="3632FA4E" w14:textId="77777777" w:rsidR="002159E2" w:rsidRDefault="00000000">
      <w:pPr>
        <w:spacing w:after="120"/>
        <w:ind w:firstLine="259"/>
      </w:pPr>
      <w:r>
        <w:t>This section matters because the uploaded review material repeatedly identifies inconsistent proof metadata and missing canonicalization versioning as the single biggest cross-schema weakness.</w:t>
      </w:r>
    </w:p>
    <w:p w14:paraId="5CB95A73" w14:textId="77777777" w:rsidR="002159E2" w:rsidRDefault="00000000">
      <w:pPr>
        <w:pStyle w:val="Heading1"/>
        <w:spacing w:before="240" w:after="100"/>
      </w:pPr>
      <w:r>
        <w:t>8. Proposed Remediation and Documentation Priorities</w:t>
      </w:r>
    </w:p>
    <w:tbl>
      <w:tblPr>
        <w:tblStyle w:val="TableGrid"/>
        <w:tblW w:w="0" w:type="auto"/>
        <w:jc w:val="center"/>
        <w:tblLook w:val="04A0" w:firstRow="1" w:lastRow="0" w:firstColumn="1" w:lastColumn="0" w:noHBand="0" w:noVBand="1"/>
      </w:tblPr>
      <w:tblGrid>
        <w:gridCol w:w="936"/>
        <w:gridCol w:w="3528"/>
        <w:gridCol w:w="4320"/>
      </w:tblGrid>
      <w:tr w:rsidR="002159E2" w14:paraId="236B50F4" w14:textId="77777777">
        <w:trPr>
          <w:jc w:val="center"/>
        </w:trPr>
        <w:tc>
          <w:tcPr>
            <w:tcW w:w="936" w:type="dxa"/>
            <w:shd w:val="clear" w:color="auto" w:fill="D9EAF7"/>
            <w:tcMar>
              <w:top w:w="90" w:type="dxa"/>
              <w:left w:w="110" w:type="dxa"/>
              <w:bottom w:w="90" w:type="dxa"/>
              <w:right w:w="110" w:type="dxa"/>
            </w:tcMar>
            <w:vAlign w:val="center"/>
          </w:tcPr>
          <w:p w14:paraId="4DCFDEFE" w14:textId="77777777" w:rsidR="002159E2" w:rsidRDefault="00000000">
            <w:pPr>
              <w:spacing w:before="40" w:after="40"/>
              <w:jc w:val="center"/>
            </w:pPr>
            <w:r>
              <w:rPr>
                <w:b/>
                <w:sz w:val="17"/>
              </w:rPr>
              <w:t>Priority</w:t>
            </w:r>
          </w:p>
        </w:tc>
        <w:tc>
          <w:tcPr>
            <w:tcW w:w="3528" w:type="dxa"/>
            <w:shd w:val="clear" w:color="auto" w:fill="D9EAF7"/>
            <w:tcMar>
              <w:top w:w="90" w:type="dxa"/>
              <w:left w:w="110" w:type="dxa"/>
              <w:bottom w:w="90" w:type="dxa"/>
              <w:right w:w="110" w:type="dxa"/>
            </w:tcMar>
            <w:vAlign w:val="center"/>
          </w:tcPr>
          <w:p w14:paraId="3AAAA1B9" w14:textId="77777777" w:rsidR="002159E2" w:rsidRDefault="00000000">
            <w:pPr>
              <w:spacing w:before="40" w:after="40"/>
              <w:jc w:val="center"/>
            </w:pPr>
            <w:r>
              <w:rPr>
                <w:b/>
                <w:sz w:val="17"/>
              </w:rPr>
              <w:t>What to do</w:t>
            </w:r>
          </w:p>
        </w:tc>
        <w:tc>
          <w:tcPr>
            <w:tcW w:w="4320" w:type="dxa"/>
            <w:shd w:val="clear" w:color="auto" w:fill="D9EAF7"/>
            <w:tcMar>
              <w:top w:w="90" w:type="dxa"/>
              <w:left w:w="110" w:type="dxa"/>
              <w:bottom w:w="90" w:type="dxa"/>
              <w:right w:w="110" w:type="dxa"/>
            </w:tcMar>
            <w:vAlign w:val="center"/>
          </w:tcPr>
          <w:p w14:paraId="3F0AFBD1" w14:textId="77777777" w:rsidR="002159E2" w:rsidRDefault="00000000">
            <w:pPr>
              <w:spacing w:before="40" w:after="40"/>
              <w:jc w:val="center"/>
            </w:pPr>
            <w:r>
              <w:rPr>
                <w:b/>
                <w:sz w:val="17"/>
              </w:rPr>
              <w:t>Why it matters</w:t>
            </w:r>
          </w:p>
        </w:tc>
      </w:tr>
      <w:tr w:rsidR="002159E2" w14:paraId="72B00F5F" w14:textId="77777777">
        <w:trPr>
          <w:jc w:val="center"/>
        </w:trPr>
        <w:tc>
          <w:tcPr>
            <w:tcW w:w="936" w:type="dxa"/>
            <w:shd w:val="clear" w:color="auto" w:fill="F7FBFE"/>
            <w:tcMar>
              <w:top w:w="90" w:type="dxa"/>
              <w:left w:w="110" w:type="dxa"/>
              <w:bottom w:w="90" w:type="dxa"/>
              <w:right w:w="110" w:type="dxa"/>
            </w:tcMar>
            <w:vAlign w:val="center"/>
          </w:tcPr>
          <w:p w14:paraId="670D53D1" w14:textId="77777777" w:rsidR="002159E2" w:rsidRDefault="00000000">
            <w:pPr>
              <w:spacing w:before="40" w:after="40"/>
            </w:pPr>
            <w:r>
              <w:rPr>
                <w:sz w:val="17"/>
              </w:rPr>
              <w:t>1</w:t>
            </w:r>
          </w:p>
        </w:tc>
        <w:tc>
          <w:tcPr>
            <w:tcW w:w="3528" w:type="dxa"/>
            <w:shd w:val="clear" w:color="auto" w:fill="F7FBFE"/>
            <w:tcMar>
              <w:top w:w="90" w:type="dxa"/>
              <w:left w:w="110" w:type="dxa"/>
              <w:bottom w:w="90" w:type="dxa"/>
              <w:right w:w="110" w:type="dxa"/>
            </w:tcMar>
            <w:vAlign w:val="center"/>
          </w:tcPr>
          <w:p w14:paraId="05555517" w14:textId="77777777" w:rsidR="002159E2" w:rsidRDefault="00000000">
            <w:pPr>
              <w:spacing w:before="40" w:after="40"/>
            </w:pPr>
            <w:r>
              <w:rPr>
                <w:sz w:val="17"/>
              </w:rPr>
              <w:t>Create a shared proof-bearing base schema fragment</w:t>
            </w:r>
          </w:p>
        </w:tc>
        <w:tc>
          <w:tcPr>
            <w:tcW w:w="4320" w:type="dxa"/>
            <w:shd w:val="clear" w:color="auto" w:fill="F7FBFE"/>
            <w:tcMar>
              <w:top w:w="90" w:type="dxa"/>
              <w:left w:w="110" w:type="dxa"/>
              <w:bottom w:w="90" w:type="dxa"/>
              <w:right w:w="110" w:type="dxa"/>
            </w:tcMar>
            <w:vAlign w:val="center"/>
          </w:tcPr>
          <w:p w14:paraId="35AE16DE" w14:textId="77777777" w:rsidR="002159E2" w:rsidRDefault="00000000">
            <w:pPr>
              <w:spacing w:before="40" w:after="40"/>
            </w:pPr>
            <w:r>
              <w:rPr>
                <w:sz w:val="17"/>
              </w:rPr>
              <w:t>Standardizes schema_version, hash_algorithm, signature_algorithm, key_id, canonicalization_version, signature, and created_at across receipts, anchors, capsules, artifact evidence, and enhanced receipts.</w:t>
            </w:r>
          </w:p>
        </w:tc>
      </w:tr>
      <w:tr w:rsidR="002159E2" w14:paraId="0A050C12" w14:textId="77777777">
        <w:trPr>
          <w:jc w:val="center"/>
        </w:trPr>
        <w:tc>
          <w:tcPr>
            <w:tcW w:w="936" w:type="dxa"/>
            <w:tcMar>
              <w:top w:w="90" w:type="dxa"/>
              <w:left w:w="110" w:type="dxa"/>
              <w:bottom w:w="90" w:type="dxa"/>
              <w:right w:w="110" w:type="dxa"/>
            </w:tcMar>
            <w:vAlign w:val="center"/>
          </w:tcPr>
          <w:p w14:paraId="674AAFB6" w14:textId="77777777" w:rsidR="002159E2" w:rsidRDefault="00000000">
            <w:pPr>
              <w:spacing w:before="40" w:after="40"/>
            </w:pPr>
            <w:r>
              <w:rPr>
                <w:sz w:val="17"/>
              </w:rPr>
              <w:t>2</w:t>
            </w:r>
          </w:p>
        </w:tc>
        <w:tc>
          <w:tcPr>
            <w:tcW w:w="3528" w:type="dxa"/>
            <w:tcMar>
              <w:top w:w="90" w:type="dxa"/>
              <w:left w:w="110" w:type="dxa"/>
              <w:bottom w:w="90" w:type="dxa"/>
              <w:right w:w="110" w:type="dxa"/>
            </w:tcMar>
            <w:vAlign w:val="center"/>
          </w:tcPr>
          <w:p w14:paraId="3743D13A" w14:textId="77777777" w:rsidR="002159E2" w:rsidRDefault="00000000">
            <w:pPr>
              <w:spacing w:before="40" w:after="40"/>
            </w:pPr>
            <w:r>
              <w:rPr>
                <w:sz w:val="17"/>
              </w:rPr>
              <w:t>Elevate gate and approval schemas in the document</w:t>
            </w:r>
          </w:p>
        </w:tc>
        <w:tc>
          <w:tcPr>
            <w:tcW w:w="4320" w:type="dxa"/>
            <w:tcMar>
              <w:top w:w="90" w:type="dxa"/>
              <w:left w:w="110" w:type="dxa"/>
              <w:bottom w:w="90" w:type="dxa"/>
              <w:right w:w="110" w:type="dxa"/>
            </w:tcMar>
            <w:vAlign w:val="center"/>
          </w:tcPr>
          <w:p w14:paraId="3FBE7E6E" w14:textId="77777777" w:rsidR="002159E2" w:rsidRDefault="00000000">
            <w:pPr>
              <w:spacing w:before="40" w:after="40"/>
            </w:pPr>
            <w:r>
              <w:rPr>
                <w:sz w:val="17"/>
              </w:rPr>
              <w:t>Makes the architecture visibly about enforcement and preconditions for action, not only evidence capture.</w:t>
            </w:r>
          </w:p>
        </w:tc>
      </w:tr>
      <w:tr w:rsidR="002159E2" w14:paraId="04E1B072" w14:textId="77777777">
        <w:trPr>
          <w:jc w:val="center"/>
        </w:trPr>
        <w:tc>
          <w:tcPr>
            <w:tcW w:w="936" w:type="dxa"/>
            <w:shd w:val="clear" w:color="auto" w:fill="F7FBFE"/>
            <w:tcMar>
              <w:top w:w="90" w:type="dxa"/>
              <w:left w:w="110" w:type="dxa"/>
              <w:bottom w:w="90" w:type="dxa"/>
              <w:right w:w="110" w:type="dxa"/>
            </w:tcMar>
            <w:vAlign w:val="center"/>
          </w:tcPr>
          <w:p w14:paraId="7EACB44D" w14:textId="77777777" w:rsidR="002159E2" w:rsidRDefault="00000000">
            <w:pPr>
              <w:spacing w:before="40" w:after="40"/>
            </w:pPr>
            <w:r>
              <w:rPr>
                <w:sz w:val="17"/>
              </w:rPr>
              <w:t>3</w:t>
            </w:r>
          </w:p>
        </w:tc>
        <w:tc>
          <w:tcPr>
            <w:tcW w:w="3528" w:type="dxa"/>
            <w:shd w:val="clear" w:color="auto" w:fill="F7FBFE"/>
            <w:tcMar>
              <w:top w:w="90" w:type="dxa"/>
              <w:left w:w="110" w:type="dxa"/>
              <w:bottom w:w="90" w:type="dxa"/>
              <w:right w:w="110" w:type="dxa"/>
            </w:tcMar>
            <w:vAlign w:val="center"/>
          </w:tcPr>
          <w:p w14:paraId="428DDCCB" w14:textId="77777777" w:rsidR="002159E2" w:rsidRDefault="00000000">
            <w:pPr>
              <w:spacing w:before="40" w:after="40"/>
            </w:pPr>
            <w:r>
              <w:rPr>
                <w:sz w:val="17"/>
              </w:rPr>
              <w:t>Document policy as a first-class contract family</w:t>
            </w:r>
          </w:p>
        </w:tc>
        <w:tc>
          <w:tcPr>
            <w:tcW w:w="4320" w:type="dxa"/>
            <w:shd w:val="clear" w:color="auto" w:fill="F7FBFE"/>
            <w:tcMar>
              <w:top w:w="90" w:type="dxa"/>
              <w:left w:w="110" w:type="dxa"/>
              <w:bottom w:w="90" w:type="dxa"/>
              <w:right w:w="110" w:type="dxa"/>
            </w:tcMar>
            <w:vAlign w:val="center"/>
          </w:tcPr>
          <w:p w14:paraId="575C2419" w14:textId="77777777" w:rsidR="002159E2" w:rsidRDefault="00000000">
            <w:pPr>
              <w:spacing w:before="40" w:after="40"/>
            </w:pPr>
            <w:r>
              <w:rPr>
                <w:sz w:val="17"/>
              </w:rPr>
              <w:t>Clarifies policy set, rule, evaluation, obligations, and versioning as part of governance logic.</w:t>
            </w:r>
          </w:p>
        </w:tc>
      </w:tr>
      <w:tr w:rsidR="002159E2" w14:paraId="542CF9B6" w14:textId="77777777">
        <w:trPr>
          <w:jc w:val="center"/>
        </w:trPr>
        <w:tc>
          <w:tcPr>
            <w:tcW w:w="936" w:type="dxa"/>
            <w:tcMar>
              <w:top w:w="90" w:type="dxa"/>
              <w:left w:w="110" w:type="dxa"/>
              <w:bottom w:w="90" w:type="dxa"/>
              <w:right w:w="110" w:type="dxa"/>
            </w:tcMar>
            <w:vAlign w:val="center"/>
          </w:tcPr>
          <w:p w14:paraId="613AC554" w14:textId="77777777" w:rsidR="002159E2" w:rsidRDefault="00000000">
            <w:pPr>
              <w:spacing w:before="40" w:after="40"/>
            </w:pPr>
            <w:r>
              <w:rPr>
                <w:sz w:val="17"/>
              </w:rPr>
              <w:t>4</w:t>
            </w:r>
          </w:p>
        </w:tc>
        <w:tc>
          <w:tcPr>
            <w:tcW w:w="3528" w:type="dxa"/>
            <w:tcMar>
              <w:top w:w="90" w:type="dxa"/>
              <w:left w:w="110" w:type="dxa"/>
              <w:bottom w:w="90" w:type="dxa"/>
              <w:right w:w="110" w:type="dxa"/>
            </w:tcMar>
            <w:vAlign w:val="center"/>
          </w:tcPr>
          <w:p w14:paraId="26B0FF09" w14:textId="77777777" w:rsidR="002159E2" w:rsidRDefault="00000000">
            <w:pPr>
              <w:spacing w:before="40" w:after="40"/>
            </w:pPr>
            <w:r>
              <w:rPr>
                <w:sz w:val="17"/>
              </w:rPr>
              <w:t>Standardize lineage reference fields</w:t>
            </w:r>
          </w:p>
        </w:tc>
        <w:tc>
          <w:tcPr>
            <w:tcW w:w="4320" w:type="dxa"/>
            <w:tcMar>
              <w:top w:w="90" w:type="dxa"/>
              <w:left w:w="110" w:type="dxa"/>
              <w:bottom w:w="90" w:type="dxa"/>
              <w:right w:w="110" w:type="dxa"/>
            </w:tcMar>
            <w:vAlign w:val="center"/>
          </w:tcPr>
          <w:p w14:paraId="6F34B5BD" w14:textId="77777777" w:rsidR="002159E2" w:rsidRDefault="00000000">
            <w:pPr>
              <w:spacing w:before="40" w:after="40"/>
            </w:pPr>
            <w:r>
              <w:rPr>
                <w:sz w:val="17"/>
              </w:rPr>
              <w:t>Makes provenance traversal cleaner from dataset to training to deployment to inference to artifact evidence.</w:t>
            </w:r>
          </w:p>
        </w:tc>
      </w:tr>
      <w:tr w:rsidR="002159E2" w14:paraId="1B9275C1" w14:textId="77777777">
        <w:trPr>
          <w:jc w:val="center"/>
        </w:trPr>
        <w:tc>
          <w:tcPr>
            <w:tcW w:w="936" w:type="dxa"/>
            <w:shd w:val="clear" w:color="auto" w:fill="F7FBFE"/>
            <w:tcMar>
              <w:top w:w="90" w:type="dxa"/>
              <w:left w:w="110" w:type="dxa"/>
              <w:bottom w:w="90" w:type="dxa"/>
              <w:right w:w="110" w:type="dxa"/>
            </w:tcMar>
            <w:vAlign w:val="center"/>
          </w:tcPr>
          <w:p w14:paraId="5C74A43D" w14:textId="77777777" w:rsidR="002159E2" w:rsidRDefault="00000000">
            <w:pPr>
              <w:spacing w:before="40" w:after="40"/>
            </w:pPr>
            <w:r>
              <w:rPr>
                <w:sz w:val="17"/>
              </w:rPr>
              <w:lastRenderedPageBreak/>
              <w:t>5</w:t>
            </w:r>
          </w:p>
        </w:tc>
        <w:tc>
          <w:tcPr>
            <w:tcW w:w="3528" w:type="dxa"/>
            <w:shd w:val="clear" w:color="auto" w:fill="F7FBFE"/>
            <w:tcMar>
              <w:top w:w="90" w:type="dxa"/>
              <w:left w:w="110" w:type="dxa"/>
              <w:bottom w:w="90" w:type="dxa"/>
              <w:right w:w="110" w:type="dxa"/>
            </w:tcMar>
            <w:vAlign w:val="center"/>
          </w:tcPr>
          <w:p w14:paraId="01CDB24C" w14:textId="77777777" w:rsidR="002159E2" w:rsidRDefault="00000000">
            <w:pPr>
              <w:spacing w:before="40" w:after="40"/>
            </w:pPr>
            <w:r>
              <w:rPr>
                <w:sz w:val="17"/>
              </w:rPr>
              <w:t>Clarify what must be first-class columns versus extended metadata</w:t>
            </w:r>
          </w:p>
        </w:tc>
        <w:tc>
          <w:tcPr>
            <w:tcW w:w="4320" w:type="dxa"/>
            <w:shd w:val="clear" w:color="auto" w:fill="F7FBFE"/>
            <w:tcMar>
              <w:top w:w="90" w:type="dxa"/>
              <w:left w:w="110" w:type="dxa"/>
              <w:bottom w:w="90" w:type="dxa"/>
              <w:right w:w="110" w:type="dxa"/>
            </w:tcMar>
            <w:vAlign w:val="center"/>
          </w:tcPr>
          <w:p w14:paraId="4B3DC3EF" w14:textId="77777777" w:rsidR="002159E2" w:rsidRDefault="00000000">
            <w:pPr>
              <w:spacing w:before="40" w:after="40"/>
            </w:pPr>
            <w:r>
              <w:rPr>
                <w:sz w:val="17"/>
              </w:rPr>
              <w:t>Improves implementation discipline for any SQL or database realization of the schemas.</w:t>
            </w:r>
          </w:p>
        </w:tc>
      </w:tr>
      <w:tr w:rsidR="002159E2" w14:paraId="65F9FB10" w14:textId="77777777">
        <w:trPr>
          <w:jc w:val="center"/>
        </w:trPr>
        <w:tc>
          <w:tcPr>
            <w:tcW w:w="936" w:type="dxa"/>
            <w:tcMar>
              <w:top w:w="90" w:type="dxa"/>
              <w:left w:w="110" w:type="dxa"/>
              <w:bottom w:w="90" w:type="dxa"/>
              <w:right w:w="110" w:type="dxa"/>
            </w:tcMar>
            <w:vAlign w:val="center"/>
          </w:tcPr>
          <w:p w14:paraId="5CBC33FE" w14:textId="77777777" w:rsidR="002159E2" w:rsidRDefault="00000000">
            <w:pPr>
              <w:spacing w:before="40" w:after="40"/>
            </w:pPr>
            <w:r>
              <w:rPr>
                <w:sz w:val="17"/>
              </w:rPr>
              <w:t>6</w:t>
            </w:r>
          </w:p>
        </w:tc>
        <w:tc>
          <w:tcPr>
            <w:tcW w:w="3528" w:type="dxa"/>
            <w:tcMar>
              <w:top w:w="90" w:type="dxa"/>
              <w:left w:w="110" w:type="dxa"/>
              <w:bottom w:w="90" w:type="dxa"/>
              <w:right w:w="110" w:type="dxa"/>
            </w:tcMar>
            <w:vAlign w:val="center"/>
          </w:tcPr>
          <w:p w14:paraId="3B239108" w14:textId="77777777" w:rsidR="002159E2" w:rsidRDefault="00000000">
            <w:pPr>
              <w:spacing w:before="40" w:after="40"/>
            </w:pPr>
            <w:r>
              <w:rPr>
                <w:sz w:val="17"/>
              </w:rPr>
              <w:t>Document watermarking as downstream evidence, not a detached subsystem</w:t>
            </w:r>
          </w:p>
        </w:tc>
        <w:tc>
          <w:tcPr>
            <w:tcW w:w="4320" w:type="dxa"/>
            <w:tcMar>
              <w:top w:w="90" w:type="dxa"/>
              <w:left w:w="110" w:type="dxa"/>
              <w:bottom w:w="90" w:type="dxa"/>
              <w:right w:w="110" w:type="dxa"/>
            </w:tcMar>
            <w:vAlign w:val="center"/>
          </w:tcPr>
          <w:p w14:paraId="5E7FC01D" w14:textId="77777777" w:rsidR="002159E2" w:rsidRDefault="00000000">
            <w:pPr>
              <w:spacing w:before="40" w:after="40"/>
            </w:pPr>
            <w:r>
              <w:rPr>
                <w:sz w:val="17"/>
              </w:rPr>
              <w:t>Shows clearly how artifact provenance links back into CIAF-LCM rather than living beside it.</w:t>
            </w:r>
          </w:p>
        </w:tc>
      </w:tr>
    </w:tbl>
    <w:p w14:paraId="42218F8C" w14:textId="77777777" w:rsidR="002159E2" w:rsidRDefault="002159E2"/>
    <w:p w14:paraId="1C8CB591" w14:textId="77777777" w:rsidR="002159E2" w:rsidRDefault="00000000">
      <w:pPr>
        <w:pStyle w:val="Heading1"/>
        <w:spacing w:before="240" w:after="100"/>
      </w:pPr>
      <w:r>
        <w:t>9. Proposed Schema Family Explanations</w:t>
      </w:r>
    </w:p>
    <w:p w14:paraId="5D1E4EFF" w14:textId="77777777" w:rsidR="002159E2" w:rsidRDefault="00000000">
      <w:pPr>
        <w:pStyle w:val="Heading2"/>
        <w:spacing w:before="0" w:after="120"/>
      </w:pPr>
      <w:r>
        <w:rPr>
          <w:b w:val="0"/>
        </w:rPr>
        <w:t>Identity, resource, and permission</w:t>
      </w:r>
    </w:p>
    <w:p w14:paraId="6EC965E0" w14:textId="77777777" w:rsidR="002159E2" w:rsidRDefault="00000000">
      <w:pPr>
        <w:spacing w:after="120"/>
        <w:ind w:firstLine="259"/>
      </w:pPr>
      <w:r>
        <w:t>These schemas define who may act, on what, and under what permission model. In CIAF-LCM, they support the identity, privilege, and execution sides of the framework and become especially important in agentic and delegated-action contexts.</w:t>
      </w:r>
    </w:p>
    <w:p w14:paraId="3F562907" w14:textId="77777777" w:rsidR="002159E2" w:rsidRDefault="00000000">
      <w:pPr>
        <w:pStyle w:val="Heading2"/>
        <w:spacing w:before="0" w:after="120"/>
      </w:pPr>
      <w:r>
        <w:rPr>
          <w:b w:val="0"/>
        </w:rPr>
        <w:t>Policy and gate layer</w:t>
      </w:r>
    </w:p>
    <w:p w14:paraId="6770C5AF" w14:textId="77777777" w:rsidR="002159E2" w:rsidRDefault="00000000">
      <w:pPr>
        <w:spacing w:after="120"/>
        <w:ind w:firstLine="259"/>
      </w:pPr>
      <w:r>
        <w:t>These schemas define what rules are in force, how they are evaluated, and whether a lifecycle transition or runtime action is allowed, denied, escalated, or overridden. This is the enforcement center of the architecture.</w:t>
      </w:r>
    </w:p>
    <w:p w14:paraId="6C5CCA1A" w14:textId="77777777" w:rsidR="002159E2" w:rsidRDefault="00000000">
      <w:pPr>
        <w:pStyle w:val="Heading2"/>
        <w:spacing w:before="0" w:after="120"/>
      </w:pPr>
      <w:r>
        <w:rPr>
          <w:b w:val="0"/>
        </w:rPr>
        <w:t>Lifecycle receipt layer</w:t>
      </w:r>
    </w:p>
    <w:p w14:paraId="3EC22721" w14:textId="77777777" w:rsidR="002159E2" w:rsidRDefault="00000000">
      <w:pPr>
        <w:spacing w:after="120"/>
        <w:ind w:firstLine="259"/>
      </w:pPr>
      <w:r>
        <w:t>These schemas capture request, execution, and proof-bearing objects across training, deployment, inference, and runtime operations. They are the backbone of the 'proof, not logs' claim.</w:t>
      </w:r>
    </w:p>
    <w:p w14:paraId="3963F52E" w14:textId="77777777" w:rsidR="002159E2" w:rsidRDefault="00000000">
      <w:pPr>
        <w:pStyle w:val="Heading2"/>
        <w:spacing w:before="0" w:after="120"/>
      </w:pPr>
      <w:r>
        <w:rPr>
          <w:b w:val="0"/>
        </w:rPr>
        <w:t>Artifact and watermark layer</w:t>
      </w:r>
    </w:p>
    <w:p w14:paraId="4AC1B788" w14:textId="77777777" w:rsidR="002159E2" w:rsidRDefault="00000000">
      <w:pPr>
        <w:spacing w:after="120"/>
        <w:ind w:firstLine="259"/>
      </w:pPr>
      <w:r>
        <w:t>These schemas connect runtime evidence to downstream artifacts through before-and-after hashes, fingerprints, fragment evidence, watermark descriptors, and validation records. This is where CIAF extends beyond controlled systems into distributed outputs.</w:t>
      </w:r>
    </w:p>
    <w:p w14:paraId="04AAC3BC" w14:textId="77777777" w:rsidR="002159E2" w:rsidRDefault="00000000">
      <w:pPr>
        <w:pStyle w:val="Heading2"/>
        <w:spacing w:before="0" w:after="120"/>
      </w:pPr>
      <w:r>
        <w:rPr>
          <w:b w:val="0"/>
        </w:rPr>
        <w:t>Vault and packaging layer</w:t>
      </w:r>
    </w:p>
    <w:p w14:paraId="2623C948" w14:textId="77777777" w:rsidR="002159E2" w:rsidRDefault="00000000">
      <w:pPr>
        <w:spacing w:after="120"/>
        <w:ind w:firstLine="259"/>
      </w:pPr>
      <w:r>
        <w:t>Anchor, capsule, proof-metadata, merkle-proof, vault, and lineage-references should be documented as the portable proof and custody substrate. This is what turns events into durable evidence.</w:t>
      </w:r>
    </w:p>
    <w:p w14:paraId="45ED9BA8" w14:textId="77777777" w:rsidR="002159E2" w:rsidRDefault="00000000">
      <w:pPr>
        <w:pStyle w:val="Heading2"/>
        <w:spacing w:before="0" w:after="120"/>
      </w:pPr>
      <w:r>
        <w:rPr>
          <w:b w:val="0"/>
        </w:rPr>
        <w:t>Corrective action and incident layer</w:t>
      </w:r>
    </w:p>
    <w:p w14:paraId="47796754" w14:textId="77777777" w:rsidR="002159E2" w:rsidRDefault="00000000">
      <w:pPr>
        <w:spacing w:after="120"/>
        <w:ind w:firstLine="259"/>
      </w:pPr>
      <w:r>
        <w:t>These schemas show that CIAF is not only about detecting problems, but about documenting remediation, escalation, and governance follow-through.</w:t>
      </w:r>
    </w:p>
    <w:p w14:paraId="177DDF8E" w14:textId="77777777" w:rsidR="002159E2" w:rsidRDefault="00000000">
      <w:pPr>
        <w:pStyle w:val="Heading1"/>
        <w:spacing w:before="240" w:after="100"/>
      </w:pPr>
      <w:r>
        <w:t>10. Source Basis for This Proposed Documentation</w:t>
      </w:r>
    </w:p>
    <w:p w14:paraId="52F5FC7D" w14:textId="77777777" w:rsidR="002159E2" w:rsidRDefault="00000000">
      <w:pPr>
        <w:spacing w:after="120"/>
        <w:ind w:firstLine="259"/>
      </w:pPr>
      <w:r>
        <w:t>This proposed documentation document was synthesized from the uploaded inventory, implementation summary, quick reference, coordination policy, and schema review materials. Those files collectively support the following current-state conclusions:</w:t>
      </w:r>
    </w:p>
    <w:p w14:paraId="41E42033" w14:textId="77777777" w:rsidR="002159E2" w:rsidRDefault="00000000">
      <w:pPr>
        <w:pStyle w:val="ListBullet"/>
      </w:pPr>
      <w:r>
        <w:t>There are two managed schema repositories with a coordinated governance model.</w:t>
      </w:r>
    </w:p>
    <w:p w14:paraId="67B427BB" w14:textId="77777777" w:rsidR="002159E2" w:rsidRDefault="00000000">
      <w:pPr>
        <w:pStyle w:val="ListBullet"/>
      </w:pPr>
      <w:r>
        <w:t>The CIAF Core side is mature, component-based, and already uses JSON Schema 2020-12 with semantic versioning.</w:t>
      </w:r>
    </w:p>
    <w:p w14:paraId="05651DA9" w14:textId="77777777" w:rsidR="002159E2" w:rsidRDefault="00000000">
      <w:pPr>
        <w:pStyle w:val="ListBullet"/>
      </w:pPr>
      <w:r>
        <w:lastRenderedPageBreak/>
        <w:t>The watermarking side has now been migrated into the same standards model and has a new component library.</w:t>
      </w:r>
    </w:p>
    <w:p w14:paraId="132F7F04" w14:textId="77777777" w:rsidR="002159E2" w:rsidRDefault="00000000">
      <w:pPr>
        <w:pStyle w:val="ListBullet"/>
      </w:pPr>
      <w:r>
        <w:t>The framework is strongest today in evidence capture, provenance, artifact evidence, and agentic execution coverage.</w:t>
      </w:r>
    </w:p>
    <w:p w14:paraId="20286CC9" w14:textId="77777777" w:rsidR="002159E2" w:rsidRDefault="00000000">
      <w:pPr>
        <w:pStyle w:val="ListBullet"/>
      </w:pPr>
      <w:r>
        <w:t>The biggest remaining architectural gap is still explicit gate and policy enforcement modeling plus consistent proof metadata.</w:t>
      </w:r>
    </w:p>
    <w:sectPr w:rsidR="002159E2"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722B" w14:textId="77777777" w:rsidR="005042D9" w:rsidRDefault="005042D9">
      <w:pPr>
        <w:spacing w:after="0" w:line="240" w:lineRule="auto"/>
      </w:pPr>
      <w:r>
        <w:separator/>
      </w:r>
    </w:p>
  </w:endnote>
  <w:endnote w:type="continuationSeparator" w:id="0">
    <w:p w14:paraId="12422ECE" w14:textId="77777777" w:rsidR="005042D9" w:rsidRDefault="00504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348611"/>
      <w:docPartObj>
        <w:docPartGallery w:val="Page Numbers (Bottom of Page)"/>
        <w:docPartUnique/>
      </w:docPartObj>
    </w:sdtPr>
    <w:sdtEndPr>
      <w:rPr>
        <w:noProof/>
      </w:rPr>
    </w:sdtEndPr>
    <w:sdtContent>
      <w:p w14:paraId="443F23D8" w14:textId="1DF51AEC" w:rsidR="00FF6CFF" w:rsidRDefault="00FF6C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DEB199" w14:textId="7C7C3661" w:rsidR="002159E2" w:rsidRDefault="002159E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1561" w14:textId="77777777" w:rsidR="005042D9" w:rsidRDefault="005042D9">
      <w:pPr>
        <w:spacing w:after="0" w:line="240" w:lineRule="auto"/>
      </w:pPr>
      <w:r>
        <w:separator/>
      </w:r>
    </w:p>
  </w:footnote>
  <w:footnote w:type="continuationSeparator" w:id="0">
    <w:p w14:paraId="5C33C362" w14:textId="77777777" w:rsidR="005042D9" w:rsidRDefault="00504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533602"/>
      <w:docPartObj>
        <w:docPartGallery w:val="Page Numbers (Top of Page)"/>
        <w:docPartUnique/>
      </w:docPartObj>
    </w:sdtPr>
    <w:sdtEndPr>
      <w:rPr>
        <w:noProof/>
      </w:rPr>
    </w:sdtEndPr>
    <w:sdtContent>
      <w:p w14:paraId="543F38EB" w14:textId="77777777" w:rsidR="00FF6CFF" w:rsidRPr="00FF6CFF" w:rsidRDefault="00FF6CFF" w:rsidP="00FF6CFF">
        <w:pPr>
          <w:jc w:val="center"/>
        </w:pPr>
        <w:r w:rsidRPr="00FF6CFF">
          <w:t>CIAF-LCM Proposed Schema Documentation</w:t>
        </w:r>
      </w:p>
      <w:p w14:paraId="3EB11158" w14:textId="421CA6A6" w:rsidR="00FF6CFF" w:rsidRDefault="00FF6CFF">
        <w:pPr>
          <w:pStyle w:val="Header"/>
          <w:jc w:val="center"/>
        </w:pPr>
      </w:p>
    </w:sdtContent>
  </w:sdt>
  <w:p w14:paraId="0619A3D3" w14:textId="77777777" w:rsidR="00FF6CFF" w:rsidRDefault="00FF6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368370">
    <w:abstractNumId w:val="8"/>
  </w:num>
  <w:num w:numId="2" w16cid:durableId="1405878777">
    <w:abstractNumId w:val="6"/>
  </w:num>
  <w:num w:numId="3" w16cid:durableId="594752757">
    <w:abstractNumId w:val="5"/>
  </w:num>
  <w:num w:numId="4" w16cid:durableId="1039162977">
    <w:abstractNumId w:val="4"/>
  </w:num>
  <w:num w:numId="5" w16cid:durableId="459886164">
    <w:abstractNumId w:val="7"/>
  </w:num>
  <w:num w:numId="6" w16cid:durableId="589895513">
    <w:abstractNumId w:val="3"/>
  </w:num>
  <w:num w:numId="7" w16cid:durableId="831021086">
    <w:abstractNumId w:val="2"/>
  </w:num>
  <w:num w:numId="8" w16cid:durableId="721254109">
    <w:abstractNumId w:val="1"/>
  </w:num>
  <w:num w:numId="9" w16cid:durableId="13483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E2"/>
    <w:rsid w:val="002164F8"/>
    <w:rsid w:val="0029639D"/>
    <w:rsid w:val="00326F90"/>
    <w:rsid w:val="005042D9"/>
    <w:rsid w:val="00AA1D8D"/>
    <w:rsid w:val="00B47730"/>
    <w:rsid w:val="00CB0664"/>
    <w:rsid w:val="00FC693F"/>
    <w:rsid w:val="00FF6C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C7BF5"/>
  <w14:defaultImageDpi w14:val="300"/>
  <w15:docId w15:val="{9B5BA2A1-AD73-483F-B007-6390A68F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F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rPr>
      <w:rFonts w:ascii="Aptos" w:eastAsia="Aptos" w:hAnsi="Aptos"/>
      <w:i/>
      <w:color w:val="5F5F5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2135</Words>
  <Characters>14198</Characters>
  <Application>Microsoft Office Word</Application>
  <DocSecurity>0</DocSecurity>
  <Lines>322</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2</cp:revision>
  <dcterms:created xsi:type="dcterms:W3CDTF">2013-12-23T23:15:00Z</dcterms:created>
  <dcterms:modified xsi:type="dcterms:W3CDTF">2026-04-21T17:13:00Z</dcterms:modified>
  <cp:category/>
</cp:coreProperties>
</file>