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w:hAnsi="Aptos"/>
          <w:b/>
          <w:i w:val="0"/>
          <w:color w:val="1F4E79"/>
          <w:sz w:val="48"/>
        </w:rPr>
        <w:t>Shadow AI Governance</w:t>
      </w:r>
    </w:p>
    <w:p>
      <w:pPr>
        <w:jc w:val="center"/>
      </w:pPr>
      <w:r>
        <w:rPr>
          <w:rFonts w:ascii="Aptos" w:hAnsi="Aptos"/>
          <w:b w:val="0"/>
          <w:i/>
          <w:color w:val="282828"/>
          <w:sz w:val="30"/>
        </w:rPr>
        <w:t>Bringing Unmanaged AI Use into the Evidence Perimeter</w:t>
      </w:r>
    </w:p>
    <w:p>
      <w:pPr>
        <w:spacing w:before="440"/>
        <w:jc w:val="center"/>
      </w:pPr>
      <w:r>
        <w:rPr>
          <w:rFonts w:ascii="Aptos" w:hAnsi="Aptos"/>
          <w:b w:val="0"/>
          <w:i w:val="0"/>
          <w:color w:val="5F5F5F"/>
          <w:sz w:val="23"/>
        </w:rPr>
        <w:t>Denzil Greenwood</w:t>
        <w:br/>
      </w:r>
      <w:r>
        <w:rPr>
          <w:rFonts w:ascii="Aptos" w:hAnsi="Aptos"/>
          <w:b w:val="0"/>
          <w:i w:val="0"/>
          <w:color w:val="5F5F5F"/>
          <w:sz w:val="23"/>
        </w:rPr>
        <w:t>CognitiveInsight.ai</w:t>
        <w:br/>
      </w:r>
      <w:r>
        <w:rPr>
          <w:rFonts w:ascii="Aptos" w:hAnsi="Aptos"/>
          <w:b w:val="0"/>
          <w:i w:val="0"/>
          <w:color w:val="5F5F5F"/>
          <w:sz w:val="23"/>
        </w:rPr>
        <w:t>April 2026</w:t>
        <w:br/>
      </w:r>
    </w:p>
    <w:p>
      <w:pPr>
        <w:spacing w:before="160" w:after="60"/>
      </w:pPr>
      <w:r>
        <w:rPr>
          <w:rFonts w:ascii="Aptos" w:hAnsi="Aptos"/>
          <w:b/>
          <w:i w:val="0"/>
          <w:color w:val="1F4E79"/>
          <w:sz w:val="21"/>
        </w:rPr>
        <w:t>Paper Purpose</w:t>
      </w:r>
    </w:p>
    <w:p>
      <w:pPr>
        <w:spacing w:after="160"/>
        <w:ind w:left="360" w:right="360"/>
        <w:pBdr>
          <w:top w:val="single" w:sz="8" w:space="6" w:color="B7C9E2"/>
          <w:left w:val="single" w:sz="8" w:space="6" w:color="B7C9E2"/>
          <w:bottom w:val="single" w:sz="8" w:space="6" w:color="B7C9E2"/>
          <w:right w:val="single" w:sz="8" w:space="6" w:color="B7C9E2"/>
        </w:pBdr>
      </w:pPr>
      <w:r>
        <w:rPr>
          <w:rFonts w:ascii="Aptos" w:hAnsi="Aptos"/>
          <w:b w:val="0"/>
          <w:i w:val="0"/>
          <w:color w:val="5F5F5F"/>
          <w:sz w:val="20"/>
        </w:rPr>
        <w:t>This paper defines shadow AI as an evidence and control problem, then proposes an evidence-led discovery, classification, and governance model that extends the broader AI Governance Evidence Infrastructure architecture to unmanaged AI usage.</w:t>
      </w:r>
    </w:p>
    <w:p>
      <w:pPr>
        <w:jc w:val="center"/>
      </w:pPr>
      <w:r>
        <w:rPr>
          <w:rFonts w:ascii="Aptos" w:hAnsi="Aptos"/>
          <w:b/>
          <w:i w:val="0"/>
          <w:color w:val="1F4E79"/>
          <w:sz w:val="22"/>
        </w:rPr>
        <w:t>Architecture / Position Paper</w:t>
      </w:r>
    </w:p>
    <w:p>
      <w:pPr>
        <w:spacing w:after="0" w:line="276" w:lineRule="auto"/>
      </w:pPr>
    </w:p>
    <w:p>
      <w:r>
        <w:br w:type="page"/>
      </w:r>
    </w:p>
    <w:p>
      <w:pPr>
        <w:pStyle w:val="Heading1"/>
        <w:keepNext/>
        <w:spacing w:before="240" w:after="120"/>
      </w:pPr>
      <w:r>
        <w:rPr>
          <w:rFonts w:ascii="Aptos" w:hAnsi="Aptos"/>
          <w:b/>
          <w:i w:val="0"/>
          <w:color w:val="1F4E79"/>
          <w:sz w:val="32"/>
        </w:rPr>
        <w:t>Abstract</w:t>
      </w:r>
    </w:p>
    <w:p>
      <w:pPr>
        <w:spacing w:after="120" w:line="276" w:lineRule="auto"/>
        <w:ind w:firstLine="259"/>
      </w:pPr>
      <w:r>
        <w:rPr>
          <w:rFonts w:ascii="Aptos" w:hAnsi="Aptos"/>
        </w:rPr>
        <w:t>Shadow AI has emerged as one of the clearest governance gaps in enterprise AI adoption. Employees and teams increasingly use public chatbots, private browser extensions, unsanctioned agents, embedded copilots, and third-party model APIs outside approved workflows. This unmanaged activity creates visibility gaps around sensitive data handling, model provenance, prompt and output retention, policy compliance, and downstream artifact use. Microsoft's 2024 Work Trend Index reported that 75% of knowledge workers were already using AI at work, and that many were bringing their own AI tools into the workplace, underscoring that adoption is moving faster than formal governance plans in many organizations (Microsoft, Work Trend Index 2024).</w:t>
      </w:r>
    </w:p>
    <w:p>
      <w:pPr>
        <w:spacing w:after="120" w:line="276" w:lineRule="auto"/>
        <w:ind w:firstLine="259"/>
      </w:pPr>
      <w:r>
        <w:rPr>
          <w:rFonts w:ascii="Aptos" w:hAnsi="Aptos"/>
          <w:b w:val="0"/>
          <w:i w:val="0"/>
          <w:color w:val="282828"/>
          <w:sz w:val="22"/>
        </w:rPr>
        <w:t>This paper argues that shadow AI should be treated not primarily as a monitoring problem, but as an evidence and control problem. Organizations cannot govern what they cannot see, but visibility alone is insufficient if discovery events cannot be normalized, classified, linked to policy, and routed into accountable governance actions. The paper therefore proposes a shadow-AI governance model that extends AI Governance Evidence Infrastructure into the unmanaged perimeter. In this model, discovery signals are converted into evidence records; usage is classified by data sensitivity, operational impact, and policy posture; and governance responses are routed into actions such as education, approval, migration, restriction, or incident handling. The contribution is conceptual and architectural: it defines the problem space, proposes the operating model, and frames shadow AI as a natural extension of lifecycle evidence architecture rather than a separate security silo.</w:t>
      </w:r>
    </w:p>
    <w:p>
      <w:pPr>
        <w:pStyle w:val="Heading1"/>
        <w:keepNext/>
        <w:spacing w:before="240" w:after="120"/>
      </w:pPr>
      <w:r>
        <w:rPr>
          <w:rFonts w:ascii="Aptos" w:hAnsi="Aptos"/>
          <w:b/>
          <w:i w:val="0"/>
          <w:color w:val="1F4E79"/>
          <w:sz w:val="32"/>
        </w:rPr>
        <w:t>1. Introduction</w:t>
      </w:r>
    </w:p>
    <w:p>
      <w:pPr>
        <w:spacing w:after="120" w:line="276" w:lineRule="auto"/>
        <w:ind w:firstLine="259"/>
      </w:pPr>
      <w:r>
        <w:rPr>
          <w:rFonts w:ascii="Aptos" w:hAnsi="Aptos"/>
          <w:b w:val="0"/>
          <w:i w:val="0"/>
          <w:color w:val="282828"/>
          <w:sz w:val="22"/>
        </w:rPr>
        <w:t>Shadow AI refers to the use of AI tools, models, agents, and AI-enabled features outside an organization’s approved governance channels. In operational terms, this includes employees pasting sensitive material into public chatbots, teams adopting third-party generative AI tools without review, browser-based or SaaS-embedded copilots interacting with enterprise data, and autonomous or semi-autonomous agents performing work tasks outside sanctioned control boundaries. The issue is not merely that these tools exist. It is that their use often bypasses established review, logging, retention, privacy, and approval processes.</w:t>
      </w:r>
    </w:p>
    <w:p>
      <w:pPr>
        <w:spacing w:after="120" w:line="276" w:lineRule="auto"/>
        <w:ind w:firstLine="259"/>
      </w:pPr>
      <w:r>
        <w:rPr>
          <w:rFonts w:ascii="Aptos" w:hAnsi="Aptos"/>
          <w:b w:val="0"/>
          <w:i w:val="0"/>
          <w:color w:val="282828"/>
          <w:sz w:val="22"/>
        </w:rPr>
        <w:t>That makes shadow AI a governance problem, not just an IT hygiene problem. When unmanaged use occurs, organizations may lose visibility into which systems were used, what data was disclosed, what outputs were relied upon, which downstream artifacts were produced, and whether any human or automated controls intervened. Policy statements alone do not close this gap. A written prohibition on unsanctioned AI does not create an evidence trail, a risk classification, or a remediation workflow.</w:t>
      </w:r>
    </w:p>
    <w:p>
      <w:pPr>
        <w:spacing w:after="120" w:line="276" w:lineRule="auto"/>
        <w:ind w:firstLine="259"/>
      </w:pPr>
      <w:r>
        <w:t>Recent market and vendor signals suggest the scale of the issue is material. Microsoft has reported broad workplace AI adoption and specifically highlighted that employees are bringing their own AI to work. In 2025 survey data cited by Microsoft's 2026 AI security report, 29% of employees were reported to use unsanctioned AI agents for work tasks, while only 47% of organizations reported implementing specific generative-AI security controls (Microsoft, Work Trend Index 2024; Microsoft, Cyber Pulse 2026). These numbers should not be read as definitive industry-wide measures for every enterprise, but they strongly support the architectural point: unmanaged AI use is already common enough that governance models must account for it explicitly.</w:t>
      </w:r>
    </w:p>
    <w:p>
      <w:pPr>
        <w:spacing w:after="120" w:line="276" w:lineRule="auto"/>
        <w:ind w:firstLine="259"/>
      </w:pPr>
      <w:r>
        <w:rPr>
          <w:rFonts w:ascii="Aptos" w:hAnsi="Aptos"/>
          <w:b w:val="0"/>
          <w:i w:val="0"/>
          <w:color w:val="282828"/>
          <w:sz w:val="22"/>
        </w:rPr>
        <w:t>This paper proposes such a model. It treats shadow AI as the expansion of the evidence perimeter beyond approved systems. The core claim is that unmanaged AI usage can be discovered, normalized into evidence, classified according to policy and risk, and routed into governance responses without collapsing into indiscriminate employee surveillance. The goal is not maximal visibility for its own sake. The goal is governed visibility tied to defensible control outcomes.</w:t>
      </w:r>
    </w:p>
    <w:p>
      <w:pPr>
        <w:spacing w:before="160" w:after="60"/>
      </w:pPr>
      <w:r>
        <w:rPr>
          <w:rFonts w:ascii="Aptos" w:hAnsi="Aptos"/>
          <w:b/>
          <w:i w:val="0"/>
          <w:color w:val="1F4E79"/>
          <w:sz w:val="21"/>
        </w:rPr>
        <w:t>Figure Placeholder 1. Shadow AI evidence pipeline</w:t>
      </w:r>
    </w:p>
    <w:p>
      <w:pPr>
        <w:spacing w:after="160"/>
        <w:ind w:left="360" w:right="360"/>
        <w:pBdr>
          <w:top w:val="single" w:sz="8" w:space="6" w:color="B7C9E2"/>
          <w:left w:val="single" w:sz="8" w:space="6" w:color="B7C9E2"/>
          <w:bottom w:val="single" w:sz="8" w:space="6" w:color="B7C9E2"/>
          <w:right w:val="single" w:sz="8" w:space="6" w:color="B7C9E2"/>
        </w:pBdr>
      </w:pPr>
      <w:r>
        <w:rPr>
          <w:rFonts w:ascii="Aptos" w:hAnsi="Aptos"/>
          <w:b w:val="0"/>
          <w:i w:val="0"/>
          <w:color w:val="5F5F5F"/>
          <w:sz w:val="20"/>
        </w:rPr>
        <w:t>Insert a figure showing discovery inputs (network, endpoint, SaaS, browser, DLP, user reporting), normalization into evidence records, classification/risk routing, and governance responses (educate, approve, migrate, block, investigate).</w:t>
      </w:r>
    </w:p>
    <w:p>
      <w:pPr>
        <w:pStyle w:val="Heading1"/>
        <w:keepNext/>
        <w:spacing w:before="240" w:after="120"/>
      </w:pPr>
      <w:r>
        <w:rPr>
          <w:rFonts w:ascii="Aptos" w:hAnsi="Aptos"/>
          <w:b/>
          <w:i w:val="0"/>
          <w:color w:val="1F4E79"/>
          <w:sz w:val="32"/>
        </w:rPr>
        <w:t>2. The Visibility Problem</w:t>
      </w:r>
    </w:p>
    <w:p>
      <w:pPr>
        <w:spacing w:after="120" w:line="276" w:lineRule="auto"/>
        <w:ind w:firstLine="259"/>
      </w:pPr>
      <w:r>
        <w:rPr>
          <w:rFonts w:ascii="Aptos" w:hAnsi="Aptos"/>
          <w:b w:val="0"/>
          <w:i w:val="0"/>
          <w:color w:val="282828"/>
          <w:sz w:val="22"/>
        </w:rPr>
        <w:t>Shadow AI emerges through multiple channels. Some usage is obvious: a browser session to a public chatbot, uploads to a third-party image or document model, or use of a prohibited assistant during sensitive work. Other usage is subtler: AI features embedded in ordinary SaaS tools, local assistants connected through plugins, workflow automations that silently route content to external models, or outputs copied from unmanaged systems into internal records. The operational problem is therefore not simply identifying named tools on a blocklist. It is identifying unmanaged AI-mediated work where the relevant governance context is missing.</w:t>
      </w:r>
    </w:p>
    <w:p>
      <w:pPr>
        <w:spacing w:after="120" w:line="276" w:lineRule="auto"/>
        <w:ind w:firstLine="259"/>
      </w:pPr>
      <w:r>
        <w:rPr>
          <w:rFonts w:ascii="Aptos" w:hAnsi="Aptos"/>
          <w:b w:val="0"/>
          <w:i w:val="0"/>
          <w:color w:val="282828"/>
          <w:sz w:val="22"/>
        </w:rPr>
        <w:t>This visibility problem has at least four dimensions. The first is tool visibility: knowing which AI-capable services or agents are in use. The second is interaction visibility: understanding what categories of prompts, inputs, or files were exchanged. The third is artifact visibility: recognizing when unmanaged outputs are incorporated into emails, reports, code, policies, or decisions. The fourth is authority visibility: determining whether the actor, data, and task were permitted for that tool and use case.</w:t>
      </w:r>
    </w:p>
    <w:p>
      <w:pPr>
        <w:spacing w:after="120" w:line="276" w:lineRule="auto"/>
        <w:ind w:firstLine="259"/>
      </w:pPr>
      <w:r>
        <w:rPr>
          <w:rFonts w:ascii="Aptos" w:hAnsi="Aptos"/>
          <w:b w:val="0"/>
          <w:i w:val="0"/>
          <w:color w:val="282828"/>
          <w:sz w:val="22"/>
        </w:rPr>
        <w:t>Treating shadow AI as a simple detection problem leads to shallow controls: blocklists, occasional audits, or generalized warnings. These can be useful, but they often fail to distinguish low-risk experimentation from high-risk misuse, and they rarely provide the evidentiary continuity needed for remediation or investigation. A discovery event should therefore not terminate in an alert alone. It should become a structured governance record.</w:t>
      </w:r>
    </w:p>
    <w:p>
      <w:pPr>
        <w:spacing w:after="120" w:line="276" w:lineRule="auto"/>
        <w:ind w:firstLine="259"/>
      </w:pPr>
      <w:r>
        <w:rPr>
          <w:rFonts w:ascii="Aptos" w:hAnsi="Aptos"/>
          <w:b w:val="0"/>
          <w:i w:val="0"/>
          <w:color w:val="282828"/>
          <w:sz w:val="22"/>
        </w:rPr>
        <w:t>This is why the paper uses the phrase evidence-led discovery. The organization does not merely want to know that an event occurred. It needs enough normalized context to classify the event, trace its relationship to policy, and decide what response is appropriate.</w:t>
      </w:r>
    </w:p>
    <w:p>
      <w:pPr>
        <w:pStyle w:val="Heading1"/>
        <w:keepNext/>
        <w:spacing w:before="240" w:after="120"/>
      </w:pPr>
      <w:r>
        <w:rPr>
          <w:rFonts w:ascii="Aptos" w:hAnsi="Aptos"/>
          <w:b/>
          <w:i w:val="0"/>
          <w:color w:val="1F4E79"/>
          <w:sz w:val="32"/>
        </w:rPr>
        <w:t>3. An Evidence-Led Discovery Model</w:t>
      </w:r>
    </w:p>
    <w:p>
      <w:pPr>
        <w:spacing w:after="120" w:line="276" w:lineRule="auto"/>
        <w:ind w:firstLine="259"/>
      </w:pPr>
      <w:r>
        <w:rPr>
          <w:rFonts w:ascii="Aptos" w:hAnsi="Aptos"/>
          <w:b w:val="0"/>
          <w:i w:val="0"/>
          <w:color w:val="282828"/>
          <w:sz w:val="22"/>
        </w:rPr>
        <w:t>An evidence-led discovery model begins with signals rather than assumptions. Relevant signals may include network destinations, browser telemetry, SaaS application metadata, endpoint process events, DLP matches, proxy or CASB observations, upload/download traces, user self-reporting, manager escalation, or downstream content-review findings. Some signals are direct indicators of AI usage. Others are indirect indicators that become useful only when correlated.</w:t>
      </w:r>
    </w:p>
    <w:p>
      <w:pPr>
        <w:spacing w:after="120" w:line="276" w:lineRule="auto"/>
        <w:ind w:firstLine="259"/>
      </w:pPr>
      <w:r>
        <w:rPr>
          <w:rFonts w:ascii="Aptos" w:hAnsi="Aptos"/>
          <w:b w:val="0"/>
          <w:i w:val="0"/>
          <w:color w:val="282828"/>
          <w:sz w:val="22"/>
        </w:rPr>
        <w:t>The architectural principle is that discovery signals are not retained as raw surveillance exhaust. Instead, they are normalized into evidence records with a purpose-limited schema. A discovery record should capture the event type, observed tool or destination, actor or role where appropriate, device or session context when needed, timestamp, policy context, confidence level, data-sensitivity hints, and links to any supporting artifacts such as DLP events, screenshots, or proxy logs. The record should also preserve provenance about how the discovery conclusion was reached.</w:t>
      </w:r>
    </w:p>
    <w:p>
      <w:pPr>
        <w:spacing w:after="120" w:line="276" w:lineRule="auto"/>
        <w:ind w:firstLine="259"/>
      </w:pPr>
      <w:r>
        <w:rPr>
          <w:rFonts w:ascii="Aptos" w:hAnsi="Aptos"/>
          <w:b w:val="0"/>
          <w:i w:val="0"/>
          <w:color w:val="282828"/>
          <w:sz w:val="22"/>
        </w:rPr>
        <w:t>Within the broader CIAF architecture, these discovery records can be modeled as lifecycle receipts for unmanaged use. They do not need to contain every byte of observed content. In many cases, hashes, labels, destination identifiers, and structured metadata are sufficient at the initial stage. Heavier evidence materialization can then be triggered only when policy, risk, or investigation thresholds are crossed. This mirrors the lazy-capture logic of lifecycle evidence elsewhere in the architecture.</w:t>
      </w:r>
    </w:p>
    <w:p>
      <w:pPr>
        <w:spacing w:after="120" w:line="276" w:lineRule="auto"/>
        <w:ind w:firstLine="259"/>
      </w:pPr>
      <w:r>
        <w:rPr>
          <w:rFonts w:ascii="Aptos" w:hAnsi="Aptos"/>
          <w:b w:val="0"/>
          <w:i w:val="0"/>
          <w:color w:val="282828"/>
          <w:sz w:val="22"/>
        </w:rPr>
        <w:t>The result is a disciplined middle path. The organization gains enough evidence to govern shadow AI while limiting over-collection and preserving clearer privacy boundaries than indiscriminate full-content capture would allow.</w:t>
      </w:r>
    </w:p>
    <w:tbl>
      <w:tblPr>
        <w:tblStyle w:val="TableGrid"/>
        <w:tblW w:type="auto" w:w="0"/>
        <w:jc w:val="center"/>
        <w:tblLook w:firstColumn="1" w:firstRow="1" w:lastColumn="0" w:lastRow="0" w:noHBand="0" w:noVBand="1" w:val="04A0"/>
      </w:tblPr>
      <w:tblGrid>
        <w:gridCol w:w="3216"/>
        <w:gridCol w:w="3216"/>
        <w:gridCol w:w="3216"/>
      </w:tblGrid>
      <w:tr>
        <w:tc>
          <w:tcPr>
            <w:tcW w:type="dxa" w:w="2232"/>
            <w:shd w:fill="D9E7F5"/>
            <w:tcMar>
              <w:top w:w="80" w:type="dxa"/>
              <w:start w:w="100" w:type="dxa"/>
              <w:bottom w:w="80" w:type="dxa"/>
              <w:end w:w="100" w:type="dxa"/>
            </w:tcMar>
            <w:vAlign w:val="center"/>
          </w:tcPr>
          <w:p>
            <w:pPr>
              <w:jc w:val="center"/>
            </w:pPr>
            <w:r>
              <w:rPr>
                <w:rFonts w:ascii="Aptos" w:hAnsi="Aptos"/>
                <w:b/>
                <w:i w:val="0"/>
                <w:color w:val="282828"/>
                <w:sz w:val="19"/>
              </w:rPr>
              <w:t>Signal Source</w:t>
            </w:r>
          </w:p>
        </w:tc>
        <w:tc>
          <w:tcPr>
            <w:tcW w:type="dxa" w:w="3528"/>
            <w:shd w:fill="D9E7F5"/>
            <w:tcMar>
              <w:top w:w="80" w:type="dxa"/>
              <w:start w:w="100" w:type="dxa"/>
              <w:bottom w:w="80" w:type="dxa"/>
              <w:end w:w="100" w:type="dxa"/>
            </w:tcMar>
            <w:vAlign w:val="center"/>
          </w:tcPr>
          <w:p>
            <w:pPr>
              <w:jc w:val="center"/>
            </w:pPr>
            <w:r>
              <w:rPr>
                <w:rFonts w:ascii="Aptos" w:hAnsi="Aptos"/>
                <w:b/>
                <w:i w:val="0"/>
                <w:color w:val="282828"/>
                <w:sz w:val="19"/>
              </w:rPr>
              <w:t>What It Contributes</w:t>
            </w:r>
          </w:p>
        </w:tc>
        <w:tc>
          <w:tcPr>
            <w:tcW w:type="dxa" w:w="3456"/>
            <w:shd w:fill="D9E7F5"/>
            <w:tcMar>
              <w:top w:w="80" w:type="dxa"/>
              <w:start w:w="100" w:type="dxa"/>
              <w:bottom w:w="80" w:type="dxa"/>
              <w:end w:w="100" w:type="dxa"/>
            </w:tcMar>
            <w:vAlign w:val="center"/>
          </w:tcPr>
          <w:p>
            <w:pPr>
              <w:jc w:val="center"/>
            </w:pPr>
            <w:r>
              <w:rPr>
                <w:rFonts w:ascii="Aptos" w:hAnsi="Aptos"/>
                <w:b/>
                <w:i w:val="0"/>
                <w:color w:val="282828"/>
                <w:sz w:val="19"/>
              </w:rPr>
              <w:t>Primary Governance Value</w:t>
            </w:r>
          </w:p>
        </w:tc>
      </w:tr>
      <w:tr>
        <w:tc>
          <w:tcPr>
            <w:tcW w:type="dxa" w:w="2232"/>
            <w:tcMar>
              <w:top w:w="80" w:type="dxa"/>
              <w:start w:w="100" w:type="dxa"/>
              <w:bottom w:w="80" w:type="dxa"/>
              <w:end w:w="100" w:type="dxa"/>
            </w:tcMar>
            <w:vAlign w:val="center"/>
          </w:tcPr>
          <w:p>
            <w:pPr>
              <w:jc w:val="left"/>
            </w:pPr>
            <w:r>
              <w:rPr>
                <w:rFonts w:ascii="Aptos" w:hAnsi="Aptos"/>
                <w:b w:val="0"/>
                <w:i w:val="0"/>
                <w:color w:val="282828"/>
                <w:sz w:val="18"/>
              </w:rPr>
              <w:t>Network / proxy telemetry</w:t>
            </w:r>
          </w:p>
        </w:tc>
        <w:tc>
          <w:tcPr>
            <w:tcW w:type="dxa" w:w="3528"/>
            <w:tcMar>
              <w:top w:w="80" w:type="dxa"/>
              <w:start w:w="100" w:type="dxa"/>
              <w:bottom w:w="80" w:type="dxa"/>
              <w:end w:w="100" w:type="dxa"/>
            </w:tcMar>
            <w:vAlign w:val="center"/>
          </w:tcPr>
          <w:p>
            <w:pPr>
              <w:jc w:val="left"/>
            </w:pPr>
            <w:r>
              <w:rPr>
                <w:rFonts w:ascii="Aptos" w:hAnsi="Aptos"/>
                <w:b w:val="0"/>
                <w:i w:val="0"/>
                <w:color w:val="282828"/>
                <w:sz w:val="18"/>
              </w:rPr>
              <w:t>Destination, timing, frequency, session context</w:t>
            </w:r>
          </w:p>
        </w:tc>
        <w:tc>
          <w:tcPr>
            <w:tcW w:type="dxa" w:w="3456"/>
            <w:tcMar>
              <w:top w:w="80" w:type="dxa"/>
              <w:start w:w="100" w:type="dxa"/>
              <w:bottom w:w="80" w:type="dxa"/>
              <w:end w:w="100" w:type="dxa"/>
            </w:tcMar>
            <w:vAlign w:val="center"/>
          </w:tcPr>
          <w:p>
            <w:pPr>
              <w:jc w:val="left"/>
            </w:pPr>
            <w:r>
              <w:rPr>
                <w:rFonts w:ascii="Aptos" w:hAnsi="Aptos"/>
                <w:b w:val="0"/>
                <w:i w:val="0"/>
                <w:color w:val="282828"/>
                <w:sz w:val="18"/>
              </w:rPr>
              <w:t>Tool discovery and trend visibility</w:t>
            </w:r>
          </w:p>
        </w:tc>
      </w:tr>
      <w:tr>
        <w:tc>
          <w:tcPr>
            <w:tcW w:type="dxa" w:w="2232"/>
            <w:tcMar>
              <w:top w:w="80" w:type="dxa"/>
              <w:start w:w="100" w:type="dxa"/>
              <w:bottom w:w="80" w:type="dxa"/>
              <w:end w:w="100" w:type="dxa"/>
            </w:tcMar>
            <w:vAlign w:val="center"/>
          </w:tcPr>
          <w:p>
            <w:pPr>
              <w:jc w:val="left"/>
            </w:pPr>
            <w:r>
              <w:rPr>
                <w:rFonts w:ascii="Aptos" w:hAnsi="Aptos"/>
                <w:b w:val="0"/>
                <w:i w:val="0"/>
                <w:color w:val="282828"/>
                <w:sz w:val="18"/>
              </w:rPr>
              <w:t>Browser or endpoint telemetry</w:t>
            </w:r>
          </w:p>
        </w:tc>
        <w:tc>
          <w:tcPr>
            <w:tcW w:type="dxa" w:w="3528"/>
            <w:tcMar>
              <w:top w:w="80" w:type="dxa"/>
              <w:start w:w="100" w:type="dxa"/>
              <w:bottom w:w="80" w:type="dxa"/>
              <w:end w:w="100" w:type="dxa"/>
            </w:tcMar>
            <w:vAlign w:val="center"/>
          </w:tcPr>
          <w:p>
            <w:pPr>
              <w:jc w:val="left"/>
            </w:pPr>
            <w:r>
              <w:rPr>
                <w:rFonts w:ascii="Aptos" w:hAnsi="Aptos"/>
                <w:b w:val="0"/>
                <w:i w:val="0"/>
                <w:color w:val="282828"/>
                <w:sz w:val="18"/>
              </w:rPr>
              <w:t>Extension use, local assistants, upload activity</w:t>
            </w:r>
          </w:p>
        </w:tc>
        <w:tc>
          <w:tcPr>
            <w:tcW w:type="dxa" w:w="3456"/>
            <w:tcMar>
              <w:top w:w="80" w:type="dxa"/>
              <w:start w:w="100" w:type="dxa"/>
              <w:bottom w:w="80" w:type="dxa"/>
              <w:end w:w="100" w:type="dxa"/>
            </w:tcMar>
            <w:vAlign w:val="center"/>
          </w:tcPr>
          <w:p>
            <w:pPr>
              <w:jc w:val="left"/>
            </w:pPr>
            <w:r>
              <w:rPr>
                <w:rFonts w:ascii="Aptos" w:hAnsi="Aptos"/>
                <w:b w:val="0"/>
                <w:i w:val="0"/>
                <w:color w:val="282828"/>
                <w:sz w:val="18"/>
              </w:rPr>
              <w:t>Confirmation of unmanaged usage path</w:t>
            </w:r>
          </w:p>
        </w:tc>
      </w:tr>
      <w:tr>
        <w:tc>
          <w:tcPr>
            <w:tcW w:type="dxa" w:w="2232"/>
            <w:tcMar>
              <w:top w:w="80" w:type="dxa"/>
              <w:start w:w="100" w:type="dxa"/>
              <w:bottom w:w="80" w:type="dxa"/>
              <w:end w:w="100" w:type="dxa"/>
            </w:tcMar>
            <w:vAlign w:val="center"/>
          </w:tcPr>
          <w:p>
            <w:pPr>
              <w:jc w:val="left"/>
            </w:pPr>
            <w:r>
              <w:rPr>
                <w:rFonts w:ascii="Aptos" w:hAnsi="Aptos"/>
                <w:b w:val="0"/>
                <w:i w:val="0"/>
                <w:color w:val="282828"/>
                <w:sz w:val="18"/>
              </w:rPr>
              <w:t>DLP / content inspection</w:t>
            </w:r>
          </w:p>
        </w:tc>
        <w:tc>
          <w:tcPr>
            <w:tcW w:type="dxa" w:w="3528"/>
            <w:tcMar>
              <w:top w:w="80" w:type="dxa"/>
              <w:start w:w="100" w:type="dxa"/>
              <w:bottom w:w="80" w:type="dxa"/>
              <w:end w:w="100" w:type="dxa"/>
            </w:tcMar>
            <w:vAlign w:val="center"/>
          </w:tcPr>
          <w:p>
            <w:pPr>
              <w:jc w:val="left"/>
            </w:pPr>
            <w:r>
              <w:rPr>
                <w:rFonts w:ascii="Aptos" w:hAnsi="Aptos"/>
                <w:b w:val="0"/>
                <w:i w:val="0"/>
                <w:color w:val="282828"/>
                <w:sz w:val="18"/>
              </w:rPr>
              <w:t>Sensitivity indicators, file movement, policy matches</w:t>
            </w:r>
          </w:p>
        </w:tc>
        <w:tc>
          <w:tcPr>
            <w:tcW w:type="dxa" w:w="3456"/>
            <w:tcMar>
              <w:top w:w="80" w:type="dxa"/>
              <w:start w:w="100" w:type="dxa"/>
              <w:bottom w:w="80" w:type="dxa"/>
              <w:end w:w="100" w:type="dxa"/>
            </w:tcMar>
            <w:vAlign w:val="center"/>
          </w:tcPr>
          <w:p>
            <w:pPr>
              <w:jc w:val="left"/>
            </w:pPr>
            <w:r>
              <w:rPr>
                <w:rFonts w:ascii="Aptos" w:hAnsi="Aptos"/>
                <w:b w:val="0"/>
                <w:i w:val="0"/>
                <w:color w:val="282828"/>
                <w:sz w:val="18"/>
              </w:rPr>
              <w:t>Data-risk classification</w:t>
            </w:r>
          </w:p>
        </w:tc>
      </w:tr>
      <w:tr>
        <w:tc>
          <w:tcPr>
            <w:tcW w:type="dxa" w:w="2232"/>
            <w:tcMar>
              <w:top w:w="80" w:type="dxa"/>
              <w:start w:w="100" w:type="dxa"/>
              <w:bottom w:w="80" w:type="dxa"/>
              <w:end w:w="100" w:type="dxa"/>
            </w:tcMar>
            <w:vAlign w:val="center"/>
          </w:tcPr>
          <w:p>
            <w:pPr>
              <w:jc w:val="left"/>
            </w:pPr>
            <w:r>
              <w:rPr>
                <w:rFonts w:ascii="Aptos" w:hAnsi="Aptos"/>
                <w:b w:val="0"/>
                <w:i w:val="0"/>
                <w:color w:val="282828"/>
                <w:sz w:val="18"/>
              </w:rPr>
              <w:t>SaaS / CASB metadata</w:t>
            </w:r>
          </w:p>
        </w:tc>
        <w:tc>
          <w:tcPr>
            <w:tcW w:type="dxa" w:w="3528"/>
            <w:tcMar>
              <w:top w:w="80" w:type="dxa"/>
              <w:start w:w="100" w:type="dxa"/>
              <w:bottom w:w="80" w:type="dxa"/>
              <w:end w:w="100" w:type="dxa"/>
            </w:tcMar>
            <w:vAlign w:val="center"/>
          </w:tcPr>
          <w:p>
            <w:pPr>
              <w:jc w:val="left"/>
            </w:pPr>
            <w:r>
              <w:rPr>
                <w:rFonts w:ascii="Aptos" w:hAnsi="Aptos"/>
                <w:b w:val="0"/>
                <w:i w:val="0"/>
                <w:color w:val="282828"/>
                <w:sz w:val="18"/>
              </w:rPr>
              <w:t>Application identity, tenant posture, access details</w:t>
            </w:r>
          </w:p>
        </w:tc>
        <w:tc>
          <w:tcPr>
            <w:tcW w:type="dxa" w:w="3456"/>
            <w:tcMar>
              <w:top w:w="80" w:type="dxa"/>
              <w:start w:w="100" w:type="dxa"/>
              <w:bottom w:w="80" w:type="dxa"/>
              <w:end w:w="100" w:type="dxa"/>
            </w:tcMar>
            <w:vAlign w:val="center"/>
          </w:tcPr>
          <w:p>
            <w:pPr>
              <w:jc w:val="left"/>
            </w:pPr>
            <w:r>
              <w:rPr>
                <w:rFonts w:ascii="Aptos" w:hAnsi="Aptos"/>
                <w:b w:val="0"/>
                <w:i w:val="0"/>
                <w:color w:val="282828"/>
                <w:sz w:val="18"/>
              </w:rPr>
              <w:t>Approval posture and app-risk context</w:t>
            </w:r>
          </w:p>
        </w:tc>
      </w:tr>
      <w:tr>
        <w:tc>
          <w:tcPr>
            <w:tcW w:type="dxa" w:w="2232"/>
            <w:tcMar>
              <w:top w:w="80" w:type="dxa"/>
              <w:start w:w="100" w:type="dxa"/>
              <w:bottom w:w="80" w:type="dxa"/>
              <w:end w:w="100" w:type="dxa"/>
            </w:tcMar>
            <w:vAlign w:val="center"/>
          </w:tcPr>
          <w:p>
            <w:pPr>
              <w:jc w:val="left"/>
            </w:pPr>
            <w:r>
              <w:rPr>
                <w:rFonts w:ascii="Aptos" w:hAnsi="Aptos"/>
                <w:b w:val="0"/>
                <w:i w:val="0"/>
                <w:color w:val="282828"/>
                <w:sz w:val="18"/>
              </w:rPr>
              <w:t>User reporting / manager escalation</w:t>
            </w:r>
          </w:p>
        </w:tc>
        <w:tc>
          <w:tcPr>
            <w:tcW w:type="dxa" w:w="3528"/>
            <w:tcMar>
              <w:top w:w="80" w:type="dxa"/>
              <w:start w:w="100" w:type="dxa"/>
              <w:bottom w:w="80" w:type="dxa"/>
              <w:end w:w="100" w:type="dxa"/>
            </w:tcMar>
            <w:vAlign w:val="center"/>
          </w:tcPr>
          <w:p>
            <w:pPr>
              <w:jc w:val="left"/>
            </w:pPr>
            <w:r>
              <w:rPr>
                <w:rFonts w:ascii="Aptos" w:hAnsi="Aptos"/>
                <w:b w:val="0"/>
                <w:i w:val="0"/>
                <w:color w:val="282828"/>
                <w:sz w:val="18"/>
              </w:rPr>
              <w:t>Intent, business context, remediation readiness</w:t>
            </w:r>
          </w:p>
        </w:tc>
        <w:tc>
          <w:tcPr>
            <w:tcW w:type="dxa" w:w="3456"/>
            <w:tcMar>
              <w:top w:w="80" w:type="dxa"/>
              <w:start w:w="100" w:type="dxa"/>
              <w:bottom w:w="80" w:type="dxa"/>
              <w:end w:w="100" w:type="dxa"/>
            </w:tcMar>
            <w:vAlign w:val="center"/>
          </w:tcPr>
          <w:p>
            <w:pPr>
              <w:jc w:val="left"/>
            </w:pPr>
            <w:r>
              <w:rPr>
                <w:rFonts w:ascii="Aptos" w:hAnsi="Aptos"/>
                <w:b w:val="0"/>
                <w:i w:val="0"/>
                <w:color w:val="282828"/>
                <w:sz w:val="18"/>
              </w:rPr>
              <w:t>Fairness and explainability in response</w:t>
            </w:r>
          </w:p>
        </w:tc>
      </w:tr>
      <w:tr>
        <w:tc>
          <w:tcPr>
            <w:tcW w:type="dxa" w:w="2232"/>
            <w:tcMar>
              <w:top w:w="80" w:type="dxa"/>
              <w:start w:w="100" w:type="dxa"/>
              <w:bottom w:w="80" w:type="dxa"/>
              <w:end w:w="100" w:type="dxa"/>
            </w:tcMar>
            <w:vAlign w:val="center"/>
          </w:tcPr>
          <w:p>
            <w:pPr>
              <w:jc w:val="left"/>
            </w:pPr>
            <w:r>
              <w:rPr>
                <w:rFonts w:ascii="Aptos" w:hAnsi="Aptos"/>
                <w:b w:val="0"/>
                <w:i w:val="0"/>
                <w:color w:val="282828"/>
                <w:sz w:val="18"/>
              </w:rPr>
              <w:t>Downstream artifact review</w:t>
            </w:r>
          </w:p>
        </w:tc>
        <w:tc>
          <w:tcPr>
            <w:tcW w:type="dxa" w:w="3528"/>
            <w:tcMar>
              <w:top w:w="80" w:type="dxa"/>
              <w:start w:w="100" w:type="dxa"/>
              <w:bottom w:w="80" w:type="dxa"/>
              <w:end w:w="100" w:type="dxa"/>
            </w:tcMar>
            <w:vAlign w:val="center"/>
          </w:tcPr>
          <w:p>
            <w:pPr>
              <w:jc w:val="left"/>
            </w:pPr>
            <w:r>
              <w:rPr>
                <w:rFonts w:ascii="Aptos" w:hAnsi="Aptos"/>
                <w:b w:val="0"/>
                <w:i w:val="0"/>
                <w:color w:val="282828"/>
                <w:sz w:val="18"/>
              </w:rPr>
              <w:t>Evidence that unmanaged output entered work product</w:t>
            </w:r>
          </w:p>
        </w:tc>
        <w:tc>
          <w:tcPr>
            <w:tcW w:type="dxa" w:w="3456"/>
            <w:tcMar>
              <w:top w:w="80" w:type="dxa"/>
              <w:start w:w="100" w:type="dxa"/>
              <w:bottom w:w="80" w:type="dxa"/>
              <w:end w:w="100" w:type="dxa"/>
            </w:tcMar>
            <w:vAlign w:val="center"/>
          </w:tcPr>
          <w:p>
            <w:pPr>
              <w:jc w:val="left"/>
            </w:pPr>
            <w:r>
              <w:rPr>
                <w:rFonts w:ascii="Aptos" w:hAnsi="Aptos"/>
                <w:b w:val="0"/>
                <w:i w:val="0"/>
                <w:color w:val="282828"/>
                <w:sz w:val="18"/>
              </w:rPr>
              <w:t>Impact assessment and containment</w:t>
            </w:r>
          </w:p>
        </w:tc>
      </w:tr>
    </w:tbl>
    <w:p/>
    <w:p>
      <w:pPr>
        <w:pStyle w:val="Heading1"/>
        <w:keepNext/>
        <w:spacing w:before="240" w:after="120"/>
      </w:pPr>
      <w:r>
        <w:rPr>
          <w:rFonts w:ascii="Aptos" w:hAnsi="Aptos"/>
          <w:b/>
          <w:i w:val="0"/>
          <w:color w:val="1F4E79"/>
          <w:sz w:val="32"/>
        </w:rPr>
        <w:t>4. Classification and Risk Routing</w:t>
      </w:r>
    </w:p>
    <w:p>
      <w:pPr>
        <w:spacing w:after="120" w:line="276" w:lineRule="auto"/>
        <w:ind w:firstLine="259"/>
      </w:pPr>
      <w:r>
        <w:rPr>
          <w:rFonts w:ascii="Aptos" w:hAnsi="Aptos"/>
          <w:b w:val="0"/>
          <w:i w:val="0"/>
          <w:color w:val="282828"/>
          <w:sz w:val="22"/>
        </w:rPr>
        <w:t>Discovery by itself does not determine governance action. The discovered usage must be classified. A useful classification model should consider at least four factors: sensitivity of data involved, operational criticality of the task, trust posture of the tool or provider, and whether the use occurred inside or outside an approved channel. These dimensions allow the organization to distinguish between experimentation with public marketing text and the externalization of regulated or proprietary material.</w:t>
      </w:r>
    </w:p>
    <w:p>
      <w:pPr>
        <w:spacing w:after="120" w:line="276" w:lineRule="auto"/>
        <w:ind w:firstLine="259"/>
      </w:pPr>
      <w:r>
        <w:rPr>
          <w:rFonts w:ascii="Aptos" w:hAnsi="Aptos"/>
          <w:b w:val="0"/>
          <w:i w:val="0"/>
          <w:color w:val="282828"/>
          <w:sz w:val="22"/>
        </w:rPr>
        <w:t>A practical classification workflow may begin with coarse categories such as public, internal, confidential, regulated, and restricted data; combine that with task categories such as brainstorming, drafting, coding, analysis, decision support, or autonomous action; and then layer on tool posture, including sanctioned, conditionally sanctioned, unsanctioned, prohibited, or unknown. The purpose is not to overcomplicate the taxonomy but to ensure that governance responses are proportionate and repeatable.</w:t>
      </w:r>
    </w:p>
    <w:p>
      <w:pPr>
        <w:spacing w:after="120" w:line="276" w:lineRule="auto"/>
        <w:ind w:firstLine="259"/>
      </w:pPr>
      <w:r>
        <w:rPr>
          <w:rFonts w:ascii="Aptos" w:hAnsi="Aptos"/>
          <w:b w:val="0"/>
          <w:i w:val="0"/>
          <w:color w:val="282828"/>
          <w:sz w:val="22"/>
        </w:rPr>
        <w:t>Risk routing should therefore behave like a policy state machine. Some events should route to low-friction education or notification. Others should trigger manager review, migration to an approved environment, temporary restriction, or formal incident handling. High-risk cases—especially those involving sensitive data, autonomous actions, or repeated circumvention—should materialize fuller evidence bundles for investigation and legal or compliance review.</w:t>
      </w:r>
    </w:p>
    <w:p>
      <w:pPr>
        <w:spacing w:after="120" w:line="276" w:lineRule="auto"/>
        <w:ind w:firstLine="259"/>
      </w:pPr>
      <w:r>
        <w:rPr>
          <w:rFonts w:ascii="Aptos" w:hAnsi="Aptos"/>
          <w:b w:val="0"/>
          <w:i w:val="0"/>
          <w:color w:val="282828"/>
          <w:sz w:val="22"/>
        </w:rPr>
        <w:t>In this model, shadow AI governance becomes operational. Discovery events move through structured classification into actions that can themselves emit receipts and become part of the evidence history.</w:t>
      </w:r>
    </w:p>
    <w:p>
      <w:pPr>
        <w:spacing w:before="160" w:after="60"/>
      </w:pPr>
      <w:r>
        <w:rPr>
          <w:rFonts w:ascii="Aptos" w:hAnsi="Aptos"/>
          <w:b/>
          <w:i w:val="0"/>
          <w:color w:val="1F4E79"/>
          <w:sz w:val="21"/>
        </w:rPr>
        <w:t>Figure Placeholder 2. Risk-routing diagram</w:t>
      </w:r>
    </w:p>
    <w:p>
      <w:pPr>
        <w:spacing w:after="160"/>
        <w:ind w:left="360" w:right="360"/>
        <w:pBdr>
          <w:top w:val="single" w:sz="8" w:space="6" w:color="B7C9E2"/>
          <w:left w:val="single" w:sz="8" w:space="6" w:color="B7C9E2"/>
          <w:bottom w:val="single" w:sz="8" w:space="6" w:color="B7C9E2"/>
          <w:right w:val="single" w:sz="8" w:space="6" w:color="B7C9E2"/>
        </w:pBdr>
      </w:pPr>
      <w:r>
        <w:rPr>
          <w:rFonts w:ascii="Aptos" w:hAnsi="Aptos"/>
          <w:b w:val="0"/>
          <w:i w:val="0"/>
          <w:color w:val="5F5F5F"/>
          <w:sz w:val="20"/>
        </w:rPr>
        <w:t>Insert a state/routing diagram from discovery -&gt; classify by data sensitivity / task criticality / tool posture -&gt; response paths: notify, educate, approve, migrate, block, investigate.</w:t>
      </w:r>
    </w:p>
    <w:tbl>
      <w:tblPr>
        <w:tblStyle w:val="TableGrid"/>
        <w:tblW w:type="auto" w:w="0"/>
        <w:jc w:val="center"/>
        <w:tblLook w:firstColumn="1" w:firstRow="1" w:lastColumn="0" w:lastRow="0" w:noHBand="0" w:noVBand="1" w:val="04A0"/>
      </w:tblPr>
      <w:tblGrid>
        <w:gridCol w:w="3216"/>
        <w:gridCol w:w="3216"/>
        <w:gridCol w:w="3216"/>
      </w:tblGrid>
      <w:tr>
        <w:tc>
          <w:tcPr>
            <w:tcW w:type="dxa" w:w="2376"/>
            <w:shd w:fill="D9E7F5"/>
            <w:tcMar>
              <w:top w:w="80" w:type="dxa"/>
              <w:start w:w="100" w:type="dxa"/>
              <w:bottom w:w="80" w:type="dxa"/>
              <w:end w:w="100" w:type="dxa"/>
            </w:tcMar>
            <w:vAlign w:val="center"/>
          </w:tcPr>
          <w:p>
            <w:pPr>
              <w:jc w:val="center"/>
            </w:pPr>
            <w:r>
              <w:rPr>
                <w:rFonts w:ascii="Aptos" w:hAnsi="Aptos"/>
                <w:b/>
                <w:i w:val="0"/>
                <w:color w:val="282828"/>
                <w:sz w:val="19"/>
              </w:rPr>
              <w:t>Risk Pattern</w:t>
            </w:r>
          </w:p>
        </w:tc>
        <w:tc>
          <w:tcPr>
            <w:tcW w:type="dxa" w:w="4320"/>
            <w:shd w:fill="D9E7F5"/>
            <w:tcMar>
              <w:top w:w="80" w:type="dxa"/>
              <w:start w:w="100" w:type="dxa"/>
              <w:bottom w:w="80" w:type="dxa"/>
              <w:end w:w="100" w:type="dxa"/>
            </w:tcMar>
            <w:vAlign w:val="center"/>
          </w:tcPr>
          <w:p>
            <w:pPr>
              <w:jc w:val="center"/>
            </w:pPr>
            <w:r>
              <w:rPr>
                <w:rFonts w:ascii="Aptos" w:hAnsi="Aptos"/>
                <w:b/>
                <w:i w:val="0"/>
                <w:color w:val="282828"/>
                <w:sz w:val="19"/>
              </w:rPr>
              <w:t>Illustrative Example</w:t>
            </w:r>
          </w:p>
        </w:tc>
        <w:tc>
          <w:tcPr>
            <w:tcW w:type="dxa" w:w="2592"/>
            <w:shd w:fill="D9E7F5"/>
            <w:tcMar>
              <w:top w:w="80" w:type="dxa"/>
              <w:start w:w="100" w:type="dxa"/>
              <w:bottom w:w="80" w:type="dxa"/>
              <w:end w:w="100" w:type="dxa"/>
            </w:tcMar>
            <w:vAlign w:val="center"/>
          </w:tcPr>
          <w:p>
            <w:pPr>
              <w:jc w:val="center"/>
            </w:pPr>
            <w:r>
              <w:rPr>
                <w:rFonts w:ascii="Aptos" w:hAnsi="Aptos"/>
                <w:b/>
                <w:i w:val="0"/>
                <w:color w:val="282828"/>
                <w:sz w:val="19"/>
              </w:rPr>
              <w:t>Default Response</w:t>
            </w:r>
          </w:p>
        </w:tc>
      </w:tr>
      <w:tr>
        <w:tc>
          <w:tcPr>
            <w:tcW w:type="dxa" w:w="2376"/>
            <w:tcMar>
              <w:top w:w="80" w:type="dxa"/>
              <w:start w:w="100" w:type="dxa"/>
              <w:bottom w:w="80" w:type="dxa"/>
              <w:end w:w="100" w:type="dxa"/>
            </w:tcMar>
            <w:vAlign w:val="center"/>
          </w:tcPr>
          <w:p>
            <w:pPr>
              <w:jc w:val="left"/>
            </w:pPr>
            <w:r>
              <w:rPr>
                <w:rFonts w:ascii="Aptos" w:hAnsi="Aptos"/>
                <w:b w:val="0"/>
                <w:i w:val="0"/>
                <w:color w:val="282828"/>
                <w:sz w:val="18"/>
              </w:rPr>
              <w:t>Low sensitivity / unsanctioned but benign</w:t>
            </w:r>
          </w:p>
        </w:tc>
        <w:tc>
          <w:tcPr>
            <w:tcW w:type="dxa" w:w="4320"/>
            <w:tcMar>
              <w:top w:w="80" w:type="dxa"/>
              <w:start w:w="100" w:type="dxa"/>
              <w:bottom w:w="80" w:type="dxa"/>
              <w:end w:w="100" w:type="dxa"/>
            </w:tcMar>
            <w:vAlign w:val="center"/>
          </w:tcPr>
          <w:p>
            <w:pPr>
              <w:jc w:val="left"/>
            </w:pPr>
            <w:r>
              <w:rPr>
                <w:rFonts w:ascii="Aptos" w:hAnsi="Aptos"/>
                <w:b w:val="0"/>
                <w:i w:val="0"/>
                <w:color w:val="282828"/>
                <w:sz w:val="18"/>
              </w:rPr>
              <w:t>Drafting generic public-facing copy in a public chatbot</w:t>
            </w:r>
          </w:p>
        </w:tc>
        <w:tc>
          <w:tcPr>
            <w:tcW w:type="dxa" w:w="2592"/>
            <w:tcMar>
              <w:top w:w="80" w:type="dxa"/>
              <w:start w:w="100" w:type="dxa"/>
              <w:bottom w:w="80" w:type="dxa"/>
              <w:end w:w="100" w:type="dxa"/>
            </w:tcMar>
            <w:vAlign w:val="center"/>
          </w:tcPr>
          <w:p>
            <w:pPr>
              <w:jc w:val="left"/>
            </w:pPr>
            <w:r>
              <w:rPr>
                <w:rFonts w:ascii="Aptos" w:hAnsi="Aptos"/>
                <w:b w:val="0"/>
                <w:i w:val="0"/>
                <w:color w:val="282828"/>
                <w:sz w:val="18"/>
              </w:rPr>
              <w:t>Notify and migrate to governed channel</w:t>
            </w:r>
          </w:p>
        </w:tc>
      </w:tr>
      <w:tr>
        <w:tc>
          <w:tcPr>
            <w:tcW w:type="dxa" w:w="2376"/>
            <w:tcMar>
              <w:top w:w="80" w:type="dxa"/>
              <w:start w:w="100" w:type="dxa"/>
              <w:bottom w:w="80" w:type="dxa"/>
              <w:end w:w="100" w:type="dxa"/>
            </w:tcMar>
            <w:vAlign w:val="center"/>
          </w:tcPr>
          <w:p>
            <w:pPr>
              <w:jc w:val="left"/>
            </w:pPr>
            <w:r>
              <w:rPr>
                <w:rFonts w:ascii="Aptos" w:hAnsi="Aptos"/>
                <w:b w:val="0"/>
                <w:i w:val="0"/>
                <w:color w:val="282828"/>
                <w:sz w:val="18"/>
              </w:rPr>
              <w:t>Internal data / unknown tool</w:t>
            </w:r>
          </w:p>
        </w:tc>
        <w:tc>
          <w:tcPr>
            <w:tcW w:type="dxa" w:w="4320"/>
            <w:tcMar>
              <w:top w:w="80" w:type="dxa"/>
              <w:start w:w="100" w:type="dxa"/>
              <w:bottom w:w="80" w:type="dxa"/>
              <w:end w:w="100" w:type="dxa"/>
            </w:tcMar>
            <w:vAlign w:val="center"/>
          </w:tcPr>
          <w:p>
            <w:pPr>
              <w:jc w:val="left"/>
            </w:pPr>
            <w:r>
              <w:rPr>
                <w:rFonts w:ascii="Aptos" w:hAnsi="Aptos"/>
                <w:b w:val="0"/>
                <w:i w:val="0"/>
                <w:color w:val="282828"/>
                <w:sz w:val="18"/>
              </w:rPr>
              <w:t>Internal meeting notes pasted into a consumer AI app</w:t>
            </w:r>
          </w:p>
        </w:tc>
        <w:tc>
          <w:tcPr>
            <w:tcW w:type="dxa" w:w="2592"/>
            <w:tcMar>
              <w:top w:w="80" w:type="dxa"/>
              <w:start w:w="100" w:type="dxa"/>
              <w:bottom w:w="80" w:type="dxa"/>
              <w:end w:w="100" w:type="dxa"/>
            </w:tcMar>
            <w:vAlign w:val="center"/>
          </w:tcPr>
          <w:p>
            <w:pPr>
              <w:jc w:val="left"/>
            </w:pPr>
            <w:r>
              <w:rPr>
                <w:rFonts w:ascii="Aptos" w:hAnsi="Aptos"/>
                <w:b w:val="0"/>
                <w:i w:val="0"/>
                <w:color w:val="282828"/>
                <w:sz w:val="18"/>
              </w:rPr>
              <w:t>Educate, record, and review approved alternatives</w:t>
            </w:r>
          </w:p>
        </w:tc>
      </w:tr>
      <w:tr>
        <w:tc>
          <w:tcPr>
            <w:tcW w:type="dxa" w:w="2376"/>
            <w:tcMar>
              <w:top w:w="80" w:type="dxa"/>
              <w:start w:w="100" w:type="dxa"/>
              <w:bottom w:w="80" w:type="dxa"/>
              <w:end w:w="100" w:type="dxa"/>
            </w:tcMar>
            <w:vAlign w:val="center"/>
          </w:tcPr>
          <w:p>
            <w:pPr>
              <w:jc w:val="left"/>
            </w:pPr>
            <w:r>
              <w:rPr>
                <w:rFonts w:ascii="Aptos" w:hAnsi="Aptos"/>
                <w:b w:val="0"/>
                <w:i w:val="0"/>
                <w:color w:val="282828"/>
                <w:sz w:val="18"/>
              </w:rPr>
              <w:t>Confidential or regulated data exposure</w:t>
            </w:r>
          </w:p>
        </w:tc>
        <w:tc>
          <w:tcPr>
            <w:tcW w:type="dxa" w:w="4320"/>
            <w:tcMar>
              <w:top w:w="80" w:type="dxa"/>
              <w:start w:w="100" w:type="dxa"/>
              <w:bottom w:w="80" w:type="dxa"/>
              <w:end w:w="100" w:type="dxa"/>
            </w:tcMar>
            <w:vAlign w:val="center"/>
          </w:tcPr>
          <w:p>
            <w:pPr>
              <w:jc w:val="left"/>
            </w:pPr>
            <w:r>
              <w:rPr>
                <w:rFonts w:ascii="Aptos" w:hAnsi="Aptos"/>
                <w:b w:val="0"/>
                <w:i w:val="0"/>
                <w:color w:val="282828"/>
                <w:sz w:val="18"/>
              </w:rPr>
              <w:t>Customer or patient data sent to an unapproved model</w:t>
            </w:r>
          </w:p>
        </w:tc>
        <w:tc>
          <w:tcPr>
            <w:tcW w:type="dxa" w:w="2592"/>
            <w:tcMar>
              <w:top w:w="80" w:type="dxa"/>
              <w:start w:w="100" w:type="dxa"/>
              <w:bottom w:w="80" w:type="dxa"/>
              <w:end w:w="100" w:type="dxa"/>
            </w:tcMar>
            <w:vAlign w:val="center"/>
          </w:tcPr>
          <w:p>
            <w:pPr>
              <w:jc w:val="left"/>
            </w:pPr>
            <w:r>
              <w:rPr>
                <w:rFonts w:ascii="Aptos" w:hAnsi="Aptos"/>
                <w:b w:val="0"/>
                <w:i w:val="0"/>
                <w:color w:val="282828"/>
                <w:sz w:val="18"/>
              </w:rPr>
              <w:t>Escalate to incident handling and preserve evidence</w:t>
            </w:r>
          </w:p>
        </w:tc>
      </w:tr>
      <w:tr>
        <w:tc>
          <w:tcPr>
            <w:tcW w:type="dxa" w:w="2376"/>
            <w:tcMar>
              <w:top w:w="80" w:type="dxa"/>
              <w:start w:w="100" w:type="dxa"/>
              <w:bottom w:w="80" w:type="dxa"/>
              <w:end w:w="100" w:type="dxa"/>
            </w:tcMar>
            <w:vAlign w:val="center"/>
          </w:tcPr>
          <w:p>
            <w:pPr>
              <w:jc w:val="left"/>
            </w:pPr>
            <w:r>
              <w:rPr>
                <w:rFonts w:ascii="Aptos" w:hAnsi="Aptos"/>
                <w:b w:val="0"/>
                <w:i w:val="0"/>
                <w:color w:val="282828"/>
                <w:sz w:val="18"/>
              </w:rPr>
              <w:t>Autonomous or tool-acting agent use</w:t>
            </w:r>
          </w:p>
        </w:tc>
        <w:tc>
          <w:tcPr>
            <w:tcW w:type="dxa" w:w="4320"/>
            <w:tcMar>
              <w:top w:w="80" w:type="dxa"/>
              <w:start w:w="100" w:type="dxa"/>
              <w:bottom w:w="80" w:type="dxa"/>
              <w:end w:w="100" w:type="dxa"/>
            </w:tcMar>
            <w:vAlign w:val="center"/>
          </w:tcPr>
          <w:p>
            <w:pPr>
              <w:jc w:val="left"/>
            </w:pPr>
            <w:r>
              <w:rPr>
                <w:rFonts w:ascii="Aptos" w:hAnsi="Aptos"/>
                <w:b w:val="0"/>
                <w:i w:val="0"/>
                <w:color w:val="282828"/>
                <w:sz w:val="18"/>
              </w:rPr>
              <w:t>Unsanctioned agent automates business actions</w:t>
            </w:r>
          </w:p>
        </w:tc>
        <w:tc>
          <w:tcPr>
            <w:tcW w:type="dxa" w:w="2592"/>
            <w:tcMar>
              <w:top w:w="80" w:type="dxa"/>
              <w:start w:w="100" w:type="dxa"/>
              <w:bottom w:w="80" w:type="dxa"/>
              <w:end w:w="100" w:type="dxa"/>
            </w:tcMar>
            <w:vAlign w:val="center"/>
          </w:tcPr>
          <w:p>
            <w:pPr>
              <w:jc w:val="left"/>
            </w:pPr>
            <w:r>
              <w:rPr>
                <w:rFonts w:ascii="Aptos" w:hAnsi="Aptos"/>
                <w:b w:val="0"/>
                <w:i w:val="0"/>
                <w:color w:val="282828"/>
                <w:sz w:val="18"/>
              </w:rPr>
              <w:t>Block, investigate, and evaluate governed replacement</w:t>
            </w:r>
          </w:p>
        </w:tc>
      </w:tr>
      <w:tr>
        <w:tc>
          <w:tcPr>
            <w:tcW w:type="dxa" w:w="2376"/>
            <w:tcMar>
              <w:top w:w="80" w:type="dxa"/>
              <w:start w:w="100" w:type="dxa"/>
              <w:bottom w:w="80" w:type="dxa"/>
              <w:end w:w="100" w:type="dxa"/>
            </w:tcMar>
            <w:vAlign w:val="center"/>
          </w:tcPr>
          <w:p>
            <w:pPr>
              <w:jc w:val="left"/>
            </w:pPr>
            <w:r>
              <w:rPr>
                <w:rFonts w:ascii="Aptos" w:hAnsi="Aptos"/>
                <w:b w:val="0"/>
                <w:i w:val="0"/>
                <w:color w:val="282828"/>
                <w:sz w:val="18"/>
              </w:rPr>
              <w:t>Repeated circumvention</w:t>
            </w:r>
          </w:p>
        </w:tc>
        <w:tc>
          <w:tcPr>
            <w:tcW w:type="dxa" w:w="4320"/>
            <w:tcMar>
              <w:top w:w="80" w:type="dxa"/>
              <w:start w:w="100" w:type="dxa"/>
              <w:bottom w:w="80" w:type="dxa"/>
              <w:end w:w="100" w:type="dxa"/>
            </w:tcMar>
            <w:vAlign w:val="center"/>
          </w:tcPr>
          <w:p>
            <w:pPr>
              <w:jc w:val="left"/>
            </w:pPr>
            <w:r>
              <w:rPr>
                <w:rFonts w:ascii="Aptos" w:hAnsi="Aptos"/>
                <w:b w:val="0"/>
                <w:i w:val="0"/>
                <w:color w:val="282828"/>
                <w:sz w:val="18"/>
              </w:rPr>
              <w:t>User repeatedly bypasses approved channels</w:t>
            </w:r>
          </w:p>
        </w:tc>
        <w:tc>
          <w:tcPr>
            <w:tcW w:type="dxa" w:w="2592"/>
            <w:tcMar>
              <w:top w:w="80" w:type="dxa"/>
              <w:start w:w="100" w:type="dxa"/>
              <w:bottom w:w="80" w:type="dxa"/>
              <w:end w:w="100" w:type="dxa"/>
            </w:tcMar>
            <w:vAlign w:val="center"/>
          </w:tcPr>
          <w:p>
            <w:pPr>
              <w:jc w:val="left"/>
            </w:pPr>
            <w:r>
              <w:rPr>
                <w:rFonts w:ascii="Aptos" w:hAnsi="Aptos"/>
                <w:b w:val="0"/>
                <w:i w:val="0"/>
                <w:color w:val="282828"/>
                <w:sz w:val="18"/>
              </w:rPr>
              <w:t>Manager review, access control response, and remediation plan</w:t>
            </w:r>
          </w:p>
        </w:tc>
      </w:tr>
    </w:tbl>
    <w:p/>
    <w:p>
      <w:pPr>
        <w:pStyle w:val="Heading1"/>
        <w:keepNext/>
        <w:spacing w:before="240" w:after="120"/>
      </w:pPr>
      <w:r>
        <w:rPr>
          <w:rFonts w:ascii="Aptos" w:hAnsi="Aptos"/>
          <w:b/>
          <w:i w:val="0"/>
          <w:color w:val="1F4E79"/>
          <w:sz w:val="32"/>
        </w:rPr>
        <w:t>5. Governance Responses</w:t>
      </w:r>
    </w:p>
    <w:p>
      <w:pPr>
        <w:spacing w:after="120" w:line="276" w:lineRule="auto"/>
        <w:ind w:firstLine="259"/>
      </w:pPr>
      <w:r>
        <w:rPr>
          <w:rFonts w:ascii="Aptos" w:hAnsi="Aptos"/>
          <w:b w:val="0"/>
          <w:i w:val="0"/>
          <w:color w:val="282828"/>
          <w:sz w:val="22"/>
        </w:rPr>
        <w:t>A mature shadow-AI program should not default to prohibition as its only control response. Many unmanaged uses signal unmet demand rather than malicious intent. If the organization responds only by blocking, it can drive activity further underground and weaken trust in governance. Evidence-led governance supports a wider response palette: notify, educate, remediate, approve, migrate to governed channels, temporarily restrict, or escalate into incident processes.</w:t>
      </w:r>
    </w:p>
    <w:p>
      <w:pPr>
        <w:spacing w:after="120" w:line="276" w:lineRule="auto"/>
        <w:ind w:firstLine="259"/>
      </w:pPr>
      <w:r>
        <w:rPr>
          <w:rFonts w:ascii="Aptos" w:hAnsi="Aptos"/>
          <w:b w:val="0"/>
          <w:i w:val="0"/>
          <w:color w:val="282828"/>
          <w:sz w:val="22"/>
        </w:rPr>
        <w:t>The most important response is often migration. If employees resort to unmanaged AI because sanctioned tools are absent, slow, or poorly aligned with work, the governance objective should be to move demand into approved systems where policy, evidence, and security controls can operate. In this sense, shadow AI governance is not anti-adoption; it is pro-governed adoption.</w:t>
      </w:r>
    </w:p>
    <w:p>
      <w:pPr>
        <w:spacing w:after="120" w:line="276" w:lineRule="auto"/>
        <w:ind w:firstLine="259"/>
      </w:pPr>
      <w:r>
        <w:rPr>
          <w:rFonts w:ascii="Aptos" w:hAnsi="Aptos"/>
          <w:b w:val="0"/>
          <w:i w:val="0"/>
          <w:color w:val="282828"/>
          <w:sz w:val="22"/>
        </w:rPr>
        <w:t>Education is likewise a first-class control. Many shadow-AI events are low in maliciousness but high in policy ambiguity. Clear explanations—what happened, why it matters, what channel should be used instead, and what evidence was recorded—can improve compliance without creating an adversarial climate.</w:t>
      </w:r>
    </w:p>
    <w:p>
      <w:pPr>
        <w:spacing w:after="120" w:line="276" w:lineRule="auto"/>
        <w:ind w:firstLine="259"/>
      </w:pPr>
      <w:r>
        <w:rPr>
          <w:rFonts w:ascii="Aptos" w:hAnsi="Aptos"/>
          <w:b w:val="0"/>
          <w:i w:val="0"/>
          <w:color w:val="282828"/>
          <w:sz w:val="22"/>
        </w:rPr>
        <w:t>Where serious risk is present, stronger responses are warranted. Those cases include sensitive-data exposure, repeated circumvention, use of prohibited providers, or unsanctioned agents taking consequential actions. In such situations, governance responses should preserve chain-of-evidence, support containment, and make the response itself reviewable.</w:t>
      </w:r>
    </w:p>
    <w:p>
      <w:pPr>
        <w:pStyle w:val="Heading1"/>
        <w:keepNext/>
        <w:spacing w:before="240" w:after="120"/>
      </w:pPr>
      <w:r>
        <w:rPr>
          <w:rFonts w:ascii="Aptos" w:hAnsi="Aptos"/>
          <w:b/>
          <w:i w:val="0"/>
          <w:color w:val="1F4E79"/>
          <w:sz w:val="32"/>
        </w:rPr>
        <w:t>6. Organizational Use Cases</w:t>
      </w:r>
    </w:p>
    <w:p>
      <w:pPr>
        <w:spacing w:after="120" w:line="276" w:lineRule="auto"/>
        <w:ind w:firstLine="259"/>
      </w:pPr>
      <w:r>
        <w:rPr>
          <w:rFonts w:ascii="Aptos" w:hAnsi="Aptos"/>
          <w:b w:val="0"/>
          <w:i w:val="0"/>
          <w:color w:val="282828"/>
          <w:sz w:val="22"/>
        </w:rPr>
        <w:t>Enterprise knowledge work provides the most common shadow-AI scenario. Employees under time pressure may use public assistants to summarize internal documents, draft communications, write code, or brainstorm strategy. The governance challenge is not to stop all such behavior indiscriminately. It is to identify which events are low-risk and migratable versus which create unacceptable disclosure or decision risks.</w:t>
      </w:r>
    </w:p>
    <w:p>
      <w:pPr>
        <w:spacing w:after="120" w:line="276" w:lineRule="auto"/>
        <w:ind w:firstLine="259"/>
      </w:pPr>
      <w:r>
        <w:rPr>
          <w:rFonts w:ascii="Aptos" w:hAnsi="Aptos"/>
          <w:b w:val="0"/>
          <w:i w:val="0"/>
          <w:color w:val="282828"/>
          <w:sz w:val="22"/>
        </w:rPr>
        <w:t>Regulated teams face a stricter version of the same problem. In finance, healthcare, legal, and public-sector settings, unmanaged use may create record-keeping gaps, confidentiality breaches, or control failures. A model that merely detects usage without linking it to data class, task type, or workflow impact will be too shallow for these environments.</w:t>
      </w:r>
    </w:p>
    <w:p>
      <w:pPr>
        <w:spacing w:after="120" w:line="276" w:lineRule="auto"/>
        <w:ind w:firstLine="259"/>
      </w:pPr>
      <w:r>
        <w:rPr>
          <w:rFonts w:ascii="Aptos" w:hAnsi="Aptos"/>
          <w:b w:val="0"/>
          <w:i w:val="0"/>
          <w:color w:val="282828"/>
          <w:sz w:val="22"/>
        </w:rPr>
        <w:t>Sensitive-data scenarios are especially important because they illustrate the evidence value of the model. If a regulated file is uploaded to an unmanaged AI service, the organization needs more than a policy reminder. It needs a discovery record, a confidence-supported classification, preserved supporting evidence, a routed response, and a traceable remediation outcome. That chain is what transforms visibility into governance.</w:t>
      </w:r>
    </w:p>
    <w:p>
      <w:pPr>
        <w:pStyle w:val="Heading1"/>
        <w:keepNext/>
        <w:spacing w:before="240" w:after="120"/>
      </w:pPr>
      <w:r>
        <w:rPr>
          <w:rFonts w:ascii="Aptos" w:hAnsi="Aptos"/>
          <w:b/>
          <w:i w:val="0"/>
          <w:color w:val="1F4E79"/>
          <w:sz w:val="32"/>
        </w:rPr>
        <w:t>7. Privacy and Ethics Considerations</w:t>
      </w:r>
    </w:p>
    <w:p>
      <w:pPr>
        <w:spacing w:after="120" w:line="276" w:lineRule="auto"/>
        <w:ind w:firstLine="259"/>
      </w:pPr>
      <w:r>
        <w:rPr>
          <w:rFonts w:ascii="Aptos" w:hAnsi="Aptos"/>
          <w:b w:val="0"/>
          <w:i w:val="0"/>
          <w:color w:val="282828"/>
          <w:sz w:val="22"/>
        </w:rPr>
        <w:t>Any shadow-AI governance model must confront the risk of overreach. A program justified as governance can become surveillance theater if it collects excessively, obscures its purpose, or fails to distinguish legitimate work from high-risk misuse. This paper therefore argues for purpose limitation, minimal sufficient collection, transparent policy language, and clear retention boundaries.</w:t>
      </w:r>
    </w:p>
    <w:p>
      <w:pPr>
        <w:spacing w:after="120" w:line="276" w:lineRule="auto"/>
        <w:ind w:firstLine="259"/>
      </w:pPr>
      <w:r>
        <w:rPr>
          <w:rFonts w:ascii="Aptos" w:hAnsi="Aptos"/>
          <w:b w:val="0"/>
          <w:i w:val="0"/>
          <w:color w:val="282828"/>
          <w:sz w:val="22"/>
        </w:rPr>
        <w:t>First, organizations should define what they are trying to govern: unmanaged AI usage that creates material data, compliance, security, or accountability risks. That objective should constrain what signals are collected and how they are retained. Second, discovery records should prefer metadata, policy labels, hashes, and bounded context over indiscriminate content hoarding. Third, employees should understand the existence of the governance program, the categories of events it captures, and the approved channels available to them.</w:t>
      </w:r>
    </w:p>
    <w:p>
      <w:pPr>
        <w:spacing w:after="120" w:line="276" w:lineRule="auto"/>
        <w:ind w:firstLine="259"/>
      </w:pPr>
      <w:r>
        <w:rPr>
          <w:rFonts w:ascii="Aptos" w:hAnsi="Aptos"/>
          <w:b w:val="0"/>
          <w:i w:val="0"/>
          <w:color w:val="282828"/>
          <w:sz w:val="22"/>
        </w:rPr>
        <w:t>A balanced program also differentiates between experimentation and harm. Low-risk exploratory use may warrant education and migration, not punitive treatment. Conversely, the ethics of the program improve when its strongest controls are tied to clearly articulated high-risk categories, such as regulated data handling or autonomous external action.</w:t>
      </w:r>
    </w:p>
    <w:p>
      <w:pPr>
        <w:spacing w:after="120" w:line="276" w:lineRule="auto"/>
        <w:ind w:firstLine="259"/>
      </w:pPr>
      <w:r>
        <w:rPr>
          <w:rFonts w:ascii="Aptos" w:hAnsi="Aptos"/>
          <w:b w:val="0"/>
          <w:i w:val="0"/>
          <w:color w:val="282828"/>
          <w:sz w:val="22"/>
        </w:rPr>
        <w:t>In other words, privacy and ethics are not peripheral implementation issues. They are part of what makes a shadow-AI governance program legitimate and sustainable.</w:t>
      </w:r>
    </w:p>
    <w:p>
      <w:pPr>
        <w:pStyle w:val="Heading1"/>
        <w:keepNext/>
        <w:spacing w:before="240" w:after="120"/>
      </w:pPr>
      <w:r>
        <w:rPr>
          <w:rFonts w:ascii="Aptos" w:hAnsi="Aptos"/>
          <w:b/>
          <w:i w:val="0"/>
          <w:color w:val="1F4E79"/>
          <w:sz w:val="32"/>
        </w:rPr>
        <w:t>8. Limitations and Future Work</w:t>
      </w:r>
    </w:p>
    <w:p>
      <w:pPr>
        <w:spacing w:after="120" w:line="276" w:lineRule="auto"/>
        <w:ind w:firstLine="259"/>
      </w:pPr>
      <w:r>
        <w:rPr>
          <w:rFonts w:ascii="Aptos" w:hAnsi="Aptos"/>
          <w:b w:val="0"/>
          <w:i w:val="0"/>
          <w:color w:val="282828"/>
          <w:sz w:val="22"/>
        </w:rPr>
        <w:t>The proposed model has practical limits. Visibility will never be complete. Some unmanaged AI use will evade available signals, particularly in bring-your-own-device settings, consumer networks, or tools that are difficult to distinguish from ordinary web traffic. False positives are also likely, especially when AI features are embedded inside general-purpose SaaS applications.</w:t>
      </w:r>
    </w:p>
    <w:p>
      <w:pPr>
        <w:spacing w:after="120" w:line="276" w:lineRule="auto"/>
        <w:ind w:firstLine="259"/>
      </w:pPr>
      <w:r>
        <w:rPr>
          <w:rFonts w:ascii="Aptos" w:hAnsi="Aptos"/>
          <w:b w:val="0"/>
          <w:i w:val="0"/>
          <w:color w:val="282828"/>
          <w:sz w:val="22"/>
        </w:rPr>
        <w:t>Classification quality depends on policy maturity. If an organization lacks a usable data-classification scheme, a sanctioned-tool registry, or a clear governance stance on approved use cases, the routing model will degrade into ad hoc judgment. Similarly, incident thresholds must be calibrated carefully to avoid both under-response and over-escalation.</w:t>
      </w:r>
    </w:p>
    <w:p>
      <w:pPr>
        <w:spacing w:after="120" w:line="276" w:lineRule="auto"/>
        <w:ind w:firstLine="259"/>
      </w:pPr>
      <w:r>
        <w:rPr>
          <w:rFonts w:ascii="Aptos" w:hAnsi="Aptos"/>
          <w:b w:val="0"/>
          <w:i w:val="0"/>
          <w:color w:val="282828"/>
          <w:sz w:val="22"/>
        </w:rPr>
        <w:t>Future work should address shared receipt schemas for discovery events, confidence-scoring approaches for shadow-AI identification, and stronger interoperability between discovery systems, evidence vaults, and approved AI gateways. Another promising direction is the linkage of shadow-AI discovery to downstream artifact provenance, allowing unmanaged outputs later found in work product to be traced more effectively into governance workflows.</w:t>
      </w:r>
    </w:p>
    <w:p>
      <w:pPr>
        <w:pStyle w:val="Heading1"/>
        <w:keepNext/>
        <w:spacing w:before="240" w:after="120"/>
      </w:pPr>
      <w:r>
        <w:rPr>
          <w:rFonts w:ascii="Aptos" w:hAnsi="Aptos"/>
          <w:b/>
          <w:i w:val="0"/>
          <w:color w:val="1F4E79"/>
          <w:sz w:val="32"/>
        </w:rPr>
        <w:t>9. Conclusion</w:t>
      </w:r>
    </w:p>
    <w:p>
      <w:pPr>
        <w:spacing w:after="120" w:line="276" w:lineRule="auto"/>
        <w:ind w:firstLine="259"/>
      </w:pPr>
      <w:r>
        <w:rPr>
          <w:rFonts w:ascii="Aptos" w:hAnsi="Aptos"/>
          <w:b w:val="0"/>
          <w:i w:val="0"/>
          <w:color w:val="282828"/>
          <w:sz w:val="22"/>
        </w:rPr>
        <w:t>Shadow AI governance is best understood as perimeter expansion for AI Governance Evidence Infrastructure. The problem is not solved by policies alone, nor by monitoring alone. It is solved when unmanaged AI use can be discovered, normalized into evidence, classified according to risk and policy, and routed into proportionate governance responses.</w:t>
      </w:r>
    </w:p>
    <w:p>
      <w:pPr>
        <w:spacing w:after="120" w:line="276" w:lineRule="auto"/>
        <w:ind w:firstLine="259"/>
      </w:pPr>
      <w:r>
        <w:rPr>
          <w:rFonts w:ascii="Aptos" w:hAnsi="Aptos"/>
          <w:b w:val="0"/>
          <w:i w:val="0"/>
          <w:color w:val="282828"/>
          <w:sz w:val="22"/>
        </w:rPr>
        <w:t>Under that framing, shadow AI is not a detached side topic. It is the part of the architecture that addresses what happens outside approved systems. It connects directly to the evidence vault, to lifecycle receipts, to policy gates, and to downstream provenance. Organizations cannot govern what they cannot see, but they also cannot govern effectively if what they see never becomes accountable evidence.</w:t>
      </w:r>
    </w:p>
    <w:p>
      <w:pPr>
        <w:spacing w:after="120" w:line="276" w:lineRule="auto"/>
        <w:ind w:firstLine="259"/>
      </w:pPr>
      <w:r>
        <w:rPr>
          <w:rFonts w:ascii="Aptos" w:hAnsi="Aptos"/>
          <w:b w:val="0"/>
          <w:i w:val="0"/>
          <w:color w:val="282828"/>
          <w:sz w:val="22"/>
        </w:rPr>
        <w:t>The practical implication is straightforward: a mature AI governance program should treat visibility, classification, remediation, and evidence preservation as one integrated workflow. That is the path from unknown usage to governed usage.</w:t>
      </w:r>
    </w:p>
    <w:p>
      <w:pPr>
        <w:pStyle w:val="Heading1"/>
        <w:keepNext/>
        <w:spacing w:before="240" w:after="120"/>
      </w:pPr>
      <w:r>
        <w:rPr>
          <w:rFonts w:ascii="Aptos" w:hAnsi="Aptos"/>
          <w:b/>
          <w:i w:val="0"/>
          <w:color w:val="1F4E79"/>
          <w:sz w:val="32"/>
        </w:rPr>
        <w:t>References</w:t>
      </w:r>
    </w:p>
    <w:p>
      <w:pPr>
        <w:pStyle w:val="ListNumber"/>
        <w:spacing w:after="40" w:line="252" w:lineRule="auto"/>
      </w:pPr>
      <w:r>
        <w:rPr>
          <w:rFonts w:ascii="Aptos" w:hAnsi="Aptos"/>
          <w:b w:val="0"/>
          <w:i w:val="0"/>
          <w:color w:val="282828"/>
          <w:sz w:val="20"/>
        </w:rPr>
        <w:t>Microsoft. AI at Work Is Here. Now Comes the Hard Part. Work Trend Index, May 8, 2024.</w:t>
      </w:r>
    </w:p>
    <w:p>
      <w:pPr>
        <w:pStyle w:val="ListNumber"/>
        <w:spacing w:after="40" w:line="252" w:lineRule="auto"/>
      </w:pPr>
      <w:r>
        <w:rPr>
          <w:rFonts w:ascii="Aptos" w:hAnsi="Aptos"/>
          <w:b w:val="0"/>
          <w:i w:val="0"/>
          <w:color w:val="282828"/>
          <w:sz w:val="20"/>
        </w:rPr>
        <w:t>Microsoft. Cyber Pulse: An AI Security Report, Feb. 10, 2026.</w:t>
      </w:r>
    </w:p>
    <w:p>
      <w:pPr>
        <w:pStyle w:val="ListNumber"/>
        <w:spacing w:after="40" w:line="252" w:lineRule="auto"/>
      </w:pPr>
      <w:r>
        <w:rPr>
          <w:rFonts w:ascii="Aptos" w:hAnsi="Aptos"/>
          <w:b w:val="0"/>
          <w:i w:val="0"/>
          <w:color w:val="282828"/>
          <w:sz w:val="20"/>
        </w:rPr>
        <w:t>Microsoft Tech Community. Uncover shadow AI, block threats, and protect data with Microsoft Entra Internet Access, Aug. 7, 2025.</w:t>
      </w:r>
    </w:p>
    <w:p>
      <w:pPr>
        <w:pStyle w:val="ListNumber"/>
        <w:spacing w:after="40" w:line="252" w:lineRule="auto"/>
      </w:pPr>
      <w:r>
        <w:rPr>
          <w:rFonts w:ascii="Aptos" w:hAnsi="Aptos"/>
          <w:b w:val="0"/>
          <w:i w:val="0"/>
          <w:color w:val="282828"/>
          <w:sz w:val="20"/>
        </w:rPr>
        <w:t>Gartner Newsroom. Gartner Identifies Critical GenAI Blind Spots That CIOs Must Urgently Address, Nov. 19, 2025.</w:t>
      </w:r>
    </w:p>
    <w:p>
      <w:pPr>
        <w:pStyle w:val="ListNumber"/>
        <w:spacing w:after="40" w:line="252" w:lineRule="auto"/>
      </w:pPr>
      <w:r>
        <w:rPr>
          <w:rFonts w:ascii="Aptos" w:hAnsi="Aptos"/>
          <w:b w:val="0"/>
          <w:i w:val="0"/>
          <w:color w:val="282828"/>
          <w:sz w:val="20"/>
        </w:rPr>
        <w:t>Gartner Cybersecurity FAQs. Shadow AI discussion in AI governance and cybersecurity strategies page, accessed 2026.</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5F5F"/>
        <w:sz w:val="18"/>
      </w:rPr>
      <w:t>Shadow AI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