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Lingo Stand-Alone Chat UI – Pilot User Training Guide</w:t>
      </w:r>
    </w:p>
    <w:p>
      <w:r>
        <w:t>This training material is intended for internal Operations (Ops) team members who will be participating in the pilot testing of the Lingo stand-alone chat UI. The pilot focuses on handling membership enquiries and customer/group enquiries through a conversational interface. Users must have OHID (Optum Health ID) access to use the chat system.</w:t>
      </w:r>
    </w:p>
    <w:p>
      <w:pPr>
        <w:pStyle w:val="Heading2"/>
      </w:pPr>
      <w:r>
        <w:t>1. Access Requirements</w:t>
      </w:r>
    </w:p>
    <w:p>
      <w:r>
        <w:t>• You must be part of the OHID system to access the Lingo stand-alone chat UI.</w:t>
        <w:br/>
        <w:t>• Ensure your OHID account is active and that you have the appropriate role permissions before logging in.</w:t>
        <w:br/>
        <w:t>• If you encounter access issues, contact the IT Service Desk for assistance.</w:t>
      </w:r>
    </w:p>
    <w:p>
      <w:pPr>
        <w:pStyle w:val="Heading2"/>
      </w:pPr>
      <w:r>
        <w:t>2. Main Features</w:t>
      </w:r>
    </w:p>
    <w:p>
      <w:r>
        <w:t>The Lingo stand-alone chat UI enables the Ops team to:</w:t>
        <w:br/>
        <w:t>1. Handle **Membership Enquiries** – Look up and provide details on member accounts.</w:t>
        <w:br/>
        <w:t>2. Handle **Customer/Group Enquiries** – Retrieve and display group-level information such as group name, group number, platform details, eligibility status, and associated contacts.</w:t>
      </w:r>
    </w:p>
    <w:p>
      <w:pPr>
        <w:pStyle w:val="Heading2"/>
      </w:pPr>
      <w:r>
        <w:t>3. Membership Enquiry</w:t>
      </w:r>
    </w:p>
    <w:p>
      <w:r>
        <w:t>When a user initiates a membership enquiry, they can provide identifying information such as member ID, name, or date of birth. The chat system will:</w:t>
        <w:br/>
        <w:t>• Validate the input.</w:t>
        <w:br/>
        <w:t>• Retrieve membership details from the backend systems.</w:t>
        <w:br/>
        <w:t>• Display results in an easy-to-read format.</w:t>
        <w:br/>
        <w:br/>
        <w:t>Example:</w:t>
        <w:br/>
        <w:t>User: 'Can you bring up the membership details for John Smith?'</w:t>
        <w:br/>
        <w:t>System: Retrieves and displays member details including status, plan, and eligibility.</w:t>
      </w:r>
    </w:p>
    <w:p>
      <w:pPr>
        <w:pStyle w:val="Heading2"/>
      </w:pPr>
      <w:r>
        <w:t>4. Customer/Group Enquiry</w:t>
      </w:r>
    </w:p>
    <w:p>
      <w:r>
        <w:t>When a user initiates a customer or group enquiry, they can provide a group name or group number. The system will:</w:t>
        <w:br/>
        <w:t>• Confirm the provided group details.</w:t>
        <w:br/>
        <w:t>• Retrieve and display information such as platform type, small group indicator, situs state, Pulse ID, and eligibility status.</w:t>
        <w:br/>
        <w:br/>
        <w:t>Example:</w:t>
        <w:br/>
        <w:t>User: 'Can you bring the details of milestone?'</w:t>
        <w:br/>
        <w:t>System: Retrieves and displays details for MILESTONES BEHAVIORAL SERVICES INC., including group number, platform, and eligibility.</w:t>
      </w:r>
    </w:p>
    <w:p>
      <w:pPr>
        <w:pStyle w:val="Heading2"/>
      </w:pPr>
      <w:r>
        <w:t>5. Using the Chat Interface</w:t>
      </w:r>
    </w:p>
    <w:p>
      <w:r>
        <w:t>• Type your request into the message box at the bottom of the chat window.</w:t>
        <w:br/>
        <w:t>• Be as specific as possible when requesting information (e.g., include IDs, names, or numbers).</w:t>
        <w:br/>
        <w:t>• Use natural language – the chat UI is designed to understand conversational input.</w:t>
        <w:br/>
        <w:t>• The system will display the results in a structured format directly within the chat.</w:t>
      </w:r>
    </w:p>
    <w:p>
      <w:pPr>
        <w:pStyle w:val="Heading2"/>
      </w:pPr>
      <w:r>
        <w:t>6. Best Practices for Pilot Testing</w:t>
      </w:r>
    </w:p>
    <w:p>
      <w:r>
        <w:t>• Always verify the retrieved data for accuracy before sharing with customers.</w:t>
        <w:br/>
        <w:t>• Provide feedback on response accuracy and relevance using the thumbs up/down icons.</w:t>
        <w:br/>
        <w:t>• Note any delays, incorrect results, or UI issues and report them to the pilot support team.</w:t>
        <w:br/>
        <w:t>• Use test data where applicable to avoid exposing real customer information unnecessarily.</w:t>
      </w:r>
    </w:p>
    <w:p>
      <w:pPr>
        <w:pStyle w:val="Heading2"/>
      </w:pPr>
      <w:r>
        <w:t>7. Support</w:t>
      </w:r>
    </w:p>
    <w:p>
      <w:r>
        <w:t>For any issues during the pilot:</w:t>
        <w:br/>
        <w:t>• Contact the pilot support team via email or the internal helpdesk channel.</w:t>
        <w:br/>
        <w:t>• Provide a screenshot and the exact query you used when reporting issues.</w:t>
        <w:br/>
        <w:t>• For OHID access issues, contact the IT Service 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