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481da677e85c3f3e1e51b5e0212364b05743ad1"/>
    <w:p>
      <w:pPr>
        <w:pStyle w:val="Heading1"/>
      </w:pPr>
      <w:r>
        <w:t xml:space="preserve">LingoAI Observability Platform – 8‑Slide Executive Deck</w:t>
      </w:r>
    </w:p>
    <w:p>
      <w:pPr>
        <w:pStyle w:val="BlockText"/>
      </w:pPr>
      <w:r>
        <w:rPr>
          <w:b/>
          <w:bCs/>
        </w:rPr>
        <w:t xml:space="preserve">Duration:</w:t>
      </w:r>
      <w:r>
        <w:t xml:space="preserve"> </w:t>
      </w:r>
      <w:r>
        <w:t xml:space="preserve">40–45 minutes (≈5 min/slide + Q&amp;A)</w:t>
      </w:r>
      <w:r>
        <w:t xml:space="preserve"> </w:t>
      </w:r>
      <w:r>
        <w:rPr>
          <w:b/>
          <w:bCs/>
        </w:rPr>
        <w:t xml:space="preserve">Audience:</w:t>
      </w:r>
      <w:r>
        <w:t xml:space="preserve"> </w:t>
      </w:r>
      <w:r>
        <w:t xml:space="preserve">Engineering leadership, architects, SRE/ops, product owners</w:t>
      </w:r>
    </w:p>
    <w:p>
      <w:r>
        <w:pict>
          <v:rect style="width:0;height:1.5pt" o:hralign="center" o:hrstd="t" o:hr="t"/>
        </w:pict>
      </w:r>
    </w:p>
    <w:bookmarkStart w:id="20" w:name="slide-1-title-agenda"/>
    <w:p>
      <w:pPr>
        <w:pStyle w:val="Heading2"/>
      </w:pPr>
      <w:r>
        <w:rPr>
          <w:b/>
          <w:bCs/>
        </w:rPr>
        <w:t xml:space="preserve">Slide 1  |  Title &amp; Agenda</w:t>
      </w:r>
    </w:p>
    <w:p>
      <w:pPr>
        <w:pStyle w:val="FirstParagraph"/>
      </w:pPr>
      <w:r>
        <w:rPr>
          <w:b/>
          <w:bCs/>
        </w:rPr>
        <w:t xml:space="preserve">Title:</w:t>
      </w:r>
      <w:r>
        <w:t xml:space="preserve"> </w:t>
      </w:r>
      <w:r>
        <w:rPr>
          <w:i/>
          <w:iCs/>
        </w:rPr>
        <w:t xml:space="preserve">LingoAI Observability Platform</w:t>
      </w:r>
      <w:r>
        <w:br/>
      </w:r>
      <w:r>
        <w:rPr>
          <w:b/>
          <w:bCs/>
        </w:rPr>
        <w:t xml:space="preserve">Subtitle:</w:t>
      </w:r>
      <w:r>
        <w:t xml:space="preserve"> </w:t>
      </w:r>
      <w:r>
        <w:t xml:space="preserve">Illuminating Every Step of the Multi‑Agent Journey</w:t>
      </w:r>
    </w:p>
    <w:p>
      <w:pPr>
        <w:pStyle w:val="BodyText"/>
      </w:pPr>
      <w:r>
        <w:rPr>
          <w:b/>
          <w:bCs/>
        </w:rPr>
        <w:t xml:space="preserve">Agenda</w:t>
      </w:r>
    </w:p>
    <w:p>
      <w:pPr>
        <w:pStyle w:val="Compact"/>
        <w:numPr>
          <w:ilvl w:val="0"/>
          <w:numId w:val="1001"/>
        </w:numPr>
      </w:pPr>
      <w:r>
        <w:t xml:space="preserve">Context &amp; Imperative</w:t>
      </w:r>
    </w:p>
    <w:p>
      <w:pPr>
        <w:pStyle w:val="Compact"/>
        <w:numPr>
          <w:ilvl w:val="0"/>
          <w:numId w:val="1001"/>
        </w:numPr>
      </w:pPr>
      <w:r>
        <w:t xml:space="preserve">Problems We’re Solving</w:t>
      </w:r>
    </w:p>
    <w:p>
      <w:pPr>
        <w:pStyle w:val="Compact"/>
        <w:numPr>
          <w:ilvl w:val="0"/>
          <w:numId w:val="1001"/>
        </w:numPr>
      </w:pPr>
      <w:r>
        <w:t xml:space="preserve">Architectural Blueprint</w:t>
      </w:r>
    </w:p>
    <w:p>
      <w:pPr>
        <w:pStyle w:val="Compact"/>
        <w:numPr>
          <w:ilvl w:val="0"/>
          <w:numId w:val="1001"/>
        </w:numPr>
      </w:pPr>
      <w:r>
        <w:t xml:space="preserve">Runtime Interaction Sequence</w:t>
      </w:r>
    </w:p>
    <w:p>
      <w:pPr>
        <w:pStyle w:val="Compact"/>
        <w:numPr>
          <w:ilvl w:val="0"/>
          <w:numId w:val="1001"/>
        </w:numPr>
      </w:pPr>
      <w:r>
        <w:t xml:space="preserve">Log Schema &amp; Data Flow</w:t>
      </w:r>
    </w:p>
    <w:p>
      <w:pPr>
        <w:pStyle w:val="Compact"/>
        <w:numPr>
          <w:ilvl w:val="0"/>
          <w:numId w:val="1001"/>
        </w:numPr>
      </w:pPr>
      <w:r>
        <w:t xml:space="preserve">Metrics &amp; Insights</w:t>
      </w:r>
    </w:p>
    <w:p>
      <w:pPr>
        <w:pStyle w:val="Compact"/>
        <w:numPr>
          <w:ilvl w:val="0"/>
          <w:numId w:val="1001"/>
        </w:numPr>
      </w:pPr>
      <w:r>
        <w:t xml:space="preserve">Roadmap</w:t>
      </w:r>
    </w:p>
    <w:p>
      <w:pPr>
        <w:pStyle w:val="Compact"/>
        <w:numPr>
          <w:ilvl w:val="0"/>
          <w:numId w:val="1001"/>
        </w:numPr>
      </w:pPr>
      <w:r>
        <w:t xml:space="preserve">Q&amp;A</w:t>
      </w:r>
    </w:p>
    <w:p>
      <w:pPr>
        <w:pStyle w:val="FirstParagraph"/>
      </w:pPr>
      <w:r>
        <w:rPr>
          <w:b/>
          <w:bCs/>
        </w:rPr>
        <w:t xml:space="preserve">Speaker Notes (≈4 min)</w:t>
      </w:r>
    </w:p>
    <w:p>
      <w:pPr>
        <w:pStyle w:val="BlockText"/>
      </w:pPr>
      <w:r>
        <w:t xml:space="preserve">“Welcome! In the next 40 minutes we’ll unpack why observability is mission‑critical for LingoAI, the design principles behind our platform, how each component interacts, and where we’re headed next.”</w:t>
      </w:r>
    </w:p>
    <w:p>
      <w:r>
        <w:pict>
          <v:rect style="width:0;height:1.5pt" o:hralign="center" o:hrstd="t" o:hr="t"/>
        </w:pict>
      </w:r>
    </w:p>
    <w:bookmarkEnd w:id="20"/>
    <w:bookmarkStart w:id="23" w:name="slide-2-context-imperative"/>
    <w:p>
      <w:pPr>
        <w:pStyle w:val="Heading2"/>
      </w:pPr>
      <w:r>
        <w:rPr>
          <w:b/>
          <w:bCs/>
        </w:rPr>
        <w:t xml:space="preserve">Slide 2  |  Context &amp; Imperative</w:t>
      </w:r>
    </w:p>
    <w:bookmarkStart w:id="21" w:name="why-now"/>
    <w:p>
      <w:pPr>
        <w:pStyle w:val="Heading3"/>
      </w:pPr>
      <w:r>
        <w:t xml:space="preserve">Why Now?</w:t>
      </w:r>
    </w:p>
    <w:p>
      <w:pPr>
        <w:pStyle w:val="Compact"/>
        <w:numPr>
          <w:ilvl w:val="0"/>
          <w:numId w:val="1002"/>
        </w:numPr>
      </w:pPr>
      <w:r>
        <w:t xml:space="preserve">Explosion of</w:t>
      </w:r>
      <w:r>
        <w:t xml:space="preserve"> </w:t>
      </w:r>
      <w:r>
        <w:rPr>
          <w:b/>
          <w:bCs/>
        </w:rPr>
        <w:t xml:space="preserve">multi‑agent workflows</w:t>
      </w:r>
      <w:r>
        <w:t xml:space="preserve"> </w:t>
      </w:r>
      <w:r>
        <w:t xml:space="preserve">→ exponential events</w:t>
      </w:r>
    </w:p>
    <w:p>
      <w:pPr>
        <w:pStyle w:val="Compact"/>
        <w:numPr>
          <w:ilvl w:val="0"/>
          <w:numId w:val="1002"/>
        </w:numPr>
      </w:pPr>
      <w:r>
        <w:rPr>
          <w:b/>
          <w:bCs/>
        </w:rPr>
        <w:t xml:space="preserve">Enterprise SLA</w:t>
      </w:r>
      <w:r>
        <w:t xml:space="preserve"> </w:t>
      </w:r>
      <w:r>
        <w:t xml:space="preserve">expectation: sub‑second answers, 99.9 % uptime</w:t>
      </w:r>
    </w:p>
    <w:p>
      <w:pPr>
        <w:pStyle w:val="Compact"/>
        <w:numPr>
          <w:ilvl w:val="0"/>
          <w:numId w:val="1002"/>
        </w:numPr>
      </w:pPr>
      <w:r>
        <w:t xml:space="preserve">Regulatory focus on</w:t>
      </w:r>
      <w:r>
        <w:t xml:space="preserve"> </w:t>
      </w:r>
      <w:r>
        <w:rPr>
          <w:b/>
          <w:bCs/>
        </w:rPr>
        <w:t xml:space="preserve">explainability</w:t>
      </w:r>
      <w:r>
        <w:t xml:space="preserve"> </w:t>
      </w:r>
      <w:r>
        <w:t xml:space="preserve">&amp;</w:t>
      </w:r>
      <w:r>
        <w:t xml:space="preserve"> </w:t>
      </w:r>
      <w:r>
        <w:rPr>
          <w:b/>
          <w:bCs/>
        </w:rPr>
        <w:t xml:space="preserve">audit trails</w:t>
      </w:r>
    </w:p>
    <w:bookmarkEnd w:id="21"/>
    <w:bookmarkStart w:id="22" w:name="the-cost-of-blind-spots"/>
    <w:p>
      <w:pPr>
        <w:pStyle w:val="Heading3"/>
      </w:pPr>
      <w:r>
        <w:t xml:space="preserve">The Cost of Blind Spots</w:t>
      </w:r>
    </w:p>
    <w:p>
      <w:pPr>
        <w:pStyle w:val="Compact"/>
        <w:numPr>
          <w:ilvl w:val="0"/>
          <w:numId w:val="1003"/>
        </w:numPr>
      </w:pPr>
      <w:r>
        <w:t xml:space="preserve">Hours lost chasing intermittent errors</w:t>
      </w:r>
    </w:p>
    <w:p>
      <w:pPr>
        <w:pStyle w:val="Compact"/>
        <w:numPr>
          <w:ilvl w:val="0"/>
          <w:numId w:val="1003"/>
        </w:numPr>
      </w:pPr>
      <w:r>
        <w:t xml:space="preserve">Token overruns unnoticed until month‑end bill</w:t>
      </w:r>
    </w:p>
    <w:p>
      <w:pPr>
        <w:pStyle w:val="Compact"/>
        <w:numPr>
          <w:ilvl w:val="0"/>
          <w:numId w:val="1003"/>
        </w:numPr>
      </w:pPr>
      <w:r>
        <w:t xml:space="preserve">Hard to prove accuracy or compliance without traceability</w:t>
      </w:r>
    </w:p>
    <w:p>
      <w:pPr>
        <w:pStyle w:val="FirstParagraph"/>
      </w:pPr>
      <w:r>
        <w:rPr>
          <w:b/>
          <w:bCs/>
        </w:rPr>
        <w:t xml:space="preserve">Speaker Notes (≈6 min)</w:t>
      </w:r>
    </w:p>
    <w:p>
      <w:pPr>
        <w:pStyle w:val="BlockText"/>
      </w:pPr>
      <w:r>
        <w:t xml:space="preserve">“As agents proliferate, blind‑spot costs grow non‑linearly. A single latent API or hallucinating LLM can ripple across the customer journey. Observability turns unknowns into actionable data.”</w:t>
      </w:r>
    </w:p>
    <w:p>
      <w:r>
        <w:pict>
          <v:rect style="width:0;height:1.5pt" o:hralign="center" o:hrstd="t" o:hr="t"/>
        </w:pict>
      </w:r>
    </w:p>
    <w:bookmarkEnd w:id="22"/>
    <w:bookmarkEnd w:id="23"/>
    <w:bookmarkStart w:id="24" w:name="slide-3-goals-value-proposition"/>
    <w:p>
      <w:pPr>
        <w:pStyle w:val="Heading2"/>
      </w:pPr>
      <w:r>
        <w:rPr>
          <w:b/>
          <w:bCs/>
        </w:rPr>
        <w:t xml:space="preserve">Slide 3  |  Goals &amp; Value Proposition</w:t>
      </w:r>
    </w:p>
    <w:tbl>
      <w:tblPr>
        <w:tblStyle w:val="Table"/>
        <w:tblW w:type="pct" w:w="5000"/>
        <w:tblLayout w:type="fixed"/>
        <w:tblLook w:firstRow="1" w:lastRow="0" w:firstColumn="0" w:lastColumn="0" w:noHBand="0" w:noVBand="0" w:val="0020"/>
      </w:tblPr>
      <w:tblGrid>
        <w:gridCol w:w="2610"/>
        <w:gridCol w:w="5310"/>
      </w:tblGrid>
      <w:tr>
        <w:trPr>
          <w:tblHeader w:val="on"/>
        </w:trPr>
        <w:tc>
          <w:tcPr/>
          <w:p>
            <w:pPr>
              <w:pStyle w:val="Compact"/>
            </w:pPr>
            <w:r>
              <w:rPr>
                <w:b/>
                <w:bCs/>
              </w:rPr>
              <w:t xml:space="preserve">Goal</w:t>
            </w:r>
          </w:p>
        </w:tc>
        <w:tc>
          <w:tcPr/>
          <w:p>
            <w:pPr>
              <w:pStyle w:val="Compact"/>
            </w:pPr>
            <w:r>
              <w:rPr>
                <w:b/>
                <w:bCs/>
              </w:rPr>
              <w:t xml:space="preserve">Outcome</w:t>
            </w:r>
          </w:p>
        </w:tc>
      </w:tr>
      <w:tr>
        <w:tc>
          <w:tcPr/>
          <w:p>
            <w:pPr>
              <w:pStyle w:val="Compact"/>
            </w:pPr>
            <w:r>
              <w:rPr>
                <w:b/>
                <w:bCs/>
              </w:rPr>
              <w:t xml:space="preserve">Unified Trace Schema</w:t>
            </w:r>
          </w:p>
        </w:tc>
        <w:tc>
          <w:tcPr/>
          <w:p>
            <w:pPr>
              <w:pStyle w:val="Compact"/>
            </w:pPr>
            <w:r>
              <w:t xml:space="preserve">One record format for every span across agents, tools, LLMs</w:t>
            </w:r>
          </w:p>
        </w:tc>
      </w:tr>
      <w:tr>
        <w:tc>
          <w:tcPr/>
          <w:p>
            <w:pPr>
              <w:pStyle w:val="Compact"/>
            </w:pPr>
            <w:r>
              <w:rPr>
                <w:b/>
                <w:bCs/>
              </w:rPr>
              <w:t xml:space="preserve">Real‑Time Streaming</w:t>
            </w:r>
          </w:p>
        </w:tc>
        <w:tc>
          <w:tcPr/>
          <w:p>
            <w:pPr>
              <w:pStyle w:val="Compact"/>
            </w:pPr>
            <w:r>
              <w:t xml:space="preserve">Ops teams see issues within &lt; 3 s of occurrence</w:t>
            </w:r>
          </w:p>
        </w:tc>
      </w:tr>
      <w:tr>
        <w:tc>
          <w:tcPr/>
          <w:p>
            <w:pPr>
              <w:pStyle w:val="Compact"/>
            </w:pPr>
            <w:r>
              <w:rPr>
                <w:b/>
                <w:bCs/>
              </w:rPr>
              <w:t xml:space="preserve">Human + LLM Feedback Loop</w:t>
            </w:r>
          </w:p>
        </w:tc>
        <w:tc>
          <w:tcPr/>
          <w:p>
            <w:pPr>
              <w:pStyle w:val="Compact"/>
            </w:pPr>
            <w:r>
              <w:t xml:space="preserve">Continuous quality scoring &amp; rapid tuning</w:t>
            </w:r>
          </w:p>
        </w:tc>
      </w:tr>
      <w:tr>
        <w:tc>
          <w:tcPr/>
          <w:p>
            <w:pPr>
              <w:pStyle w:val="Compact"/>
            </w:pPr>
            <w:r>
              <w:rPr>
                <w:b/>
                <w:bCs/>
              </w:rPr>
              <w:t xml:space="preserve">Full‑Stack Correlation</w:t>
            </w:r>
          </w:p>
        </w:tc>
        <w:tc>
          <w:tcPr/>
          <w:p>
            <w:pPr>
              <w:pStyle w:val="Compact"/>
            </w:pPr>
            <w:r>
              <w:t xml:space="preserve">AI events mapped to node/DB/infra metrics in Dynatrace</w:t>
            </w:r>
          </w:p>
        </w:tc>
      </w:tr>
      <w:tr>
        <w:tc>
          <w:tcPr/>
          <w:p>
            <w:pPr>
              <w:pStyle w:val="Compact"/>
            </w:pPr>
            <w:r>
              <w:rPr>
                <w:b/>
                <w:bCs/>
              </w:rPr>
              <w:t xml:space="preserve">Self‑Service Analytics</w:t>
            </w:r>
          </w:p>
        </w:tc>
        <w:tc>
          <w:tcPr/>
          <w:p>
            <w:pPr>
              <w:pStyle w:val="Compact"/>
            </w:pPr>
            <w:r>
              <w:t xml:space="preserve">Product &amp; data teams explore without engineering tickets</w:t>
            </w:r>
          </w:p>
        </w:tc>
      </w:tr>
    </w:tbl>
    <w:p>
      <w:pPr>
        <w:pStyle w:val="BodyText"/>
      </w:pPr>
      <w:r>
        <w:rPr>
          <w:b/>
          <w:bCs/>
        </w:rPr>
        <w:t xml:space="preserve">Speaker Notes (≈4 min)</w:t>
      </w:r>
    </w:p>
    <w:p>
      <w:pPr>
        <w:pStyle w:val="BlockText"/>
      </w:pPr>
      <w:r>
        <w:t xml:space="preserve">“The platform isn’t just for SRE. Product can measure feature‑level latency, data scientists can study misuse, and compliance gains an immutable audit trail.”</w:t>
      </w:r>
    </w:p>
    <w:p>
      <w:r>
        <w:pict>
          <v:rect style="width:0;height:1.5pt" o:hralign="center" o:hrstd="t" o:hr="t"/>
        </w:pict>
      </w:r>
    </w:p>
    <w:bookmarkEnd w:id="24"/>
    <w:bookmarkStart w:id="25" w:name="slide-4-architectural-blueprint"/>
    <w:p>
      <w:pPr>
        <w:pStyle w:val="Heading2"/>
      </w:pPr>
      <w:r>
        <w:rPr>
          <w:b/>
          <w:bCs/>
        </w:rPr>
        <w:t xml:space="preserve">Slide 4  |  Architectural Blueprint</w:t>
      </w:r>
    </w:p>
    <w:p>
      <w:pPr>
        <w:pStyle w:val="SourceCode"/>
      </w:pPr>
      <w:r>
        <w:rPr>
          <w:rStyle w:val="VerbatimChar"/>
        </w:rPr>
        <w:t xml:space="preserve">%%{init: {"theme":"base","flowchart":{"nodeSpacing":35,"rankSpacing":30}}}%%</w:t>
      </w:r>
      <w:r>
        <w:br/>
      </w:r>
      <w:r>
        <w:rPr>
          <w:rStyle w:val="VerbatimChar"/>
        </w:rPr>
        <w:t xml:space="preserve">flowchart TD</w:t>
      </w:r>
      <w:r>
        <w:br/>
      </w:r>
      <w:r>
        <w:rPr>
          <w:rStyle w:val="VerbatimChar"/>
        </w:rPr>
        <w:t xml:space="preserve">  subgraph AG[Agent Layer]</w:t>
      </w:r>
      <w:r>
        <w:br/>
      </w:r>
      <w:r>
        <w:rPr>
          <w:rStyle w:val="VerbatimChar"/>
        </w:rPr>
        <w:t xml:space="preserve">    P["Primary Assistant"]:::agent --&gt; S["Secondary Agents"]:::agent</w:t>
      </w:r>
      <w:r>
        <w:br/>
      </w:r>
      <w:r>
        <w:rPr>
          <w:rStyle w:val="VerbatimChar"/>
        </w:rPr>
        <w:t xml:space="preserve">    S --&gt; T["Tool / API"]:::tool</w:t>
      </w:r>
      <w:r>
        <w:br/>
      </w:r>
      <w:r>
        <w:rPr>
          <w:rStyle w:val="VerbatimChar"/>
        </w:rPr>
        <w:t xml:space="preserve">  end</w:t>
      </w:r>
      <w:r>
        <w:br/>
      </w:r>
      <w:r>
        <w:rPr>
          <w:rStyle w:val="VerbatimChar"/>
        </w:rPr>
        <w:t xml:space="preserve">  T --&gt; L["Log Ingestor"]:::ing</w:t>
      </w:r>
      <w:r>
        <w:br/>
      </w:r>
      <w:r>
        <w:rPr>
          <w:rStyle w:val="VerbatimChar"/>
        </w:rPr>
        <w:t xml:space="preserve">  L --&gt;|Validate &amp; Enrich| M["MongoDB</w:t>
      </w:r>
      <w:r>
        <w:br/>
      </w:r>
      <w:r>
        <w:rPr>
          <w:rStyle w:val="VerbatimChar"/>
        </w:rPr>
        <w:t xml:space="preserve">(Structured Spans)"]:::db</w:t>
      </w:r>
      <w:r>
        <w:br/>
      </w:r>
      <w:r>
        <w:rPr>
          <w:rStyle w:val="VerbatimChar"/>
        </w:rPr>
        <w:t xml:space="preserve">  M --&gt; CS["Change Stream"]:::cs</w:t>
      </w:r>
      <w:r>
        <w:br/>
      </w:r>
      <w:r>
        <w:rPr>
          <w:rStyle w:val="VerbatimChar"/>
        </w:rPr>
        <w:t xml:space="preserve">  CS --&gt; API["Obs API</w:t>
      </w:r>
      <w:r>
        <w:br/>
      </w:r>
      <w:r>
        <w:rPr>
          <w:rStyle w:val="VerbatimChar"/>
        </w:rPr>
        <w:t xml:space="preserve">(SSE/WS)"]:::api</w:t>
      </w:r>
      <w:r>
        <w:br/>
      </w:r>
      <w:r>
        <w:rPr>
          <w:rStyle w:val="VerbatimChar"/>
        </w:rPr>
        <w:t xml:space="preserve">  API --&gt; UI["React Dashboard"]:::ui</w:t>
      </w:r>
      <w:r>
        <w:br/>
      </w:r>
      <w:r>
        <w:rPr>
          <w:rStyle w:val="VerbatimChar"/>
        </w:rPr>
        <w:t xml:space="preserve">  L --&gt; DT["Dynatrace</w:t>
      </w:r>
      <w:r>
        <w:br/>
      </w:r>
      <w:r>
        <w:rPr>
          <w:rStyle w:val="VerbatimChar"/>
        </w:rPr>
        <w:t xml:space="preserve">(APM + Logs)"]:::dt</w:t>
      </w:r>
      <w:r>
        <w:br/>
      </w:r>
      <w:r>
        <w:br/>
      </w:r>
      <w:r>
        <w:rPr>
          <w:rStyle w:val="VerbatimChar"/>
        </w:rPr>
        <w:t xml:space="preserve">  classDef agent fill:#D5E8D4,stroke:#4AAE4F,stroke-width:2px;</w:t>
      </w:r>
      <w:r>
        <w:br/>
      </w:r>
      <w:r>
        <w:rPr>
          <w:rStyle w:val="VerbatimChar"/>
        </w:rPr>
        <w:t xml:space="preserve">  classDef tool  fill:#FFF2CC,stroke:#C8A000,stroke-width:2px;</w:t>
      </w:r>
      <w:r>
        <w:br/>
      </w:r>
      <w:r>
        <w:rPr>
          <w:rStyle w:val="VerbatimChar"/>
        </w:rPr>
        <w:t xml:space="preserve">  classDef ing   fill:#F8CECC,stroke:#C0504D,stroke-width:2px;</w:t>
      </w:r>
      <w:r>
        <w:br/>
      </w:r>
      <w:r>
        <w:rPr>
          <w:rStyle w:val="VerbatimChar"/>
        </w:rPr>
        <w:t xml:space="preserve">  classDef db    fill:#DAE8FC,stroke:#6C8EBF,stroke-width:2px;</w:t>
      </w:r>
      <w:r>
        <w:br/>
      </w:r>
      <w:r>
        <w:rPr>
          <w:rStyle w:val="VerbatimChar"/>
        </w:rPr>
        <w:t xml:space="preserve">  classDef cs    fill:#E1D5E7,stroke:#9673A6,stroke-width:2px;</w:t>
      </w:r>
      <w:r>
        <w:br/>
      </w:r>
      <w:r>
        <w:rPr>
          <w:rStyle w:val="VerbatimChar"/>
        </w:rPr>
        <w:t xml:space="preserve">  classDef api   fill:#EFEFEF,stroke:#666,stroke-width:2px;</w:t>
      </w:r>
      <w:r>
        <w:br/>
      </w:r>
      <w:r>
        <w:rPr>
          <w:rStyle w:val="VerbatimChar"/>
        </w:rPr>
        <w:t xml:space="preserve">  classDef ui    fill:#FFFFFF,stroke:#000,stroke-dasharray:5 3;</w:t>
      </w:r>
      <w:r>
        <w:br/>
      </w:r>
      <w:r>
        <w:rPr>
          <w:rStyle w:val="VerbatimChar"/>
        </w:rPr>
        <w:t xml:space="preserve">  classDef dt    fill:#D9EAD3,stroke:#6AA84F,stroke-width:2px;</w:t>
      </w:r>
    </w:p>
    <w:p>
      <w:pPr>
        <w:pStyle w:val="FirstParagraph"/>
      </w:pPr>
      <w:r>
        <w:rPr>
          <w:b/>
          <w:bCs/>
        </w:rPr>
        <w:t xml:space="preserve">Speaker Notes (≈7 min)</w:t>
      </w:r>
    </w:p>
    <w:p>
      <w:pPr>
        <w:pStyle w:val="BlockText"/>
      </w:pPr>
      <w:r>
        <w:t xml:space="preserve">“Color‑coding helps: green boxes are agents, yellow is external tools, red the ingest firewall, blue for our durable store, purple for real‑time bus, grey API, white UI, and olive shows Dynatrace integration. Key principle:</w:t>
      </w:r>
      <w:r>
        <w:t xml:space="preserve"> </w:t>
      </w:r>
      <w:r>
        <w:rPr>
          <w:b/>
          <w:bCs/>
        </w:rPr>
        <w:t xml:space="preserve">write once, stream everywhere</w:t>
      </w:r>
      <w:r>
        <w:t xml:space="preserve">.”</w:t>
      </w:r>
    </w:p>
    <w:p>
      <w:r>
        <w:pict>
          <v:rect style="width:0;height:1.5pt" o:hralign="center" o:hrstd="t" o:hr="t"/>
        </w:pict>
      </w:r>
    </w:p>
    <w:bookmarkEnd w:id="25"/>
    <w:bookmarkStart w:id="26" w:name="slide-5-runtime-interaction-sequence"/>
    <w:p>
      <w:pPr>
        <w:pStyle w:val="Heading2"/>
      </w:pPr>
      <w:r>
        <w:rPr>
          <w:b/>
          <w:bCs/>
        </w:rPr>
        <w:t xml:space="preserve">Slide 5  |  Runtime Interaction Sequence</w:t>
      </w:r>
    </w:p>
    <w:p>
      <w:pPr>
        <w:pStyle w:val="SourceCode"/>
      </w:pPr>
      <w:r>
        <w:rPr>
          <w:rStyle w:val="VerbatimChar"/>
        </w:rPr>
        <w:t xml:space="preserve">%%{init:{"theme":"base","sequence":{"actorBkg":"#F0F0F0","actorBorder":"#555"}}}%%</w:t>
      </w:r>
      <w:r>
        <w:br/>
      </w:r>
      <w:r>
        <w:rPr>
          <w:rStyle w:val="VerbatimChar"/>
        </w:rPr>
        <w:t xml:space="preserve">sequenceDiagram</w:t>
      </w:r>
      <w:r>
        <w:br/>
      </w:r>
      <w:r>
        <w:rPr>
          <w:rStyle w:val="VerbatimChar"/>
        </w:rPr>
        <w:t xml:space="preserve">  autonumber</w:t>
      </w:r>
      <w:r>
        <w:br/>
      </w:r>
      <w:r>
        <w:rPr>
          <w:rStyle w:val="VerbatimChar"/>
        </w:rPr>
        <w:t xml:space="preserve">  participant U  as User</w:t>
      </w:r>
      <w:r>
        <w:br/>
      </w:r>
      <w:r>
        <w:rPr>
          <w:rStyle w:val="VerbatimChar"/>
        </w:rPr>
        <w:t xml:space="preserve">  participant PA as Primary Assistant</w:t>
      </w:r>
      <w:r>
        <w:br/>
      </w:r>
      <w:r>
        <w:rPr>
          <w:rStyle w:val="VerbatimChar"/>
        </w:rPr>
        <w:t xml:space="preserve">  participant SA as Secondary Agent</w:t>
      </w:r>
      <w:r>
        <w:br/>
      </w:r>
      <w:r>
        <w:rPr>
          <w:rStyle w:val="VerbatimChar"/>
        </w:rPr>
        <w:t xml:space="preserve">  participant SV as External Service</w:t>
      </w:r>
      <w:r>
        <w:br/>
      </w:r>
      <w:r>
        <w:rPr>
          <w:rStyle w:val="VerbatimChar"/>
        </w:rPr>
        <w:t xml:space="preserve">  participant LI as Log Ingestor</w:t>
      </w:r>
      <w:r>
        <w:br/>
      </w:r>
      <w:r>
        <w:rPr>
          <w:rStyle w:val="VerbatimChar"/>
        </w:rPr>
        <w:t xml:space="preserve">  participant DB as MongoDB</w:t>
      </w:r>
      <w:r>
        <w:br/>
      </w:r>
      <w:r>
        <w:rPr>
          <w:rStyle w:val="VerbatimChar"/>
        </w:rPr>
        <w:t xml:space="preserve">  participant AP as Obs API</w:t>
      </w:r>
      <w:r>
        <w:br/>
      </w:r>
      <w:r>
        <w:rPr>
          <w:rStyle w:val="VerbatimChar"/>
        </w:rPr>
        <w:t xml:space="preserve">  participant UI as Dashboard</w:t>
      </w:r>
      <w:r>
        <w:br/>
      </w:r>
      <w:r>
        <w:br/>
      </w:r>
      <w:r>
        <w:rPr>
          <w:rStyle w:val="VerbatimChar"/>
        </w:rPr>
        <w:t xml:space="preserve">  U-&gt;&gt;PA: Submit Query</w:t>
      </w:r>
      <w:r>
        <w:br/>
      </w:r>
      <w:r>
        <w:rPr>
          <w:rStyle w:val="VerbatimChar"/>
        </w:rPr>
        <w:t xml:space="preserve">  PA-&gt;&gt;LI: agent-span</w:t>
      </w:r>
      <w:r>
        <w:br/>
      </w:r>
      <w:r>
        <w:rPr>
          <w:rStyle w:val="VerbatimChar"/>
        </w:rPr>
        <w:t xml:space="preserve">  PA-&gt;&gt;SA: Delegate Task</w:t>
      </w:r>
      <w:r>
        <w:br/>
      </w:r>
      <w:r>
        <w:rPr>
          <w:rStyle w:val="VerbatimChar"/>
        </w:rPr>
        <w:t xml:space="preserve">  SA-&gt;&gt;LI: llm-span</w:t>
      </w:r>
      <w:r>
        <w:br/>
      </w:r>
      <w:r>
        <w:rPr>
          <w:rStyle w:val="VerbatimChar"/>
        </w:rPr>
        <w:t xml:space="preserve">  SA-&gt;&gt;SV: API Call</w:t>
      </w:r>
      <w:r>
        <w:br/>
      </w:r>
      <w:r>
        <w:rPr>
          <w:rStyle w:val="VerbatimChar"/>
        </w:rPr>
        <w:t xml:space="preserve">  SV--&gt;&gt;LI: tool-span / error</w:t>
      </w:r>
      <w:r>
        <w:br/>
      </w:r>
      <w:r>
        <w:rPr>
          <w:rStyle w:val="VerbatimChar"/>
        </w:rPr>
        <w:t xml:space="preserve">  SV--&gt;&gt;SA: Result</w:t>
      </w:r>
      <w:r>
        <w:br/>
      </w:r>
      <w:r>
        <w:rPr>
          <w:rStyle w:val="VerbatimChar"/>
        </w:rPr>
        <w:t xml:space="preserve">  SA--&gt;&gt;PA: Collated Answer</w:t>
      </w:r>
      <w:r>
        <w:br/>
      </w:r>
      <w:r>
        <w:rPr>
          <w:rStyle w:val="VerbatimChar"/>
        </w:rPr>
        <w:t xml:space="preserve">  LI-&gt;&gt;DB: Persist Spans</w:t>
      </w:r>
      <w:r>
        <w:br/>
      </w:r>
      <w:r>
        <w:rPr>
          <w:rStyle w:val="VerbatimChar"/>
        </w:rPr>
        <w:t xml:space="preserve">  DB--&gt;&gt;AP: Change Stream Event</w:t>
      </w:r>
      <w:r>
        <w:br/>
      </w:r>
      <w:r>
        <w:rPr>
          <w:rStyle w:val="VerbatimChar"/>
        </w:rPr>
        <w:t xml:space="preserve">  AP-&gt;&gt;UI: Push SSE/WS</w:t>
      </w:r>
      <w:r>
        <w:br/>
      </w:r>
      <w:r>
        <w:rPr>
          <w:rStyle w:val="VerbatimChar"/>
        </w:rPr>
        <w:t xml:space="preserve">  UI--&gt;&gt;U: Live Update</w:t>
      </w:r>
    </w:p>
    <w:p>
      <w:pPr>
        <w:pStyle w:val="FirstParagraph"/>
      </w:pPr>
      <w:r>
        <w:rPr>
          <w:b/>
          <w:bCs/>
        </w:rPr>
        <w:t xml:space="preserve">Speaker Notes (≈6 min)</w:t>
      </w:r>
    </w:p>
    <w:p>
      <w:pPr>
        <w:pStyle w:val="BlockText"/>
      </w:pPr>
      <w:r>
        <w:t xml:space="preserve">“Green arrows represent normal spans; red signals an error. Notice the constant side‑channel to the Dashboard—operators gain second‑level awareness without polling.”</w:t>
      </w:r>
    </w:p>
    <w:p>
      <w:r>
        <w:pict>
          <v:rect style="width:0;height:1.5pt" o:hralign="center" o:hrstd="t" o:hr="t"/>
        </w:pict>
      </w:r>
    </w:p>
    <w:bookmarkEnd w:id="26"/>
    <w:bookmarkStart w:id="27" w:name="slide-6-log-schema-data-flow"/>
    <w:p>
      <w:pPr>
        <w:pStyle w:val="Heading2"/>
      </w:pPr>
      <w:r>
        <w:rPr>
          <w:b/>
          <w:bCs/>
        </w:rPr>
        <w:t xml:space="preserve">Slide 6  |  Log Schema &amp; Data Flow</w:t>
      </w:r>
    </w:p>
    <w:p>
      <w:pPr>
        <w:pStyle w:val="SourceCode"/>
      </w:pPr>
      <w:r>
        <w:rPr>
          <w:rStyle w:val="FunctionTok"/>
        </w:rPr>
        <w:t xml:space="preserve">{</w:t>
      </w:r>
      <w:r>
        <w:br/>
      </w:r>
      <w:r>
        <w:rPr>
          <w:rStyle w:val="NormalTok"/>
        </w:rPr>
        <w:t xml:space="preserve">  </w:t>
      </w:r>
      <w:r>
        <w:rPr>
          <w:rStyle w:val="DataTypeTok"/>
        </w:rPr>
        <w:t xml:space="preserve">"trace_id"</w:t>
      </w:r>
      <w:r>
        <w:rPr>
          <w:rStyle w:val="FunctionTok"/>
        </w:rPr>
        <w:t xml:space="preserve">:</w:t>
      </w:r>
      <w:r>
        <w:rPr>
          <w:rStyle w:val="NormalTok"/>
        </w:rPr>
        <w:t xml:space="preserve"> </w:t>
      </w:r>
      <w:r>
        <w:rPr>
          <w:rStyle w:val="StringTok"/>
        </w:rPr>
        <w:t xml:space="preserve">"123e4567-e89b-12d3-a456-426655440000"</w:t>
      </w:r>
      <w:r>
        <w:rPr>
          <w:rStyle w:val="FunctionTok"/>
        </w:rPr>
        <w:t xml:space="preserve">,</w:t>
      </w:r>
      <w:r>
        <w:br/>
      </w:r>
      <w:r>
        <w:rPr>
          <w:rStyle w:val="NormalTok"/>
        </w:rPr>
        <w:t xml:space="preserve">  </w:t>
      </w:r>
      <w:r>
        <w:rPr>
          <w:rStyle w:val="DataTypeTok"/>
        </w:rPr>
        <w:t xml:space="preserve">"span_id"</w:t>
      </w:r>
      <w:r>
        <w:rPr>
          <w:rStyle w:val="FunctionTok"/>
        </w:rPr>
        <w:t xml:space="preserve">:</w:t>
      </w:r>
      <w:r>
        <w:rPr>
          <w:rStyle w:val="NormalTok"/>
        </w:rPr>
        <w:t xml:space="preserve"> </w:t>
      </w:r>
      <w:r>
        <w:rPr>
          <w:rStyle w:val="StringTok"/>
        </w:rPr>
        <w:t xml:space="preserve">"span‑uuid"</w:t>
      </w:r>
      <w:r>
        <w:rPr>
          <w:rStyle w:val="FunctionTok"/>
        </w:rPr>
        <w:t xml:space="preserve">,</w:t>
      </w:r>
      <w:r>
        <w:br/>
      </w:r>
      <w:r>
        <w:rPr>
          <w:rStyle w:val="NormalTok"/>
        </w:rPr>
        <w:t xml:space="preserve">  </w:t>
      </w:r>
      <w:r>
        <w:rPr>
          <w:rStyle w:val="DataTypeTok"/>
        </w:rPr>
        <w:t xml:space="preserve">"parent_span_id"</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"event_type"</w:t>
      </w:r>
      <w:r>
        <w:rPr>
          <w:rStyle w:val="FunctionTok"/>
        </w:rPr>
        <w:t xml:space="preserve">:</w:t>
      </w:r>
      <w:r>
        <w:rPr>
          <w:rStyle w:val="NormalTok"/>
        </w:rPr>
        <w:t xml:space="preserve"> </w:t>
      </w:r>
      <w:r>
        <w:rPr>
          <w:rStyle w:val="StringTok"/>
        </w:rPr>
        <w:t xml:space="preserve">"tool"</w:t>
      </w:r>
      <w:r>
        <w:rPr>
          <w:rStyle w:val="FunctionTok"/>
        </w:rPr>
        <w:t xml:space="preserve">,</w:t>
      </w:r>
      <w:r>
        <w:br/>
      </w:r>
      <w:r>
        <w:rPr>
          <w:rStyle w:val="NormalTok"/>
        </w:rPr>
        <w:t xml:space="preserve">  </w:t>
      </w:r>
      <w:r>
        <w:rPr>
          <w:rStyle w:val="DataTypeTok"/>
        </w:rPr>
        <w:t xml:space="preserve">"agent_type"</w:t>
      </w:r>
      <w:r>
        <w:rPr>
          <w:rStyle w:val="FunctionTok"/>
        </w:rPr>
        <w:t xml:space="preserve">:</w:t>
      </w:r>
      <w:r>
        <w:rPr>
          <w:rStyle w:val="NormalTok"/>
        </w:rPr>
        <w:t xml:space="preserve"> </w:t>
      </w:r>
      <w:r>
        <w:rPr>
          <w:rStyle w:val="StringTok"/>
        </w:rPr>
        <w:t xml:space="preserve">"plan_agent"</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"error"</w:t>
      </w:r>
      <w:r>
        <w:rPr>
          <w:rStyle w:val="FunctionTok"/>
        </w:rPr>
        <w:t xml:space="preserve">,</w:t>
      </w:r>
      <w:r>
        <w:br/>
      </w:r>
      <w:r>
        <w:rPr>
          <w:rStyle w:val="NormalTok"/>
        </w:rPr>
        <w:t xml:space="preserve">  </w:t>
      </w:r>
      <w:r>
        <w:rPr>
          <w:rStyle w:val="DataTypeTok"/>
        </w:rPr>
        <w:t xml:space="preserve">"exception"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"TimeoutError"</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"Benefits API timed out after 5 s"</w:t>
      </w:r>
      <w:r>
        <w:br/>
      </w:r>
      <w:r>
        <w:rPr>
          <w:rStyle w:val="NormalTok"/>
        </w:rPr>
        <w:t xml:space="preserve">  </w:t>
      </w:r>
      <w:r>
        <w:rPr>
          <w:rStyle w:val="FunctionTok"/>
        </w:rPr>
        <w:t xml:space="preserve">},</w:t>
      </w:r>
      <w:r>
        <w:br/>
      </w:r>
      <w:r>
        <w:rPr>
          <w:rStyle w:val="NormalTok"/>
        </w:rPr>
        <w:t xml:space="preserve">  </w:t>
      </w:r>
      <w:r>
        <w:rPr>
          <w:rStyle w:val="DataTypeTok"/>
        </w:rPr>
        <w:t xml:space="preserve">"metrics"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"prompt_tokens"</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"completion_tokens"</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"duration_ms"</w:t>
      </w:r>
      <w:r>
        <w:rPr>
          <w:rStyle w:val="FunctionTok"/>
        </w:rPr>
        <w:t xml:space="preserve">:</w:t>
      </w:r>
      <w:r>
        <w:rPr>
          <w:rStyle w:val="NormalTok"/>
        </w:rPr>
        <w:t xml:space="preserve"> </w:t>
      </w:r>
      <w:r>
        <w:rPr>
          <w:rStyle w:val="DecValTok"/>
        </w:rPr>
        <w:t xml:space="preserve">5123</w:t>
      </w:r>
      <w:r>
        <w:rPr>
          <w:rStyle w:val="FunctionTok"/>
        </w:rPr>
        <w:t xml:space="preserve">,</w:t>
      </w:r>
      <w:r>
        <w:br/>
      </w:r>
      <w:r>
        <w:rPr>
          <w:rStyle w:val="NormalTok"/>
        </w:rPr>
        <w:t xml:space="preserve">    </w:t>
      </w:r>
      <w:r>
        <w:rPr>
          <w:rStyle w:val="DataTypeTok"/>
        </w:rPr>
        <w:t xml:space="preserve">"cost_usd"</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br/>
      </w:r>
      <w:r>
        <w:rPr>
          <w:rStyle w:val="NormalTok"/>
        </w:rPr>
        <w:t xml:space="preserve">  </w:t>
      </w:r>
      <w:r>
        <w:rPr>
          <w:rStyle w:val="DataTypeTok"/>
        </w:rPr>
        <w:t xml:space="preserve">"feedback"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"llm_score"</w:t>
      </w:r>
      <w:r>
        <w:rPr>
          <w:rStyle w:val="FunctionTok"/>
        </w:rPr>
        <w:t xml:space="preserve">:</w:t>
      </w:r>
      <w:r>
        <w:rPr>
          <w:rStyle w:val="NormalTok"/>
        </w:rPr>
        <w:t xml:space="preserve"> </w:t>
      </w:r>
      <w:r>
        <w:rPr>
          <w:rStyle w:val="FloatTok"/>
        </w:rPr>
        <w:t xml:space="preserve">0.40</w:t>
      </w:r>
      <w:r>
        <w:rPr>
          <w:rStyle w:val="FunctionTok"/>
        </w:rPr>
        <w:t xml:space="preserve">,</w:t>
      </w:r>
      <w:r>
        <w:br/>
      </w:r>
      <w:r>
        <w:rPr>
          <w:rStyle w:val="NormalTok"/>
        </w:rPr>
        <w:t xml:space="preserve">    </w:t>
      </w:r>
      <w:r>
        <w:rPr>
          <w:rStyle w:val="DataTypeTok"/>
        </w:rPr>
        <w:t xml:space="preserve">"user_rating"</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"user_comment"</w:t>
      </w:r>
      <w:r>
        <w:rPr>
          <w:rStyle w:val="FunctionTok"/>
        </w:rPr>
        <w:t xml:space="preserve">:</w:t>
      </w:r>
      <w:r>
        <w:rPr>
          <w:rStyle w:val="NormalTok"/>
        </w:rPr>
        <w:t xml:space="preserve"> </w:t>
      </w:r>
      <w:r>
        <w:rPr>
          <w:rStyle w:val="StringTok"/>
        </w:rPr>
        <w:t xml:space="preserve">"Missing plan details"</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"2025‑06‑20T14:32:08.123Z"</w:t>
      </w:r>
      <w:r>
        <w:br/>
      </w:r>
      <w:r>
        <w:rPr>
          <w:rStyle w:val="FunctionTok"/>
        </w:rPr>
        <w:t xml:space="preserve">}</w:t>
      </w:r>
    </w:p>
    <w:p>
      <w:pPr>
        <w:pStyle w:val="FirstParagraph"/>
      </w:pPr>
      <w:r>
        <w:rPr>
          <w:b/>
          <w:bCs/>
        </w:rPr>
        <w:t xml:space="preserve">Why It Matters</w:t>
      </w:r>
    </w:p>
    <w:p>
      <w:pPr>
        <w:pStyle w:val="Compact"/>
        <w:numPr>
          <w:ilvl w:val="0"/>
          <w:numId w:val="1004"/>
        </w:numPr>
      </w:pPr>
      <w:r>
        <w:t xml:space="preserve">Immutable audit: every key/value traceable</w:t>
      </w:r>
    </w:p>
    <w:p>
      <w:pPr>
        <w:pStyle w:val="Compact"/>
        <w:numPr>
          <w:ilvl w:val="0"/>
          <w:numId w:val="1004"/>
        </w:numPr>
      </w:pPr>
      <w:r>
        <w:t xml:space="preserve">Joins unnecessary—query by any field</w:t>
      </w:r>
    </w:p>
    <w:p>
      <w:pPr>
        <w:pStyle w:val="Compact"/>
        <w:numPr>
          <w:ilvl w:val="0"/>
          <w:numId w:val="1004"/>
        </w:numPr>
      </w:pPr>
      <w:r>
        <w:t xml:space="preserve">Compatible with OpenTelemetry → Dynatrace ingestion</w:t>
      </w:r>
    </w:p>
    <w:p>
      <w:pPr>
        <w:pStyle w:val="FirstParagraph"/>
      </w:pPr>
      <w:r>
        <w:rPr>
          <w:b/>
          <w:bCs/>
        </w:rPr>
        <w:t xml:space="preserve">Speaker Notes (≈5 min)</w:t>
      </w:r>
    </w:p>
    <w:p>
      <w:pPr>
        <w:pStyle w:val="BlockText"/>
      </w:pPr>
      <w:r>
        <w:t xml:space="preserve">“This schema is our lingua franca. Everything—agent, tool, feedback—becomes queryable. And because it mirrors OTLP, we can flip a switch to export into any APM.”</w:t>
      </w:r>
    </w:p>
    <w:p>
      <w:r>
        <w:pict>
          <v:rect style="width:0;height:1.5pt" o:hralign="center" o:hrstd="t" o:hr="t"/>
        </w:pict>
      </w:r>
    </w:p>
    <w:bookmarkEnd w:id="27"/>
    <w:bookmarkStart w:id="28" w:name="slide-7-metrics-insights"/>
    <w:p>
      <w:pPr>
        <w:pStyle w:val="Heading2"/>
      </w:pPr>
      <w:r>
        <w:rPr>
          <w:b/>
          <w:bCs/>
        </w:rPr>
        <w:t xml:space="preserve">Slide 7  |  Metrics &amp; Insights</w:t>
      </w:r>
    </w:p>
    <w:p>
      <w:pPr>
        <w:pStyle w:val="FirstParagraph"/>
      </w:pPr>
      <w:r>
        <w:rPr>
          <w:b/>
          <w:bCs/>
        </w:rPr>
        <w:t xml:space="preserve">Live Widgets (Sample):</w:t>
      </w:r>
    </w:p>
    <w:p>
      <w:pPr>
        <w:pStyle w:val="Compact"/>
        <w:numPr>
          <w:ilvl w:val="0"/>
          <w:numId w:val="1005"/>
        </w:numPr>
      </w:pPr>
      <w:r>
        <w:rPr>
          <w:b/>
          <w:bCs/>
        </w:rPr>
        <w:t xml:space="preserve">Requests/min:</w:t>
      </w:r>
      <w:r>
        <w:t xml:space="preserve"> ▷ 135</w:t>
      </w:r>
    </w:p>
    <w:p>
      <w:pPr>
        <w:pStyle w:val="Compact"/>
        <w:numPr>
          <w:ilvl w:val="0"/>
          <w:numId w:val="1005"/>
        </w:numPr>
      </w:pPr>
      <w:r>
        <w:rPr>
          <w:b/>
          <w:bCs/>
        </w:rPr>
        <w:t xml:space="preserve">Avg Latency:</w:t>
      </w:r>
      <w:r>
        <w:t xml:space="preserve"> ▷ 620 ms</w:t>
      </w:r>
    </w:p>
    <w:p>
      <w:pPr>
        <w:pStyle w:val="Compact"/>
        <w:numPr>
          <w:ilvl w:val="0"/>
          <w:numId w:val="1005"/>
        </w:numPr>
      </w:pPr>
      <w:r>
        <w:rPr>
          <w:b/>
          <w:bCs/>
        </w:rPr>
        <w:t xml:space="preserve">Token Usage:</w:t>
      </w:r>
      <w:r>
        <w:t xml:space="preserve"> ▷ 12 K / hr</w:t>
      </w:r>
    </w:p>
    <w:p>
      <w:pPr>
        <w:pStyle w:val="Compact"/>
        <w:numPr>
          <w:ilvl w:val="0"/>
          <w:numId w:val="1005"/>
        </w:numPr>
      </w:pPr>
      <w:r>
        <w:rPr>
          <w:b/>
          <w:bCs/>
        </w:rPr>
        <w:t xml:space="preserve">Error Rate:</w:t>
      </w:r>
      <w:r>
        <w:t xml:space="preserve"> ▷ 1.8 %</w:t>
      </w:r>
    </w:p>
    <w:p>
      <w:pPr>
        <w:pStyle w:val="Compact"/>
        <w:numPr>
          <w:ilvl w:val="0"/>
          <w:numId w:val="1005"/>
        </w:numPr>
      </w:pPr>
      <w:r>
        <w:rPr>
          <w:b/>
          <w:bCs/>
        </w:rPr>
        <w:t xml:space="preserve">Avg User Rating:</w:t>
      </w:r>
      <w:r>
        <w:t xml:space="preserve"> ▷ 4.3 / 5</w:t>
      </w:r>
    </w:p>
    <w:p>
      <w:pPr>
        <w:pStyle w:val="FirstParagraph"/>
      </w:pPr>
      <w:r>
        <w:rPr>
          <w:b/>
          <w:bCs/>
        </w:rPr>
        <w:t xml:space="preserve">Alert Examples:</w:t>
      </w:r>
    </w:p>
    <w:p>
      <w:pPr>
        <w:pStyle w:val="Compact"/>
        <w:numPr>
          <w:ilvl w:val="0"/>
          <w:numId w:val="1006"/>
        </w:numPr>
      </w:pPr>
      <w:r>
        <w:t xml:space="preserve">Error Rate ≥ 3 % over 5 min → Slack #ops</w:t>
      </w:r>
    </w:p>
    <w:p>
      <w:pPr>
        <w:pStyle w:val="Compact"/>
        <w:numPr>
          <w:ilvl w:val="0"/>
          <w:numId w:val="1006"/>
        </w:numPr>
      </w:pPr>
      <w:r>
        <w:t xml:space="preserve">Avg Latency ≥ 1 s for Plan Agent → PagerDuty Tier 2</w:t>
      </w:r>
    </w:p>
    <w:p>
      <w:pPr>
        <w:pStyle w:val="FirstParagraph"/>
      </w:pPr>
      <w:r>
        <w:rPr>
          <w:b/>
          <w:bCs/>
        </w:rPr>
        <w:t xml:space="preserve">Speaker Notes (≈4 min)</w:t>
      </w:r>
    </w:p>
    <w:p>
      <w:pPr>
        <w:pStyle w:val="BlockText"/>
      </w:pPr>
      <w:r>
        <w:t xml:space="preserve">“Metrics surface the big picture; alerts zero in on action. By coupling logs and Dynatrace metrics, we can answer</w:t>
      </w:r>
      <w:r>
        <w:t xml:space="preserve"> </w:t>
      </w:r>
      <w:r>
        <w:t xml:space="preserve">‘is this latency spike code or Kubernetes?’</w:t>
      </w:r>
      <w:r>
        <w:t xml:space="preserve"> </w:t>
      </w:r>
      <w:r>
        <w:t xml:space="preserve">in seconds.”</w:t>
      </w:r>
    </w:p>
    <w:p>
      <w:r>
        <w:pict>
          <v:rect style="width:0;height:1.5pt" o:hralign="center" o:hrstd="t" o:hr="t"/>
        </w:pict>
      </w:r>
    </w:p>
    <w:bookmarkEnd w:id="28"/>
    <w:bookmarkStart w:id="29" w:name="slide-8-roadmap-call-to-action"/>
    <w:p>
      <w:pPr>
        <w:pStyle w:val="Heading2"/>
      </w:pPr>
      <w:r>
        <w:rPr>
          <w:b/>
          <w:bCs/>
        </w:rPr>
        <w:t xml:space="preserve">Slide 8  |  Roadmap &amp; Call to Action</w:t>
      </w:r>
    </w:p>
    <w:p>
      <w:pPr>
        <w:pStyle w:val="Compact"/>
        <w:numPr>
          <w:ilvl w:val="0"/>
          <w:numId w:val="1007"/>
        </w:numPr>
      </w:pPr>
      <w:r>
        <w:rPr>
          <w:b/>
          <w:bCs/>
        </w:rPr>
        <w:t xml:space="preserve">Q3 2025</w:t>
      </w:r>
      <w:r>
        <w:t xml:space="preserve"> – Migrate to OTLP Collector; add per‑tenant RBAC dashboards</w:t>
      </w:r>
    </w:p>
    <w:p>
      <w:pPr>
        <w:pStyle w:val="Compact"/>
        <w:numPr>
          <w:ilvl w:val="0"/>
          <w:numId w:val="1007"/>
        </w:numPr>
      </w:pPr>
      <w:r>
        <w:rPr>
          <w:b/>
          <w:bCs/>
        </w:rPr>
        <w:t xml:space="preserve">Q4 2025</w:t>
      </w:r>
      <w:r>
        <w:t xml:space="preserve"> – Anomaly detection via WhyLabs; SLA alert integration</w:t>
      </w:r>
    </w:p>
    <w:p>
      <w:pPr>
        <w:pStyle w:val="Compact"/>
        <w:numPr>
          <w:ilvl w:val="0"/>
          <w:numId w:val="1007"/>
        </w:numPr>
      </w:pPr>
      <w:r>
        <w:rPr>
          <w:b/>
          <w:bCs/>
        </w:rPr>
        <w:t xml:space="preserve">Q1 2026</w:t>
      </w:r>
      <w:r>
        <w:t xml:space="preserve"> – Automated remediation (scale agents, retry jitter)</w:t>
      </w:r>
    </w:p>
    <w:p>
      <w:pPr>
        <w:pStyle w:val="Compact"/>
        <w:numPr>
          <w:ilvl w:val="0"/>
          <w:numId w:val="1007"/>
        </w:numPr>
      </w:pPr>
      <w:r>
        <w:rPr>
          <w:b/>
          <w:bCs/>
        </w:rPr>
        <w:t xml:space="preserve">Get Involved:</w:t>
      </w:r>
    </w:p>
    <w:p>
      <w:pPr>
        <w:pStyle w:val="Compact"/>
        <w:numPr>
          <w:ilvl w:val="1"/>
          <w:numId w:val="1008"/>
        </w:numPr>
      </w:pPr>
      <w:r>
        <w:t xml:space="preserve">Developers: instrument agents with new schema helpers</w:t>
      </w:r>
    </w:p>
    <w:p>
      <w:pPr>
        <w:pStyle w:val="Compact"/>
        <w:numPr>
          <w:ilvl w:val="1"/>
          <w:numId w:val="1008"/>
        </w:numPr>
      </w:pPr>
      <w:r>
        <w:t xml:space="preserve">Ops: define alert thresholds</w:t>
      </w:r>
    </w:p>
    <w:p>
      <w:pPr>
        <w:pStyle w:val="Compact"/>
        <w:numPr>
          <w:ilvl w:val="1"/>
          <w:numId w:val="1008"/>
        </w:numPr>
      </w:pPr>
      <w:r>
        <w:t xml:space="preserve">Product: propose feedback heuristics</w:t>
      </w:r>
    </w:p>
    <w:p>
      <w:pPr>
        <w:pStyle w:val="FirstParagraph"/>
      </w:pPr>
      <w:r>
        <w:rPr>
          <w:b/>
          <w:bCs/>
        </w:rPr>
        <w:t xml:space="preserve">Speaker Notes (≈4 min)</w:t>
      </w:r>
    </w:p>
    <w:p>
      <w:pPr>
        <w:pStyle w:val="BlockText"/>
      </w:pPr>
      <w:r>
        <w:t xml:space="preserve">“Success hinges on cross‑team adoption. Whether you write code, triage tickets, or own product KPIs, there’s a hook for you to contribute.”</w:t>
      </w:r>
    </w:p>
    <w:p>
      <w:r>
        <w:pict>
          <v:rect style="width:0;height:1.5pt" o:hralign="center" o:hrstd="t" o:hr="t"/>
        </w:pict>
      </w:r>
    </w:p>
    <w:bookmarkEnd w:id="29"/>
    <w:bookmarkStart w:id="31" w:name="slide-9-qa"/>
    <w:p>
      <w:pPr>
        <w:pStyle w:val="Heading2"/>
      </w:pPr>
      <w:r>
        <w:rPr>
          <w:b/>
          <w:bCs/>
        </w:rPr>
        <w:t xml:space="preserve">Slide 9  |  Q&amp;A</w:t>
      </w:r>
    </w:p>
    <w:p>
      <w:pPr>
        <w:pStyle w:val="FirstParagraph"/>
      </w:pPr>
      <w:r>
        <w:rPr>
          <w:b/>
          <w:bCs/>
        </w:rPr>
        <w:t xml:space="preserve">Thank You!</w:t>
      </w:r>
      <w:r>
        <w:br/>
      </w:r>
      <w:r>
        <w:t xml:space="preserve">Contact:</w:t>
      </w:r>
      <w:r>
        <w:t xml:space="preserve"> </w:t>
      </w:r>
      <w:hyperlink r:id="rId30">
        <w:r>
          <w:rPr>
            <w:rStyle w:val="Hyperlink"/>
          </w:rPr>
          <w:t xml:space="preserve">genoj.mathew@lingoai.com</w:t>
        </w:r>
      </w:hyperlink>
    </w:p>
    <w:p>
      <w:pPr>
        <w:pStyle w:val="BodyText"/>
      </w:pPr>
      <w:r>
        <w:rPr>
          <w:b/>
          <w:bCs/>
        </w:rPr>
        <w:t xml:space="preserve">Speaker Notes (3–5 min)</w:t>
      </w:r>
    </w:p>
    <w:p>
      <w:pPr>
        <w:pStyle w:val="BlockText"/>
      </w:pPr>
      <w:r>
        <w:t xml:space="preserve">“Happy to dig deeper on any component.”</w:t>
      </w:r>
    </w:p>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mailto:genoj.mathew@lingoai.com" TargetMode="External" /></Relationships>
</file>

<file path=word/_rels/footnotes.xml.rels><?xml version="1.0" encoding="UTF-8"?><Relationships xmlns="http://schemas.openxmlformats.org/package/2006/relationships"><Relationship Type="http://schemas.openxmlformats.org/officeDocument/2006/relationships/hyperlink" Id="rId30" Target="mailto:genoj.mathew@lingoa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2025-06-20T15:03:41Z</dcterms:created>
  <dcterms:modified xsi:type="dcterms:W3CDTF">2025-06-20T15:03:41Z</dcterms:modified>
</cp:coreProperties>
</file>

<file path=docProps/custom.xml><?xml version="1.0" encoding="utf-8"?>
<Properties xmlns="http://schemas.openxmlformats.org/officeDocument/2006/custom-properties" xmlns:vt="http://schemas.openxmlformats.org/officeDocument/2006/docPropsVTypes"/>
</file>