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 strongly recommend moving forward with reinitiating the visa process for Achint due to his critical role in the successful execution of several strategic AI and platform modernization initiatives.</w:t>
      </w:r>
    </w:p>
    <w:p>
      <w:pPr>
        <w:pStyle w:val="BodyText"/>
      </w:pPr>
      <w:r>
        <w:t xml:space="preserve">Achint serves as the primary on-site leader coordinating efforts between our U.S.-based business and technology stakeholders and our India-based engineering teams. He possesses deep knowledge of the Lingo platform, enterprise AI architecture, MCP-based integrations, Agent Registry capabilities, and our broader modernization roadmap. His responsibilities extend beyond technical delivery and include stakeholder alignment, requirements refinement, solution design, and cross-functional execution.</w:t>
      </w:r>
    </w:p>
    <w:p>
      <w:pPr>
        <w:pStyle w:val="BodyText"/>
      </w:pPr>
      <w:r>
        <w:t xml:space="preserve">In addition, Achint is playing a key role in our migration initiatives from on-premises environments to public cloud platforms, working closely with business leaders, architects, engineering teams, and enterprise partners. His ability to bridge business objectives and technical implementation has been instrumental in maintaining delivery momentum across multiple strategic workstreams.</w:t>
      </w:r>
    </w:p>
    <w:p>
      <w:pPr>
        <w:pStyle w:val="BodyText"/>
      </w:pPr>
      <w:r>
        <w:t xml:space="preserve">As we approach the upcoming peak-season preparation period, several AI-driven capabilities and platform enhancements must be delivered and operationalized before the September–October timeframe. Achint’s leadership, domain expertise, and established relationships across teams are essential to ensuring timely execution, reducing delivery risk, and maintaining continuity across both U.S. and offshore teams.</w:t>
      </w:r>
    </w:p>
    <w:p>
      <w:pPr>
        <w:pStyle w:val="BodyText"/>
      </w:pPr>
      <w:r>
        <w:t xml:space="preserve">Given his specialized knowledge, leadership responsibilities, and significant contributions to enterprise AI initiatives, I believe Achint’s continued involvement is important to the success of our roadmap and strongly support moving forward with the visa process.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2026-06-05T18:44:20Z</dcterms:created>
  <dcterms:modified xsi:type="dcterms:W3CDTF">2026-06-05T18:44:20Z</dcterms:modified>
</cp:coreProperties>
</file>

<file path=docProps/custom.xml><?xml version="1.0" encoding="utf-8"?>
<Properties xmlns="http://schemas.openxmlformats.org/officeDocument/2006/custom-properties" xmlns:vt="http://schemas.openxmlformats.org/officeDocument/2006/docPropsVTypes"/>
</file>