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DATA. Invented parties and terms. Not a real agreement and not a template.</w:t>
      </w:r>
    </w:p>
    <w:p/>
    <w:p>
      <w:r>
        <w:t>FREIGHT SERVICES AGREEMENT (DEMO)</w:t>
      </w:r>
    </w:p>
    <w:p/>
    <w:p>
      <w:r>
        <w:t>This Agreement is made as of 1 March 2025 between Bluebonnet Logistics LLC, a Texas</w:t>
      </w:r>
    </w:p>
    <w:p>
      <w:r>
        <w:t>limited liability company ("Shipper"), and Nordvale Freight Co. ("Carrier").</w:t>
      </w:r>
    </w:p>
    <w:p/>
    <w:p>
      <w:r>
        <w:t>1. SERVICES. Carrier shall transport Shipper's goods between the points listed in</w:t>
      </w:r>
    </w:p>
    <w:p>
      <w:r>
        <w:t xml:space="preserve">   Schedule A, on the schedule set out there.</w:t>
      </w:r>
    </w:p>
    <w:p/>
    <w:p>
      <w:r>
        <w:t>2. RATES. Shipper shall pay the rates in Schedule B. Rates may be adjusted once per</w:t>
      </w:r>
    </w:p>
    <w:p>
      <w:r>
        <w:t xml:space="preserve">   calendar year on sixty days' written notice.</w:t>
      </w:r>
    </w:p>
    <w:p/>
    <w:p>
      <w:r>
        <w:t>3. TERM. This Agreement runs for twenty-four months from the date above and renews for</w:t>
      </w:r>
    </w:p>
    <w:p>
      <w:r>
        <w:t xml:space="preserve">   successive twelve-month terms unless either party gives ninety days' written notice.</w:t>
      </w:r>
    </w:p>
    <w:p/>
    <w:p>
      <w:r>
        <w:t>4. INSURANCE. Carrier shall maintain commercial auto liability coverage of not less than</w:t>
      </w:r>
    </w:p>
    <w:p>
      <w:r>
        <w:t xml:space="preserve">   $1,000,000 per occurrence and shall name Shipper as an additional insured.</w:t>
      </w:r>
    </w:p>
    <w:p/>
    <w:p>
      <w:r>
        <w:t>5. INDEMNITY. Carrier shall indemnify and hold Shipper harmless from claims arising out</w:t>
      </w:r>
    </w:p>
    <w:p>
      <w:r>
        <w:t xml:space="preserve">   of Carrier's negligence in the performance of this Agreement, excluding claims arising</w:t>
      </w:r>
    </w:p>
    <w:p>
      <w:r>
        <w:t xml:space="preserve">   from Shipper's own negligence.</w:t>
      </w:r>
    </w:p>
    <w:p/>
    <w:p>
      <w:r>
        <w:t>6. DRIVER QUALIFICATION. Carrier warrants that every driver operating under this</w:t>
      </w:r>
    </w:p>
    <w:p>
      <w:r>
        <w:t xml:space="preserve">   Agreement holds a current commercial licence and complies with all applicable</w:t>
      </w:r>
    </w:p>
    <w:p>
      <w:r>
        <w:t xml:space="preserve">   hours-of-service regulations. Carrier shall retain records of compliance for the</w:t>
      </w:r>
    </w:p>
    <w:p>
      <w:r>
        <w:t xml:space="preserve">   period required by law and produce them to Shipper on reasonable request.</w:t>
      </w:r>
    </w:p>
    <w:p/>
    <w:p>
      <w:r>
        <w:t>7. LIMITATION OF LIABILITY. Neither party is liable for consequential damages, except</w:t>
      </w:r>
    </w:p>
    <w:p>
      <w:r>
        <w:t xml:space="preserve">   that this clause does not limit either party's indemnity obligations under Section 5.</w:t>
      </w:r>
    </w:p>
    <w:p/>
    <w:p>
      <w:r>
        <w:t>8. GOVERNING LAW. Texas law governs, without regard to its conflict of laws rules.</w:t>
      </w:r>
    </w:p>
    <w:p/>
    <w:p>
      <w:r>
        <w:t>9. DISPUTES. The parties shall attempt mediation in good faith before filing suit.</w:t>
      </w:r>
    </w:p>
    <w:p/>
    <w:p>
      <w:r>
        <w:t>BLUEBONNET LOGISTICS LLC          NORDVALE FREIGHT CO.</w:t>
      </w:r>
    </w:p>
    <w:p>
      <w:r>
        <w:t>By: ______________________        By: ______________________</w:t>
      </w:r>
    </w:p>
    <w:p>
      <w:r>
        <w:t>Name: Teodora Vance               Name: Harold T. Brinkman</w:t>
      </w:r>
    </w:p>
    <w:p>
      <w:r>
        <w:t>Title: Managing Member            Title: Operations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