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B3A5C"/>
          <w:sz w:val="44"/>
          <w:szCs w:val="44"/>
        </w:rPr>
        <w:t xml:space="preserve">PRD, SDD e Contratos</w:t>
      </w:r>
    </w:p>
    <w:p>
      <w:pPr>
        <w:spacing w:after="60"/>
        <w:jc w:val="center"/>
      </w:pPr>
      <w:r>
        <w:rPr>
          <w:i/>
          <w:iCs/>
          <w:color w:val="555555"/>
          <w:sz w:val="24"/>
          <w:szCs w:val="24"/>
        </w:rPr>
        <w:t xml:space="preserve">Metodologias, gargalos clássicos e colagem de features</w:t>
      </w:r>
    </w:p>
    <w:p>
      <w:pPr>
        <w:spacing w:after="500"/>
        <w:jc w:val="center"/>
      </w:pPr>
      <w:r>
        <w:rPr>
          <w:color w:val="555555"/>
          <w:sz w:val="19"/>
          <w:szCs w:val="19"/>
        </w:rPr>
        <w:t xml:space="preserve">Resumo consolidado — trecho [1:54:47 – 2:31:00] de "Engenharia de Software com IA: Da Teoria à Prática com Skills, MCPs e Harnesses"</w:t>
      </w:r>
    </w:p>
    <w:p>
      <w:pPr>
        <w:pStyle w:val="Heading1"/>
        <w:pBdr>
          <w:bottom w:val="single" w:color="2E5B8C" w:sz="6" w:space="4"/>
        </w:pBdr>
        <w:spacing w:after="200" w:before="400"/>
      </w:pPr>
      <w:r>
        <w:rPr>
          <w:b/>
          <w:bCs/>
          <w:color w:val="1B3A5C"/>
          <w:sz w:val="32"/>
          <w:szCs w:val="32"/>
        </w:rPr>
        <w:t xml:space="preserve">1. Contexto do capítulo</w:t>
      </w:r>
    </w:p>
    <w:p>
      <w:pPr>
        <w:spacing w:after="160" w:line="300"/>
      </w:pPr>
      <w:r>
        <w:rPr>
          <w:sz w:val="22"/>
          <w:szCs w:val="22"/>
        </w:rPr>
        <w:t xml:space="preserve">Este trecho do vídeo aprofunda o SDD (Spec Driven Development), desmistificando sua função e seus limites. É apresentado um workflow a partir do PRD (Product Requirement Document), no qual a especificação se torna a fonte primária e contratos de comportamento balizam a implementação e a avaliação.</w:t>
      </w:r>
    </w:p>
    <w:p>
      <w:pPr>
        <w:spacing w:after="160" w:line="300"/>
      </w:pPr>
      <w:r>
        <w:rPr>
          <w:sz w:val="22"/>
          <w:szCs w:val="22"/>
        </w:rPr>
        <w:t xml:space="preserve">A construção do PRD é feita a partir de entrevistas inteligentes via skills, agregando requisitos de negócio, oportunidades, personas, métricas de sucesso e, principalmente, dependências entre features e suas execuções em paralelo ("waves").</w:t>
      </w:r>
    </w:p>
    <w:p>
      <w:pPr>
        <w:spacing w:after="160" w:line="300"/>
      </w:pPr>
      <w:r>
        <w:rPr>
          <w:sz w:val="22"/>
          <w:szCs w:val="22"/>
        </w:rPr>
        <w:t xml:space="preserve">O capítulo usa exemplos de uma plataforma real (sistema Videomax) para mostrar como histórias de usuário, escopo e critérios de aceitação se ligam diretamente às features e aos contratos, promovendo rastreabilidade e testabilidade granular do produto. É explicado o problema clássico das features que não "grudam", propondo o conceito de "provedor e consumidor" e a importância de contratos bem construídos para a coesão do sistema.</w:t>
      </w:r>
    </w:p>
    <w:p>
      <w:pPr>
        <w:pStyle w:val="Heading1"/>
        <w:pBdr>
          <w:bottom w:val="single" w:color="2E5B8C" w:sz="6" w:space="4"/>
        </w:pBdr>
        <w:spacing w:after="200" w:before="400"/>
      </w:pPr>
      <w:r>
        <w:rPr>
          <w:b/>
          <w:bCs/>
          <w:color w:val="1B3A5C"/>
          <w:sz w:val="32"/>
          <w:szCs w:val="32"/>
        </w:rPr>
        <w:t xml:space="preserve">2. O fluxo básico do SDD</w:t>
      </w:r>
    </w:p>
    <w:p>
      <w:pPr>
        <w:spacing w:after="160" w:line="300"/>
      </w:pPr>
      <w:r>
        <w:rPr>
          <w:sz w:val="22"/>
          <w:szCs w:val="22"/>
        </w:rPr>
        <w:t xml:space="preserve">O ponto de partida é um fluxo linear que vai do documento de produto até o código gerado por um agente:</w:t>
      </w:r>
    </w:p>
    <w:p>
      <w:pPr>
        <w:spacing w:after="80" w:before="120"/>
        <w:jc w:val="center"/>
      </w:pPr>
      <w:r>
        <w:drawing>
          <wp:inline distT="0" distB="0" distL="0" distR="0">
            <wp:extent cx="4572000" cy="2771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19"/>
          <w:szCs w:val="19"/>
        </w:rPr>
        <w:t xml:space="preserve">Fluxo básico de trabalho com SDD — do PRD até a implementação da feature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PRD (Product Requirement Document): visão do produto, objetivos, requisitos e contexto geral.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Features: cada feature nasce do PRD, é uma unidade de entrega com escopo claro.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Artefatos da feature: spec.md (especificação técnica) e plan.md (plano de ação) — cada feature possui os dois, servindo de base para a implementação.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Agente implementador: lê o PRD, o spec.md e o plan.md da feature, e gera o código a partir desse contexto.</w:t>
      </w:r>
    </w:p>
    <w:tbl>
      <w:tblPr>
        <w:tblW w:type="pct" w:w="100%"/>
        <w:tblBorders>
          <w:top w:val="single" w:color="2E5B8C" w:sz="4"/>
          <w:left w:val="single" w:color="2E5B8C" w:sz="4"/>
          <w:bottom w:val="single" w:color="2E5B8C" w:sz="4"/>
          <w:right w:val="single" w:color="2E5B8C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AF1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B3A5C"/>
                <w:sz w:val="22"/>
                <w:szCs w:val="22"/>
              </w:rPr>
              <w:t xml:space="preserve">Ideia central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 w:line="280"/>
            </w:pPr>
            <w:r>
              <w:rPr>
                <w:sz w:val="22"/>
                <w:szCs w:val="22"/>
              </w:rPr>
              <w:t xml:space="preserve">O PRD orienta o produto.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 w:line="280"/>
            </w:pPr>
            <w:r>
              <w:rPr>
                <w:sz w:val="22"/>
                <w:szCs w:val="22"/>
              </w:rPr>
              <w:t xml:space="preserve">Cada feature possui spec.md e plan.md.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 w:line="280"/>
            </w:pPr>
            <w:r>
              <w:rPr>
                <w:sz w:val="22"/>
                <w:szCs w:val="22"/>
              </w:rPr>
              <w:t xml:space="preserve">O agente implementa a feature com base nesses artefatos.</w:t>
            </w:r>
          </w:p>
        </w:tc>
      </w:tr>
    </w:tbl>
    <w:p>
      <w:pPr>
        <w:pStyle w:val="Heading1"/>
        <w:pBdr>
          <w:bottom w:val="single" w:color="2E5B8C" w:sz="6" w:space="4"/>
        </w:pBdr>
        <w:spacing w:after="200" w:before="400"/>
      </w:pPr>
      <w:r>
        <w:rPr>
          <w:b/>
          <w:bCs/>
          <w:color w:val="1B3A5C"/>
          <w:sz w:val="32"/>
          <w:szCs w:val="32"/>
        </w:rPr>
        <w:t xml:space="preserve">3. O problema: features que não se "grudam"</w:t>
      </w:r>
    </w:p>
    <w:p>
      <w:pPr>
        <w:spacing w:after="160" w:line="300"/>
      </w:pPr>
      <w:r>
        <w:rPr>
          <w:sz w:val="22"/>
          <w:szCs w:val="22"/>
        </w:rPr>
        <w:t xml:space="preserve">Esse fluxo básico resolve a implementação de cada feature isoladamente, mas expõe um gargalo clássico: specs isoladas geram funcionalidades que funcionam sozinhas, mas não se conectam bem entre si.</w:t>
      </w:r>
    </w:p>
    <w:p>
      <w:pPr>
        <w:spacing w:after="80" w:before="120"/>
        <w:jc w:val="center"/>
      </w:pPr>
      <w:r>
        <w:drawing>
          <wp:inline distT="0" distB="0" distL="0" distR="0">
            <wp:extent cx="4572000" cy="3533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19"/>
          <w:szCs w:val="19"/>
        </w:rPr>
        <w:t xml:space="preserve">Problema: features não se grudam</w:t>
      </w:r>
    </w:p>
    <w:p>
      <w:pPr>
        <w:spacing w:after="160" w:line="300"/>
      </w:pPr>
      <w:r>
        <w:rPr>
          <w:sz w:val="22"/>
          <w:szCs w:val="22"/>
        </w:rPr>
        <w:t xml:space="preserve">Exemplos citados no diagrama: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F01 Login funciona, mas não redireciona para F02 Dashboard após o login.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F03 Criar tarefa funciona, mas a tarefa não aparece no F04 Quadro Kanban.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F05 Drag &amp; Drop move o card visualmente, mas o status não persiste.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Comentários existem, mas não entram no activity feed.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A busca existe, mas não indexa novas tarefas.</w:t>
      </w:r>
    </w:p>
    <w:p>
      <w:pPr>
        <w:spacing w:after="160" w:line="300"/>
      </w:pPr>
      <w:r>
        <w:rPr>
          <w:sz w:val="22"/>
          <w:szCs w:val="22"/>
        </w:rPr>
        <w:t xml:space="preserve">O diagnóstico central: cada spec foi feita isoladamente, faltam contratos entre features, e ninguém definiu explicitamente o que cada uma provê e consome.</w:t>
      </w:r>
    </w:p>
    <w:tbl>
      <w:tblPr>
        <w:tblW w:type="pct" w:w="100%"/>
        <w:tblBorders>
          <w:top w:val="single" w:color="2E5B8C" w:sz="4"/>
          <w:left w:val="single" w:color="2E5B8C" w:sz="4"/>
          <w:bottom w:val="single" w:color="2E5B8C" w:sz="4"/>
          <w:right w:val="single" w:color="2E5B8C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AF1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B3A5C"/>
                <w:sz w:val="22"/>
                <w:szCs w:val="22"/>
              </w:rPr>
              <w:t xml:space="preserve">Consequência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 w:line="280"/>
            </w:pPr>
            <w:r>
              <w:rPr>
                <w:sz w:val="22"/>
                <w:szCs w:val="22"/>
              </w:rPr>
              <w:t xml:space="preserve">Fluxo quebrado para o usuário.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 w:line="280"/>
            </w:pPr>
            <w:r>
              <w:rPr>
                <w:sz w:val="22"/>
                <w:szCs w:val="22"/>
              </w:rPr>
              <w:t xml:space="preserve">Integrações incompletas.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 w:line="280"/>
            </w:pPr>
            <w:r>
              <w:rPr>
                <w:sz w:val="22"/>
                <w:szCs w:val="22"/>
              </w:rPr>
              <w:t xml:space="preserve">Mais retrabalho depois.</w:t>
            </w:r>
          </w:p>
        </w:tc>
      </w:tr>
    </w:tbl>
    <w:p>
      <w:pPr>
        <w:pStyle w:val="Heading1"/>
        <w:pBdr>
          <w:bottom w:val="single" w:color="2E5B8C" w:sz="6" w:space="4"/>
        </w:pBdr>
        <w:spacing w:after="200" w:before="400"/>
      </w:pPr>
      <w:r>
        <w:rPr>
          <w:b/>
          <w:bCs/>
          <w:color w:val="1B3A5C"/>
          <w:sz w:val="32"/>
          <w:szCs w:val="32"/>
        </w:rPr>
        <w:t xml:space="preserve">4. A solução: dependências explícitas geradas pelo PRD</w:t>
      </w:r>
    </w:p>
    <w:p>
      <w:pPr>
        <w:spacing w:after="160" w:line="300"/>
      </w:pPr>
      <w:r>
        <w:rPr>
          <w:sz w:val="22"/>
          <w:szCs w:val="22"/>
        </w:rPr>
        <w:t xml:space="preserve">A resposta ao problema é tornar o PRD a fonte única da verdade, gerando specs que já definem o que cada feature provê e consome — deixando explícito o que pode ser feito em paralelo.</w:t>
      </w:r>
    </w:p>
    <w:p>
      <w:pPr>
        <w:spacing w:after="80" w:before="120"/>
        <w:jc w:val="center"/>
      </w:pPr>
      <w:r>
        <w:drawing>
          <wp:inline distT="0" distB="0" distL="0" distR="0">
            <wp:extent cx="4000500" cy="4324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19"/>
          <w:szCs w:val="19"/>
        </w:rPr>
        <w:t xml:space="preserve">Fluxo de dependências entre features gerado pelo PRD</w:t>
      </w:r>
    </w:p>
    <w:p>
      <w:pPr>
        <w:spacing w:after="160" w:line="300"/>
      </w:pPr>
      <w:r>
        <w:rPr>
          <w:sz w:val="22"/>
          <w:szCs w:val="22"/>
        </w:rPr>
        <w:t xml:space="preserve">No exemplo do diagrama: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F01 Auth provê "usuário autenticado" (não consome nada).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F02 Boards &amp; Columns consome "usuário autenticado" e provê "board + colunas".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F03 Task Cards consome "board + colunas" e provê "cards + metadados".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A partir daí, F04 Kanban Drag &amp; Drop, F05 Comments &amp; Activity e F06 Filters &amp; Search consomem "cards + colunas"/"cards + metadados" e podem ser implementadas em paralelo, pois suas dependências já estão mapeadas.</w:t>
      </w:r>
    </w:p>
    <w:tbl>
      <w:tblPr>
        <w:tblW w:type="pct" w:w="100%"/>
        <w:tblBorders>
          <w:top w:val="single" w:color="2E5B8C" w:sz="4"/>
          <w:left w:val="single" w:color="2E5B8C" w:sz="4"/>
          <w:bottom w:val="single" w:color="2E5B8C" w:sz="4"/>
          <w:right w:val="single" w:color="2E5B8C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AF1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B3A5C"/>
                <w:sz w:val="22"/>
                <w:szCs w:val="22"/>
              </w:rPr>
              <w:t xml:space="preserve">Ideia central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 w:line="280"/>
            </w:pPr>
            <w:r>
              <w:rPr>
                <w:sz w:val="22"/>
                <w:szCs w:val="22"/>
              </w:rPr>
              <w:t xml:space="preserve">O PRD cria dependências intencionais.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 w:line="280"/>
            </w:pPr>
            <w:r>
              <w:rPr>
                <w:sz w:val="22"/>
                <w:szCs w:val="22"/>
              </w:rPr>
              <w:t xml:space="preserve">Explicita o que cada feature provê e consome.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 w:line="280"/>
            </w:pPr>
            <w:r>
              <w:rPr>
                <w:sz w:val="22"/>
                <w:szCs w:val="22"/>
              </w:rPr>
              <w:t xml:space="preserve">Mostra o que pode ser feito em paralelo.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 w:line="280"/>
            </w:pPr>
            <w:r>
              <w:rPr>
                <w:sz w:val="22"/>
                <w:szCs w:val="22"/>
              </w:rPr>
              <w:t xml:space="preserve">Evita buracos entre features.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B8C" w:sz="6" w:space="4"/>
        </w:pBdr>
        <w:spacing w:after="200" w:before="400"/>
      </w:pPr>
      <w:r>
        <w:rPr>
          <w:b/>
          <w:bCs/>
          <w:color w:val="1B3A5C"/>
          <w:sz w:val="32"/>
          <w:szCs w:val="32"/>
        </w:rPr>
        <w:t xml:space="preserve">5. A peça que fecha o ciclo: o contract.md</w:t>
      </w:r>
    </w:p>
    <w:p>
      <w:pPr>
        <w:spacing w:after="160" w:line="300"/>
      </w:pPr>
      <w:r>
        <w:rPr>
          <w:sz w:val="22"/>
          <w:szCs w:val="22"/>
        </w:rPr>
        <w:t xml:space="preserve">O fluxo maduro do SDD acrescenta um terceiro artefato a cada feature, além de plan.md e spec.md: o contract.md — o acordo explícito de como a feature se comunica com o resto do sistema (entradas, saídas, regras, eventos e critérios de aceitação).</w:t>
      </w:r>
    </w:p>
    <w:p>
      <w:pPr>
        <w:spacing w:after="80" w:before="120"/>
        <w:jc w:val="center"/>
      </w:pPr>
      <w:r>
        <w:drawing>
          <wp:inline distT="0" distB="0" distL="0" distR="0">
            <wp:extent cx="4572000" cy="2619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19"/>
          <w:szCs w:val="19"/>
        </w:rPr>
        <w:t xml:space="preserve">SDD: cada feature com seu próprio contrato</w:t>
      </w:r>
    </w:p>
    <w:p>
      <w:pPr>
        <w:spacing w:after="160" w:line="300"/>
      </w:pPr>
      <w:r>
        <w:rPr>
          <w:sz w:val="22"/>
          <w:szCs w:val="22"/>
        </w:rPr>
        <w:t xml:space="preserve">A ordem de trabalho fica assim: primeiro criam-se as features de forma coesa e completa, cada uma com seu próprio contexto, regras, critérios e contrato; depois mapeiam-se as dependências entre elas.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100"/>
        <w:gridCol w:w="100"/>
      </w:tblGrid>
      <w:tr>
        <w:tc>
          <w:tcPr>
            <w:tcW w:type="pct" w:w="25%"/>
            <w:shd w:fill="2E5B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Artefato</w:t>
            </w:r>
          </w:p>
        </w:tc>
        <w:tc>
          <w:tcPr>
            <w:tcW w:type="pct" w:w="75%"/>
            <w:shd w:fill="2E5B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plan.md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Plano de ação da feature: o que será feito e por quê.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spec.md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Especificação técnica: detalhes de implementação e comportamento esperado.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contract.md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Contrato da feature: acordo explícito de como ela se comunica com o mundo (entradas, saídas, regras, eventos e critérios de aceitação).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2E5B8C" w:sz="4"/>
          <w:left w:val="single" w:color="2E5B8C" w:sz="4"/>
          <w:bottom w:val="single" w:color="2E5B8C" w:sz="4"/>
          <w:right w:val="single" w:color="2E5B8C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AF1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B3A5C"/>
                <w:sz w:val="22"/>
                <w:szCs w:val="22"/>
              </w:rPr>
              <w:t xml:space="preserve">Conclusão do capítulo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 w:line="280"/>
            </w:pPr>
            <w:r>
              <w:rPr>
                <w:sz w:val="22"/>
                <w:szCs w:val="22"/>
              </w:rPr>
              <w:t xml:space="preserve">Sem contracts, features podem até existir isoladas, mas não se integram.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 w:line="280"/>
            </w:pPr>
            <w:r>
              <w:rPr>
                <w:sz w:val="22"/>
                <w:szCs w:val="22"/>
              </w:rPr>
              <w:t xml:space="preserve">Com SDD completo (plan + spec + contract), o resultado é: menos buracos, menos retrabalho e integrações muito mais previsíveis.</w:t>
            </w:r>
          </w:p>
        </w:tc>
      </w:tr>
    </w:tbl>
    <w:p>
      <w:pPr>
        <w:pStyle w:val="Heading1"/>
        <w:pBdr>
          <w:bottom w:val="single" w:color="2E5B8C" w:sz="6" w:space="4"/>
        </w:pBdr>
        <w:spacing w:after="200" w:before="400"/>
      </w:pPr>
      <w:r>
        <w:rPr>
          <w:b/>
          <w:bCs/>
          <w:color w:val="1B3A5C"/>
          <w:sz w:val="32"/>
          <w:szCs w:val="32"/>
        </w:rPr>
        <w:t xml:space="preserve">6. Síntese: a evolução do método</w:t>
      </w:r>
    </w:p>
    <w:p>
      <w:pPr>
        <w:spacing w:after="160" w:line="300"/>
      </w:pPr>
      <w:r>
        <w:rPr>
          <w:sz w:val="22"/>
          <w:szCs w:val="22"/>
        </w:rPr>
        <w:t xml:space="preserve">As quatro imagens contam, em conjunto, a evolução do SDD dentro do vídeo — do modelo "ingênuo" (apenas spec.md + plan.md) para o modelo maduro (spec.md + plan.md + contract.md, com dependências explicitadas já no PRD):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Fluxo básico → PRD gera features → cada feature ganha spec.md e plan.md → agente implementa.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Problema identificado → features tecnicamente prontas, mas desconectadas entre si (sem contratos).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Solução parcial → o PRD passa a explicitar o que cada feature provê e consome, revelando o que pode ser paralelizado.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Solução completa → cada feature ganha um contract.md formal, fechando o ciclo entre especificação, plano, contrato e critérios de aceitação.</w:t>
      </w:r>
    </w:p>
    <w:p>
      <w:pPr>
        <w:spacing w:after="160" w:line="300"/>
      </w:pPr>
      <w:r>
        <w:rPr>
          <w:sz w:val="22"/>
          <w:szCs w:val="22"/>
        </w:rPr>
        <w:t xml:space="preserve">Esse é exatamente o conceito de "provedor e consumidor" mencionado no resumo geral do vídeo: uma feature provedora expõe um contrato que a feature consumidora depende, e é esse mapeamento — feito a partir do PRD — que evita o retrabalho e o "buraco entre features" mostrado na seção 3.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60743559f222b1c0b7f01044a384e1a8752e952.png"/><Relationship Id="rId8" Type="http://schemas.openxmlformats.org/officeDocument/2006/relationships/image" Target="media/f5a745b9e06d8724e3e883d43d09b27579ad1178.png"/><Relationship Id="rId9" Type="http://schemas.openxmlformats.org/officeDocument/2006/relationships/image" Target="media/137d23dcb1f4462666ab5f74456d4269fb7bd5f4.png"/><Relationship Id="rId10" Type="http://schemas.openxmlformats.org/officeDocument/2006/relationships/image" Target="media/cfaba09653cb25e5e51aaee3fcf3da797fb9aca4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2026-07-23T19:51:45.443Z</dcterms:created>
  <dcterms:modified xsi:type="dcterms:W3CDTF">2026-07-23T19:51:45.460Z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