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参赛编号: YRDMCM2026XXXXX</w:t>
      </w:r>
    </w:p>
    <w:p>
      <w:r>
        <w:rPr>
          <w:b w:val="0"/>
          <w:sz w:val="20"/>
        </w:rPr>
        <w:t>选题: B  (A或B或C)     参赛赛道: 本科生</w:t>
      </w:r>
    </w:p>
    <w:p>
      <w:pPr>
        <w:jc w:val="center"/>
      </w:pPr>
      <w:r>
        <w:rPr>
          <w:b/>
          <w:sz w:val="24"/>
        </w:rPr>
        <w:t>2026年第六届长三角高校数学建模竞赛</w:t>
      </w:r>
    </w:p>
    <w:p/>
    <w:p>
      <w:pPr>
        <w:jc w:val="center"/>
      </w:pPr>
      <w:r>
        <w:rPr>
          <w:b/>
          <w:sz w:val="32"/>
        </w:rPr>
        <w:t>基于多模型预测与整数规划的自助量贩餐厅</w:t>
        <w:br/>
        <w:t>菜量需求预测与运营优化设计</w:t>
      </w:r>
    </w:p>
    <w:p>
      <w:pPr>
        <w:jc w:val="center"/>
      </w:pPr>
      <w:r>
        <w:rPr>
          <w:b/>
          <w:sz w:val="28"/>
        </w:rPr>
        <w:t>摘  要</w:t>
      </w:r>
    </w:p>
    <w:p>
      <w:r>
        <w:rPr>
          <w:b w:val="0"/>
          <w:sz w:val="22"/>
        </w:rPr>
        <w:t>当前，自助量贩餐饮模式凭借高性价比与丰富菜品选择迅速抢占市场，但实际运营中面临突出的供需错配矛盾：后端备货缺乏科学预测手段导致食材浪费，前端供给固化难以满足消费者个性化需求。本文以杭州爱慷数食公司旗下自助量贩餐厅为研究对象，基于2022年9月至2025年4月共31个月、149,626条真实交易数据及72,129条菜品明细数据，系统开展了数据统计分析、需求预测、备菜优化、套餐设计和经营策略五方面的建模研究。</w:t>
        <w:br/>
        <w:br/>
        <w:t>针对问题一，首先对原始数据进行全面清洗与预处理，包括缺失值处理、异常值标记(IQR方法)、餐次划分和日期特征提取。通过描述性统计和可视化分析，发现该餐厅日均接待282人、日均销售额3,187元、客单价11.39元，午餐占比99.2%。采用Welch's t检验验证了工作日与周末订单量存在显著差异(p&lt;0.001)。基于Apriori算法对12,944个有菜品明细的订单进行关联规则挖掘，采用三级阈值策略(min_support: 0.01→0.005→0.003)，最终提取19条有意义关联规则，其中"米饭+酱鸭→豆芽/木耳"的提升度最高达8.78，揭示了菜品间的强共购关系，为套餐设计提供了数据基础。</w:t>
        <w:br/>
        <w:br/>
        <w:t>针对问题二，构建了包含SARIMA(1,1,1)(1,1,1,7)、XGBoost和组合预测(Ensemble)的多模型预测框架。特征工程涵盖时间特征(星期/月份/日期)、滞后特征(lag_1/3/7/14)和滑动窗口统计(3/7/14日移动平均)。使用TimeSeriesSplit进行3折时间序列交叉验证，以MAE、RMSE和MAPE为评估指标。SARIMA模型在多数目标变量上表现最优(MAPE 52-94%)，组合预测进一步提升了预测稳定性。基于历史同月同星期均值法外推给出2025年5月22个工作日的预测结果。</w:t>
        <w:br/>
        <w:br/>
        <w:t>针对问题三，建立了混合整数线性规划(MILP)模型用于午餐备菜优化。以50种核心菜品的备菜份数为整数决策变量，以期望利润(销售收入-备菜成本-浪费成本+偏好奖励)最大化为目标，约束条件包括总份量约束、营养素供给约束(热量/蛋白质/脂肪/碳水/纤维)、类别多样性约束和单菜品上下限约束。营养标准参考《中国居民膳食营养素参考摄入量(DRIs)》(2023版)，求解器采用PuLP+CBC。模型对2025年5月6-12日5个工作日的午餐备菜方案全部达到Optimal，预期利润703-761元/天，营养均衡度0.93-0.94。由于晚餐仅占0.8%订单量，数据不足以支持可靠建模，故仅给出午餐方案。</w:t>
        <w:br/>
        <w:br/>
        <w:t>针对问题四，设计了贪心搜索(200次采样)与爬山法局部优化(100次迭代)相结合的套餐优化算法。以消费者偏好(0.30)、营养均衡(0.30)、利润率(0.25)、共购关联(0.15)和价格符合度(0.15)构建五维评分函数，分别设计了10元"经济基础型"、15元"均衡实用型"和20元"丰富营养型"三层套餐方案，实际总价与目标价位偏差均在5%以内，营养均衡度均达0.98以上。</w:t>
        <w:br/>
        <w:br/>
        <w:t>针对问题五，基于前四个问题的定量分析结果，从备菜策略(ABC分级制度、预测-备菜-复盘闭环)、菜品结构(销量×利润率双维评估矩阵)、套餐推广(三层阶梯定价)、数字化运营(数据看板、模型迭代)和营养ESG(脂肪供能比优化、食物浪费控制)五个维度提出了系统性经营优化策略。所有策略建议均附有数据依据，避免无根据的主观臆断。</w:t>
        <w:br/>
        <w:br/>
        <w:t>最后，对模型进行了灵敏度分析、优缺点评价和应用推广讨论。本文提出的"预测驱动备菜优化"框架具有较强的可推广性，可应用于其他自助餐饮企业的精细化运营管理。</w:t>
      </w:r>
    </w:p>
    <w:p>
      <w:r>
        <w:rPr>
          <w:b/>
          <w:sz w:val="22"/>
        </w:rPr>
        <w:t>关键词：自助量贩餐厅；Apriori关联规则；SARIMA预测；XGBoost；混合整数线性规划；套餐优化；营养配餐；经营策略</w:t>
      </w:r>
    </w:p>
    <w:p>
      <w:r>
        <w:br w:type="page"/>
      </w:r>
    </w:p>
    <w:p>
      <w:pPr>
        <w:jc w:val="center"/>
      </w:pPr>
      <w:r>
        <w:rPr>
          <w:b/>
          <w:sz w:val="28"/>
        </w:rPr>
        <w:t>目  录</w:t>
      </w:r>
    </w:p>
    <w:p/>
    <w:p>
      <w:r>
        <w:rPr>
          <w:b w:val="0"/>
          <w:sz w:val="22"/>
        </w:rPr>
        <w:t>一、问题背景与重述........................................1</w:t>
      </w:r>
    </w:p>
    <w:p>
      <w:r>
        <w:rPr>
          <w:b w:val="0"/>
          <w:sz w:val="22"/>
        </w:rPr>
        <w:t xml:space="preserve">  1.1 问题背景.......................................1</w:t>
      </w:r>
    </w:p>
    <w:p>
      <w:r>
        <w:rPr>
          <w:b w:val="0"/>
          <w:sz w:val="22"/>
        </w:rPr>
        <w:t xml:space="preserve">  1.2 问题重述.......................................2</w:t>
      </w:r>
    </w:p>
    <w:p>
      <w:r>
        <w:rPr>
          <w:b w:val="0"/>
          <w:sz w:val="22"/>
        </w:rPr>
        <w:t>二、问题分析...........................................3</w:t>
      </w:r>
    </w:p>
    <w:p>
      <w:r>
        <w:rPr>
          <w:b w:val="0"/>
          <w:sz w:val="22"/>
        </w:rPr>
        <w:t xml:space="preserve">  2.1 问题一的分析.....................................3</w:t>
      </w:r>
    </w:p>
    <w:p>
      <w:r>
        <w:rPr>
          <w:b w:val="0"/>
          <w:sz w:val="22"/>
        </w:rPr>
        <w:t xml:space="preserve">  2.2 问题二的分析.....................................3</w:t>
      </w:r>
    </w:p>
    <w:p>
      <w:r>
        <w:rPr>
          <w:b w:val="0"/>
          <w:sz w:val="22"/>
        </w:rPr>
        <w:t xml:space="preserve">  2.3 问题三的分析.....................................4</w:t>
      </w:r>
    </w:p>
    <w:p>
      <w:r>
        <w:rPr>
          <w:b w:val="0"/>
          <w:sz w:val="22"/>
        </w:rPr>
        <w:t xml:space="preserve">  2.4 问题四的分析.....................................4</w:t>
      </w:r>
    </w:p>
    <w:p>
      <w:r>
        <w:rPr>
          <w:b w:val="0"/>
          <w:sz w:val="22"/>
        </w:rPr>
        <w:t xml:space="preserve">  2.5 问题五的分析.....................................4</w:t>
      </w:r>
    </w:p>
    <w:p>
      <w:r>
        <w:rPr>
          <w:b w:val="0"/>
          <w:sz w:val="22"/>
        </w:rPr>
        <w:t>三、模型假设...........................................5</w:t>
      </w:r>
    </w:p>
    <w:p>
      <w:r>
        <w:rPr>
          <w:b w:val="0"/>
          <w:sz w:val="22"/>
        </w:rPr>
        <w:t>四、符号及变量说明........................................5</w:t>
      </w:r>
    </w:p>
    <w:p>
      <w:r>
        <w:rPr>
          <w:b w:val="0"/>
          <w:sz w:val="22"/>
        </w:rPr>
        <w:t>五、模型建立与求解........................................6</w:t>
      </w:r>
    </w:p>
    <w:p>
      <w:r>
        <w:rPr>
          <w:b w:val="0"/>
          <w:sz w:val="22"/>
        </w:rPr>
        <w:t xml:space="preserve">  5.1 问题一：数据预处理与关联分析.............................6</w:t>
      </w:r>
    </w:p>
    <w:p>
      <w:r>
        <w:rPr>
          <w:b w:val="0"/>
          <w:sz w:val="22"/>
        </w:rPr>
        <w:t xml:space="preserve">  5.2 问题二：需求预测模型................................12</w:t>
      </w:r>
    </w:p>
    <w:p>
      <w:r>
        <w:rPr>
          <w:b w:val="0"/>
          <w:sz w:val="22"/>
        </w:rPr>
        <w:t xml:space="preserve">  5.3 问题三：午餐备菜优化模型..............................18</w:t>
      </w:r>
    </w:p>
    <w:p>
      <w:r>
        <w:rPr>
          <w:b w:val="0"/>
          <w:sz w:val="22"/>
        </w:rPr>
        <w:t xml:space="preserve">  5.4 问题四：套餐优化设计模型..............................23</w:t>
      </w:r>
    </w:p>
    <w:p>
      <w:r>
        <w:rPr>
          <w:b w:val="0"/>
          <w:sz w:val="22"/>
        </w:rPr>
        <w:t xml:space="preserve">  5.5 问题五：经营策略优化................................27</w:t>
      </w:r>
    </w:p>
    <w:p>
      <w:r>
        <w:rPr>
          <w:b w:val="0"/>
          <w:sz w:val="22"/>
        </w:rPr>
        <w:t>六、灵敏度分析与模型检验....................................30</w:t>
      </w:r>
    </w:p>
    <w:p>
      <w:r>
        <w:rPr>
          <w:b w:val="0"/>
          <w:sz w:val="22"/>
        </w:rPr>
        <w:t>七、模型的评价与改进......................................32</w:t>
      </w:r>
    </w:p>
    <w:p>
      <w:r>
        <w:rPr>
          <w:b w:val="0"/>
          <w:sz w:val="22"/>
        </w:rPr>
        <w:t>八、模型的应用与推广......................................33</w:t>
      </w:r>
    </w:p>
    <w:p>
      <w:r>
        <w:rPr>
          <w:b w:val="0"/>
          <w:sz w:val="22"/>
        </w:rPr>
        <w:t>参考文献............................................34</w:t>
      </w:r>
    </w:p>
    <w:p>
      <w:r>
        <w:rPr>
          <w:b w:val="0"/>
          <w:sz w:val="22"/>
        </w:rPr>
        <w:t>附录..............................................35</w:t>
      </w:r>
    </w:p>
    <w:p>
      <w:r>
        <w:br w:type="page"/>
      </w:r>
    </w:p>
    <w:p>
      <w:pPr>
        <w:pStyle w:val="Heading1"/>
      </w:pPr>
      <w:r>
        <w:t>一、问题背景与重述</w:t>
      </w:r>
    </w:p>
    <w:p>
      <w:pPr>
        <w:pStyle w:val="Heading2"/>
      </w:pPr>
      <w:r>
        <w:t>1.1 问题背景</w:t>
      </w:r>
    </w:p>
    <w:p>
      <w:r>
        <w:rPr>
          <w:b w:val="0"/>
          <w:sz w:val="24"/>
        </w:rPr>
        <w:t>随着我国餐饮行业加速迭代，自助量贩模式凭借高性价比与菜品选择丰富的优势迅速抢占市场，成为消费热点[1]。杭州爱慷数食是浙江省餐饮行业协会理事单位，深耕餐饮数字化领域，聚焦自助量贩餐饮精细化运营痛点，依托数据分析、智能算法与餐饮运营专业能力，助力传统餐饮业务完成转型升级。</w:t>
      </w:r>
    </w:p>
    <w:p>
      <w:r>
        <w:rPr>
          <w:b w:val="0"/>
          <w:sz w:val="24"/>
        </w:rPr>
        <w:t>然而，当前自助量贩模式在实际运营中面临突出的供需错配矛盾：一是后端备货盲目——门店缺乏科学精准的菜量预测手段，前端备货凭经验拍脑袋，食材剩余与后厨浪费问题突出，既拉高经营成本，也带来了不小的ESG环保压力；二是前端供给固化——传统固定套餐模式无法适配当下消费者个性化、碎片化的饮食需求，直接拉低用餐体验，制约门店复购率提升[2]。</w:t>
      </w:r>
    </w:p>
    <w:p>
      <w:r>
        <w:rPr>
          <w:b w:val="0"/>
          <w:sz w:val="24"/>
        </w:rPr>
        <w:t>在此行业现状与企业服务背景下，运用数据分析技术实现菜品需求量精准预测、依托消费大数据动态优化日常菜品与套餐结构，已成为自助量贩餐厅降本增效、塑造核心竞争力的核心路径[3]。本研究以杭州爱慷数食某餐厅的流水基本数据及菜品营养成分数据为基础，开展系统的数据分析和建模优化工作。</w:t>
      </w:r>
    </w:p>
    <w:p>
      <w:pPr>
        <w:pStyle w:val="Heading2"/>
      </w:pPr>
      <w:r>
        <w:t>1.2 问题重述</w:t>
      </w:r>
    </w:p>
    <w:p>
      <w:r>
        <w:rPr>
          <w:b w:val="0"/>
          <w:sz w:val="24"/>
        </w:rPr>
        <w:t>问题一：对附件中自助量贩餐厅的历史交易数据进行预处理、统计和可视化分析，分析不同菜品销售量的分布规律以及它们之间可能存在的关联关系。</w:t>
      </w:r>
    </w:p>
    <w:p>
      <w:r>
        <w:rPr>
          <w:b w:val="0"/>
          <w:sz w:val="24"/>
        </w:rPr>
        <w:t>问题二：根据餐厅销售记录，对该餐厅每天就餐人数、各类营养素需求量以及销售总额进行预测研究，并讨论预测模型的合理性和结果的可靠性。给出2025年5月份工作日的预测结果。</w:t>
      </w:r>
    </w:p>
    <w:p>
      <w:r>
        <w:rPr>
          <w:b w:val="0"/>
          <w:sz w:val="24"/>
        </w:rPr>
        <w:t>问题三：为提高餐厅营业利润，综合考虑各类营养素需求、消费群体的消费习惯以及菜品多样性等因素，建立餐厅菜品优化模型，并给出2025年5月6日至5月12日期间每个工作日的备菜方案。</w:t>
      </w:r>
    </w:p>
    <w:p>
      <w:r>
        <w:rPr>
          <w:b w:val="0"/>
          <w:sz w:val="24"/>
        </w:rPr>
        <w:t>问题四：基于消费群体的消费习惯以及营养搭配科学性，建立数学模型，优化设计不同价位的套餐，分别给出10元、15元和20元三个价位的套餐方案。</w:t>
      </w:r>
    </w:p>
    <w:p>
      <w:r>
        <w:rPr>
          <w:b w:val="0"/>
          <w:sz w:val="24"/>
        </w:rPr>
        <w:t>问题五：综合分析该餐厅的运营情况，给出优化经营的策略和建议。</w:t>
      </w:r>
    </w:p>
    <w:p>
      <w:r>
        <w:br w:type="page"/>
      </w:r>
    </w:p>
    <w:p>
      <w:pPr>
        <w:pStyle w:val="Heading1"/>
      </w:pPr>
      <w:r>
        <w:t>二、问题分析</w:t>
      </w:r>
    </w:p>
    <w:p>
      <w:pPr>
        <w:pStyle w:val="Heading2"/>
      </w:pPr>
      <w:r>
        <w:t>2.1 问题一的分析</w:t>
      </w:r>
    </w:p>
    <w:p>
      <w:r>
        <w:rPr>
          <w:b w:val="0"/>
          <w:sz w:val="24"/>
        </w:rPr>
        <w:t>问题一属于数据探索性分析(EDA)与关联规则挖掘问题。需要首先对附件1(3个sheet共150,573条订单记录)和附件2(15个sheet共72,129条菜品明细记录)进行数据清洗与融合，然后通过描述性统计和可视化方法揭示消费规律，最后基于Apriori算法挖掘菜品间的共购关联关系。关键挑战在于：(1)附件2仅覆盖约8.7%的订单(12,944/149,626)，关联规则的代表性需要限定说明；(2)237种菜品的长尾分布使得频繁项集挖掘的阈值选择需要审慎设计。</w:t>
      </w:r>
    </w:p>
    <w:p>
      <w:pPr>
        <w:pStyle w:val="Heading2"/>
      </w:pPr>
      <w:r>
        <w:t>2.2 问题二的分析</w:t>
      </w:r>
    </w:p>
    <w:p>
      <w:r>
        <w:rPr>
          <w:b w:val="0"/>
          <w:sz w:val="24"/>
        </w:rPr>
        <w:t>问题二属于多变量时间序列预测问题。需要预测每日就餐人数、销售总额及4类营养素(热量、蛋白质、脂肪、碳水化合物)需求量，共6个目标变量。由于时间跨度达31个月(531个营业日)，数据量充分，可以采用多种预测方法进行对比。核心思路是：首先进行时间序列平稳性检验和自相关分析，然后构建SARIMA(处理线性趋势和季节性)、XGBoost(捕捉非线性关系)及组合预测模型，最后基于最优模型外推2025年5月的工作日预测值。</w:t>
      </w:r>
    </w:p>
    <w:p>
      <w:pPr>
        <w:pStyle w:val="Heading2"/>
      </w:pPr>
      <w:r>
        <w:t>2.3 问题三的分析</w:t>
      </w:r>
    </w:p>
    <w:p>
      <w:r>
        <w:rPr>
          <w:b w:val="0"/>
          <w:sz w:val="24"/>
        </w:rPr>
        <w:t>问题三属于带约束的组合优化问题。需要在满足营养素供给、菜品多样性和消费偏好的前提下，最大化餐厅的营业利润。由于备菜份数为整数，且目标函数中包含min/max等非线性项需要线性化，适合采用混合整数线性规划(MILP)建模。根据数据探查，午餐占订单总量的99.2%，晚餐仅占0.8%(41天有记录)，数据不足以支持可靠的晚餐优化建模，因此本题仅给出午餐备菜方案。</w:t>
      </w:r>
    </w:p>
    <w:p>
      <w:pPr>
        <w:pStyle w:val="Heading2"/>
      </w:pPr>
      <w:r>
        <w:t>2.4 问题四的分析</w:t>
      </w:r>
    </w:p>
    <w:p>
      <w:r>
        <w:rPr>
          <w:b w:val="0"/>
          <w:sz w:val="24"/>
        </w:rPr>
        <w:t>问题四属于多约束组合优化问题。需要在给定的价格预算(10/15/20元)内，从菜品库中选择最优菜品组合形成套餐。由于搜索空间为组合级别(314种菜品选2-7种)，完全枚举不可行，适合采用启发式搜索算法。评分函数需综合考虑历史销量(偏好度)、营养均衡(宏量营养素供能比)、利润率、菜品间共购关联和价格符合度五个维度。</w:t>
      </w:r>
    </w:p>
    <w:p>
      <w:pPr>
        <w:pStyle w:val="Heading2"/>
      </w:pPr>
      <w:r>
        <w:t>2.5 问题五的分析</w:t>
      </w:r>
    </w:p>
    <w:p>
      <w:r>
        <w:rPr>
          <w:b w:val="0"/>
          <w:sz w:val="24"/>
        </w:rPr>
        <w:t>问题五属于综合分析与策略建议问题。需要基于问题一至四的定量分析结果，从多个维度对餐厅的运营状况进行系统评估，并提出有针对性的优化建议。策略制定原则是：所有建议必须有数据支撑，避免无根据的百分比预测，量化估算基于实际数据。</w:t>
      </w:r>
    </w:p>
    <w:p>
      <w:r>
        <w:br w:type="page"/>
      </w:r>
    </w:p>
    <w:p>
      <w:pPr>
        <w:pStyle w:val="Heading1"/>
      </w:pPr>
      <w:r>
        <w:t>三、模型假设</w:t>
      </w:r>
    </w:p>
    <w:p>
      <w:r>
        <w:rPr>
          <w:b w:val="0"/>
          <w:sz w:val="22"/>
        </w:rPr>
        <w:t>假设1：每个indent_id代表一位独立顾客的消费记录，即就餐人数等于唯一订单ID数。</w:t>
      </w:r>
    </w:p>
    <w:p>
      <w:r>
        <w:rPr>
          <w:b w:val="0"/>
          <w:sz w:val="22"/>
        </w:rPr>
        <w:t>假设2：历史消费模式具有延续性，未来(2025年5月)的消费规律与历史同期相近。</w:t>
      </w:r>
    </w:p>
    <w:p>
      <w:r>
        <w:rPr>
          <w:b w:val="0"/>
          <w:sz w:val="22"/>
        </w:rPr>
        <w:t>假设3：菜品成本按单价的45%估算，此假设基于餐饮行业通用成本结构(食材30-40%、人工+能耗5-10%)[8]。</w:t>
      </w:r>
    </w:p>
    <w:p>
      <w:r>
        <w:rPr>
          <w:b w:val="0"/>
          <w:sz w:val="22"/>
        </w:rPr>
        <w:t>假设4：顾客对菜品的偏好度正比于历史选择频率，且顾客间的消费行为相互独立。</w:t>
      </w:r>
    </w:p>
    <w:p>
      <w:r>
        <w:rPr>
          <w:b w:val="0"/>
          <w:sz w:val="22"/>
        </w:rPr>
        <w:t>假设5：附件2的菜品明细数据能够代表全部订单的菜品偏好分布，忽略其与无明细订单之间的系统性偏差。</w:t>
      </w:r>
    </w:p>
    <w:p>
      <w:r>
        <w:rPr>
          <w:b w:val="0"/>
          <w:sz w:val="22"/>
        </w:rPr>
        <w:t>假设6：营养素供给量以附件中的营养数据为准，忽略烹饪过程中的营养损失。</w:t>
      </w:r>
    </w:p>
    <w:p>
      <w:r>
        <w:rPr>
          <w:b w:val="0"/>
          <w:sz w:val="22"/>
        </w:rPr>
        <w:t>假设7：餐厅营业天数稳定，除周末和法定假日外均正常营业。</w:t>
      </w:r>
    </w:p>
    <w:p>
      <w:r>
        <w:br w:type="page"/>
      </w:r>
    </w:p>
    <w:p>
      <w:pPr>
        <w:pStyle w:val="Heading1"/>
      </w:pPr>
      <w:r>
        <w:t>四、符号及变量说明</w:t>
      </w:r>
    </w:p>
    <w:tbl>
      <w:tblPr>
        <w:tblStyle w:val="TableGrid"/>
        <w:tblW w:type="auto" w:w="0"/>
        <w:jc w:val="center"/>
        <w:tblLook w:firstColumn="1" w:firstRow="1" w:lastColumn="0" w:lastRow="0" w:noHBand="0" w:noVBand="1" w:val="04A0"/>
      </w:tblPr>
      <w:tblGrid>
        <w:gridCol w:w="4317"/>
        <w:gridCol w:w="4317"/>
      </w:tblGrid>
      <w:tr>
        <w:tc>
          <w:tcPr>
            <w:tcW w:type="dxa" w:w="4317"/>
          </w:tcPr>
          <w:p>
            <w:pPr>
              <w:jc w:val="center"/>
            </w:pPr>
            <w:r>
              <w:rPr>
                <w:b/>
                <w:sz w:val="20"/>
              </w:rPr>
              <w:t>符号</w:t>
            </w:r>
          </w:p>
        </w:tc>
        <w:tc>
          <w:tcPr>
            <w:tcW w:type="dxa" w:w="4317"/>
          </w:tcPr>
          <w:p>
            <w:pPr>
              <w:jc w:val="center"/>
            </w:pPr>
            <w:r>
              <w:rPr>
                <w:b/>
                <w:sz w:val="20"/>
              </w:rPr>
              <w:t>含义</w:t>
            </w:r>
          </w:p>
        </w:tc>
      </w:tr>
      <w:tr>
        <w:tc>
          <w:tcPr>
            <w:tcW w:type="dxa" w:w="4317"/>
          </w:tcPr>
          <w:p>
            <w:pPr>
              <w:jc w:val="center"/>
            </w:pPr>
            <w:r>
              <w:rPr>
                <w:sz w:val="20"/>
              </w:rPr>
              <w:t>N_t</w:t>
            </w:r>
          </w:p>
        </w:tc>
        <w:tc>
          <w:tcPr>
            <w:tcW w:type="dxa" w:w="4317"/>
          </w:tcPr>
          <w:p>
            <w:pPr>
              <w:jc w:val="center"/>
            </w:pPr>
            <w:r>
              <w:rPr>
                <w:sz w:val="20"/>
              </w:rPr>
              <w:t>第t天的就餐人数(人)</w:t>
            </w:r>
          </w:p>
        </w:tc>
      </w:tr>
      <w:tr>
        <w:tc>
          <w:tcPr>
            <w:tcW w:type="dxa" w:w="4317"/>
          </w:tcPr>
          <w:p>
            <w:pPr>
              <w:jc w:val="center"/>
            </w:pPr>
            <w:r>
              <w:rPr>
                <w:sz w:val="20"/>
              </w:rPr>
              <w:t>S_t</w:t>
            </w:r>
          </w:p>
        </w:tc>
        <w:tc>
          <w:tcPr>
            <w:tcW w:type="dxa" w:w="4317"/>
          </w:tcPr>
          <w:p>
            <w:pPr>
              <w:jc w:val="center"/>
            </w:pPr>
            <w:r>
              <w:rPr>
                <w:sz w:val="20"/>
              </w:rPr>
              <w:t>第t天的销售总额(元)</w:t>
            </w:r>
          </w:p>
        </w:tc>
      </w:tr>
      <w:tr>
        <w:tc>
          <w:tcPr>
            <w:tcW w:type="dxa" w:w="4317"/>
          </w:tcPr>
          <w:p>
            <w:pPr>
              <w:jc w:val="center"/>
            </w:pPr>
            <w:r>
              <w:rPr>
                <w:sz w:val="20"/>
              </w:rPr>
              <w:t>E_t, P_t, F_t, C_t</w:t>
            </w:r>
          </w:p>
        </w:tc>
        <w:tc>
          <w:tcPr>
            <w:tcW w:type="dxa" w:w="4317"/>
          </w:tcPr>
          <w:p>
            <w:pPr>
              <w:jc w:val="center"/>
            </w:pPr>
            <w:r>
              <w:rPr>
                <w:sz w:val="20"/>
              </w:rPr>
              <w:t>第t天的热量/蛋白质/脂肪/碳水需求总量</w:t>
            </w:r>
          </w:p>
        </w:tc>
      </w:tr>
      <w:tr>
        <w:tc>
          <w:tcPr>
            <w:tcW w:type="dxa" w:w="4317"/>
          </w:tcPr>
          <w:p>
            <w:pPr>
              <w:jc w:val="center"/>
            </w:pPr>
            <w:r>
              <w:rPr>
                <w:sz w:val="20"/>
              </w:rPr>
              <w:t>x_i</w:t>
            </w:r>
          </w:p>
        </w:tc>
        <w:tc>
          <w:tcPr>
            <w:tcW w:type="dxa" w:w="4317"/>
          </w:tcPr>
          <w:p>
            <w:pPr>
              <w:jc w:val="center"/>
            </w:pPr>
            <w:r>
              <w:rPr>
                <w:sz w:val="20"/>
              </w:rPr>
              <w:t>菜品i的备菜份数(整数决策变量)</w:t>
            </w:r>
          </w:p>
        </w:tc>
      </w:tr>
      <w:tr>
        <w:tc>
          <w:tcPr>
            <w:tcW w:type="dxa" w:w="4317"/>
          </w:tcPr>
          <w:p>
            <w:pPr>
              <w:jc w:val="center"/>
            </w:pPr>
            <w:r>
              <w:rPr>
                <w:sz w:val="20"/>
              </w:rPr>
              <w:t>p_i</w:t>
            </w:r>
          </w:p>
        </w:tc>
        <w:tc>
          <w:tcPr>
            <w:tcW w:type="dxa" w:w="4317"/>
          </w:tcPr>
          <w:p>
            <w:pPr>
              <w:jc w:val="center"/>
            </w:pPr>
            <w:r>
              <w:rPr>
                <w:sz w:val="20"/>
              </w:rPr>
              <w:t>菜品i的单价(元/份)</w:t>
            </w:r>
          </w:p>
        </w:tc>
      </w:tr>
      <w:tr>
        <w:tc>
          <w:tcPr>
            <w:tcW w:type="dxa" w:w="4317"/>
          </w:tcPr>
          <w:p>
            <w:pPr>
              <w:jc w:val="center"/>
            </w:pPr>
            <w:r>
              <w:rPr>
                <w:sz w:val="20"/>
              </w:rPr>
              <w:t>c_i</w:t>
            </w:r>
          </w:p>
        </w:tc>
        <w:tc>
          <w:tcPr>
            <w:tcW w:type="dxa" w:w="4317"/>
          </w:tcPr>
          <w:p>
            <w:pPr>
              <w:jc w:val="center"/>
            </w:pPr>
            <w:r>
              <w:rPr>
                <w:sz w:val="20"/>
              </w:rPr>
              <w:t>菜品i的单位成本(元/份)</w:t>
            </w:r>
          </w:p>
        </w:tc>
      </w:tr>
      <w:tr>
        <w:tc>
          <w:tcPr>
            <w:tcW w:type="dxa" w:w="4317"/>
          </w:tcPr>
          <w:p>
            <w:pPr>
              <w:jc w:val="center"/>
            </w:pPr>
            <w:r>
              <w:rPr>
                <w:sz w:val="20"/>
              </w:rPr>
              <w:t>s_i</w:t>
            </w:r>
          </w:p>
        </w:tc>
        <w:tc>
          <w:tcPr>
            <w:tcW w:type="dxa" w:w="4317"/>
          </w:tcPr>
          <w:p>
            <w:pPr>
              <w:jc w:val="center"/>
            </w:pPr>
            <w:r>
              <w:rPr>
                <w:sz w:val="20"/>
              </w:rPr>
              <w:t>菜品i的期望销售份数, s_i = min(x_i, d_i)</w:t>
            </w:r>
          </w:p>
        </w:tc>
      </w:tr>
      <w:tr>
        <w:tc>
          <w:tcPr>
            <w:tcW w:type="dxa" w:w="4317"/>
          </w:tcPr>
          <w:p>
            <w:pPr>
              <w:jc w:val="center"/>
            </w:pPr>
            <w:r>
              <w:rPr>
                <w:sz w:val="20"/>
              </w:rPr>
              <w:t>d_i</w:t>
            </w:r>
          </w:p>
        </w:tc>
        <w:tc>
          <w:tcPr>
            <w:tcW w:type="dxa" w:w="4317"/>
          </w:tcPr>
          <w:p>
            <w:pPr>
              <w:jc w:val="center"/>
            </w:pPr>
            <w:r>
              <w:rPr>
                <w:sz w:val="20"/>
              </w:rPr>
              <w:t>菜品i的期望需求量, d_i = D_total × pop_i</w:t>
            </w:r>
          </w:p>
        </w:tc>
      </w:tr>
      <w:tr>
        <w:tc>
          <w:tcPr>
            <w:tcW w:type="dxa" w:w="4317"/>
          </w:tcPr>
          <w:p>
            <w:pPr>
              <w:jc w:val="center"/>
            </w:pPr>
            <w:r>
              <w:rPr>
                <w:sz w:val="20"/>
              </w:rPr>
              <w:t>w_i</w:t>
            </w:r>
          </w:p>
        </w:tc>
        <w:tc>
          <w:tcPr>
            <w:tcW w:type="dxa" w:w="4317"/>
          </w:tcPr>
          <w:p>
            <w:pPr>
              <w:jc w:val="center"/>
            </w:pPr>
            <w:r>
              <w:rPr>
                <w:sz w:val="20"/>
              </w:rPr>
              <w:t>菜品i的浪费量, w_i = max(x_i - d_i, 0)</w:t>
            </w:r>
          </w:p>
        </w:tc>
      </w:tr>
      <w:tr>
        <w:tc>
          <w:tcPr>
            <w:tcW w:type="dxa" w:w="4317"/>
          </w:tcPr>
          <w:p>
            <w:pPr>
              <w:jc w:val="center"/>
            </w:pPr>
            <w:r>
              <w:rPr>
                <w:sz w:val="20"/>
              </w:rPr>
              <w:t>pop_i</w:t>
            </w:r>
          </w:p>
        </w:tc>
        <w:tc>
          <w:tcPr>
            <w:tcW w:type="dxa" w:w="4317"/>
          </w:tcPr>
          <w:p>
            <w:pPr>
              <w:jc w:val="center"/>
            </w:pPr>
            <w:r>
              <w:rPr>
                <w:sz w:val="20"/>
              </w:rPr>
              <w:t>菜品i的午餐偏好度(归一化到[0,1])</w:t>
            </w:r>
          </w:p>
        </w:tc>
      </w:tr>
      <w:tr>
        <w:tc>
          <w:tcPr>
            <w:tcW w:type="dxa" w:w="4317"/>
          </w:tcPr>
          <w:p>
            <w:pPr>
              <w:jc w:val="center"/>
            </w:pPr>
            <w:r>
              <w:rPr>
                <w:sz w:val="20"/>
              </w:rPr>
              <w:t>h</w:t>
            </w:r>
          </w:p>
        </w:tc>
        <w:tc>
          <w:tcPr>
            <w:tcW w:type="dxa" w:w="4317"/>
          </w:tcPr>
          <w:p>
            <w:pPr>
              <w:jc w:val="center"/>
            </w:pPr>
            <w:r>
              <w:rPr>
                <w:sz w:val="20"/>
              </w:rPr>
              <w:t>浪费成本系数, h = 0.3 (WASTE_COST_RATIO)</w:t>
            </w:r>
          </w:p>
        </w:tc>
      </w:tr>
      <w:tr>
        <w:tc>
          <w:tcPr>
            <w:tcW w:type="dxa" w:w="4317"/>
          </w:tcPr>
          <w:p>
            <w:pPr>
              <w:jc w:val="center"/>
            </w:pPr>
            <w:r>
              <w:rPr>
                <w:sz w:val="20"/>
              </w:rPr>
              <w:t>γ</w:t>
            </w:r>
          </w:p>
        </w:tc>
        <w:tc>
          <w:tcPr>
            <w:tcW w:type="dxa" w:w="4317"/>
          </w:tcPr>
          <w:p>
            <w:pPr>
              <w:jc w:val="center"/>
            </w:pPr>
            <w:r>
              <w:rPr>
                <w:sz w:val="20"/>
              </w:rPr>
              <w:t>偏好奖励权重, γ = 0.1</w:t>
            </w:r>
          </w:p>
        </w:tc>
      </w:tr>
      <w:tr>
        <w:tc>
          <w:tcPr>
            <w:tcW w:type="dxa" w:w="4317"/>
          </w:tcPr>
          <w:p>
            <w:pPr>
              <w:jc w:val="center"/>
            </w:pPr>
            <w:r>
              <w:rPr>
                <w:sz w:val="20"/>
              </w:rPr>
              <w:t>D_total</w:t>
            </w:r>
          </w:p>
        </w:tc>
        <w:tc>
          <w:tcPr>
            <w:tcW w:type="dxa" w:w="4317"/>
          </w:tcPr>
          <w:p>
            <w:pPr>
              <w:jc w:val="center"/>
            </w:pPr>
            <w:r>
              <w:rPr>
                <w:sz w:val="20"/>
              </w:rPr>
              <w:t>预测总需求份数, D = N × 5.5(人均菜品数)</w:t>
            </w:r>
          </w:p>
        </w:tc>
      </w:tr>
      <w:tr>
        <w:tc>
          <w:tcPr>
            <w:tcW w:type="dxa" w:w="4317"/>
          </w:tcPr>
          <w:p>
            <w:pPr>
              <w:jc w:val="center"/>
            </w:pPr>
            <w:r>
              <w:rPr>
                <w:sz w:val="20"/>
              </w:rPr>
              <w:t>R_j</w:t>
            </w:r>
          </w:p>
        </w:tc>
        <w:tc>
          <w:tcPr>
            <w:tcW w:type="dxa" w:w="4317"/>
          </w:tcPr>
          <w:p>
            <w:pPr>
              <w:jc w:val="center"/>
            </w:pPr>
            <w:r>
              <w:rPr>
                <w:sz w:val="20"/>
              </w:rPr>
              <w:t>营养素j的目标供给量(基于DRIs 2023)</w:t>
            </w:r>
          </w:p>
        </w:tc>
      </w:tr>
      <w:tr>
        <w:tc>
          <w:tcPr>
            <w:tcW w:type="dxa" w:w="4317"/>
          </w:tcPr>
          <w:p>
            <w:pPr>
              <w:jc w:val="center"/>
            </w:pPr>
            <w:r>
              <w:rPr>
                <w:sz w:val="20"/>
              </w:rPr>
              <w:t>a_{ij}</w:t>
            </w:r>
          </w:p>
        </w:tc>
        <w:tc>
          <w:tcPr>
            <w:tcW w:type="dxa" w:w="4317"/>
          </w:tcPr>
          <w:p>
            <w:pPr>
              <w:jc w:val="center"/>
            </w:pPr>
            <w:r>
              <w:rPr>
                <w:sz w:val="20"/>
              </w:rPr>
              <w:t>菜品i中营养素j的含量</w:t>
            </w:r>
          </w:p>
        </w:tc>
      </w:tr>
      <w:tr>
        <w:tc>
          <w:tcPr>
            <w:tcW w:type="dxa" w:w="4317"/>
          </w:tcPr>
          <w:p>
            <w:pPr>
              <w:jc w:val="center"/>
            </w:pPr>
            <w:r>
              <w:rPr>
                <w:sz w:val="20"/>
              </w:rPr>
              <w:t>δ</w:t>
            </w:r>
          </w:p>
        </w:tc>
        <w:tc>
          <w:tcPr>
            <w:tcW w:type="dxa" w:w="4317"/>
          </w:tcPr>
          <w:p>
            <w:pPr>
              <w:jc w:val="center"/>
            </w:pPr>
            <w:r>
              <w:rPr>
                <w:sz w:val="20"/>
              </w:rPr>
              <w:t>营养需求弹性, δ = 0.20</w:t>
            </w:r>
          </w:p>
        </w:tc>
      </w:tr>
      <w:tr>
        <w:tc>
          <w:tcPr>
            <w:tcW w:type="dxa" w:w="4317"/>
          </w:tcPr>
          <w:p>
            <w:pPr>
              <w:jc w:val="center"/>
            </w:pPr>
            <w:r>
              <w:rPr>
                <w:sz w:val="20"/>
              </w:rPr>
              <w:t>B</w:t>
            </w:r>
          </w:p>
        </w:tc>
        <w:tc>
          <w:tcPr>
            <w:tcW w:type="dxa" w:w="4317"/>
          </w:tcPr>
          <w:p>
            <w:pPr>
              <w:jc w:val="center"/>
            </w:pPr>
            <w:r>
              <w:rPr>
                <w:sz w:val="20"/>
              </w:rPr>
              <w:t>套餐目标价位(10/15/20元)</w:t>
            </w:r>
          </w:p>
        </w:tc>
      </w:tr>
      <w:tr>
        <w:tc>
          <w:tcPr>
            <w:tcW w:type="dxa" w:w="4317"/>
          </w:tcPr>
          <w:p>
            <w:pPr>
              <w:jc w:val="center"/>
            </w:pPr>
            <w:r>
              <w:rPr>
                <w:sz w:val="20"/>
              </w:rPr>
              <w:t>S_{safe}</w:t>
            </w:r>
          </w:p>
        </w:tc>
        <w:tc>
          <w:tcPr>
            <w:tcW w:type="dxa" w:w="4317"/>
          </w:tcPr>
          <w:p>
            <w:pPr>
              <w:jc w:val="center"/>
            </w:pPr>
            <w:r>
              <w:rPr>
                <w:sz w:val="20"/>
              </w:rPr>
              <w:t>安全库存量, S_{safe} = D_total × 0.15</w:t>
            </w:r>
          </w:p>
        </w:tc>
      </w:tr>
    </w:tbl>
    <w:p>
      <w:r>
        <w:br w:type="page"/>
      </w:r>
    </w:p>
    <w:p>
      <w:pPr>
        <w:pStyle w:val="Heading1"/>
      </w:pPr>
      <w:r>
        <w:t>五、模型建立与求解</w:t>
      </w:r>
    </w:p>
    <w:p>
      <w:pPr>
        <w:pStyle w:val="Heading2"/>
      </w:pPr>
      <w:r>
        <w:t>5.1 问题一：数据预处理与关联分析</w:t>
      </w:r>
    </w:p>
    <w:p>
      <w:pPr>
        <w:pStyle w:val="Heading3"/>
      </w:pPr>
      <w:r>
        <w:t>5.1.1 数据预处理</w:t>
      </w:r>
    </w:p>
    <w:p>
      <w:r>
        <w:rPr>
          <w:b w:val="0"/>
          <w:sz w:val="24"/>
        </w:rPr>
        <w:t>数据来源于附件1(3个sheet: indent_1/indent_2/indent_3)和附件2(15个sheet: indent_details_1至indent_details_15)。附件1包含150,573条订单记录，每条记录反映一次消费事件，字段包括订单ID、消费时间、消费金额及订单级营养汇总(热量、蛋白质、脂肪、碳水、纤维)。附件2包含72,129条菜品级明细记录，覆盖12,944个订单，字段包括菜品名称、重量、单价、营养成分等。数据时间跨度为2022年9月2日至2025年4月30日，共31个月、531个营业日。</w:t>
      </w:r>
    </w:p>
    <w:p>
      <w:r>
        <w:rPr>
          <w:b w:val="0"/>
          <w:sz w:val="24"/>
        </w:rPr>
        <w:t>数据预处理步骤包括：(1)提取日期特征(年/月/日/星期/是否周末)；(2)根据消费小时划分为午餐(10:00-14:00)和晚餐(16:00-20:00)；(3)使用IQR方法标记1%-99%分位数外的潜在异常值(保留但不剔除，因餐饮场景中大额消费可能合理)；(4)剔除全部缺失的用户身份字段(wallet_id等)；(5)构建日级汇总表(531天)和餐次级汇总表(570条记录)。</w:t>
      </w:r>
    </w:p>
    <w:p>
      <w:pPr>
        <w:pStyle w:val="Heading3"/>
      </w:pPr>
      <w:r>
        <w:t>5.1.2 描述性统计分析</w:t>
      </w:r>
    </w:p>
    <w:p>
      <w:r>
        <w:rPr>
          <w:b w:val="0"/>
          <w:sz w:val="24"/>
        </w:rPr>
        <w:t>通过对531个营业日的统计分析，该餐厅日均接待282人，日均销售额3,187元，客单价11.39元。午餐时段占总订单的99.2%(529天有午餐记录)，晚餐仅占0.8%(41天有晚餐记录)，表明该餐厅实际上是一个以午餐为核心的经营模式。工作日日均订单(约286单)高于周末(约255单)，采用Welch's t检验(不等方差)验证了两者存在极显著差异(t=6.35, p&lt;0.001)。人均热量摄入约721 kcal，脂肪供能比约32.9%，略高于《中国居民膳食指南》推荐的20-30%上限。</w:t>
      </w:r>
    </w:p>
    <w:p>
      <w:r>
        <w:rPr>
          <w:b w:val="0"/>
          <w:sz w:val="24"/>
        </w:rPr>
        <w:t>通过ABC分析(Pareto图)，314种菜品中A类(累计销量前80%)约76种，B类(80-95%)约70种，C类(95-100%)约168种，呈现典型的长尾分布特征。销量最高的菜品为米饭(占总菜品订单的约18%)，其次为酱鸭腿、白水虾、葱油炒蛋和黄豆炖猪手等。</w:t>
      </w:r>
    </w:p>
    <w:p>
      <w:pPr>
        <w:jc w:val="center"/>
      </w:pPr>
      <w:r>
        <w:drawing>
          <wp:inline xmlns:a="http://schemas.openxmlformats.org/drawingml/2006/main" xmlns:pic="http://schemas.openxmlformats.org/drawingml/2006/picture">
            <wp:extent cx="5029200" cy="3762149"/>
            <wp:docPr id="1" name="Picture 1"/>
            <wp:cNvGraphicFramePr>
              <a:graphicFrameLocks noChangeAspect="1"/>
            </wp:cNvGraphicFramePr>
            <a:graphic>
              <a:graphicData uri="http://schemas.openxmlformats.org/drawingml/2006/picture">
                <pic:pic>
                  <pic:nvPicPr>
                    <pic:cNvPr id="0" name="p1_sales_distribution.png"/>
                    <pic:cNvPicPr/>
                  </pic:nvPicPr>
                  <pic:blipFill>
                    <a:blip r:embed="rId9"/>
                    <a:stretch>
                      <a:fillRect/>
                    </a:stretch>
                  </pic:blipFill>
                  <pic:spPr>
                    <a:xfrm>
                      <a:off x="0" y="0"/>
                      <a:ext cx="5029200" cy="3762149"/>
                    </a:xfrm>
                    <a:prstGeom prst="rect"/>
                  </pic:spPr>
                </pic:pic>
              </a:graphicData>
            </a:graphic>
          </wp:inline>
        </w:drawing>
      </w:r>
    </w:p>
    <w:p>
      <w:pPr>
        <w:jc w:val="center"/>
      </w:pPr>
      <w:r>
        <w:rPr>
          <w:rFonts w:ascii="Times New Roman" w:hAnsi="Times New Roman" w:eastAsia="宋体"/>
          <w:sz w:val="20"/>
        </w:rPr>
        <w:t>图1 菜品销售量分布图(Top20销量、Top20销售额、ABC分析、类别占比)</w:t>
      </w:r>
    </w:p>
    <w:p>
      <w:pPr>
        <w:jc w:val="center"/>
      </w:pPr>
      <w:r>
        <w:drawing>
          <wp:inline xmlns:a="http://schemas.openxmlformats.org/drawingml/2006/main" xmlns:pic="http://schemas.openxmlformats.org/drawingml/2006/picture">
            <wp:extent cx="5029200" cy="3132702"/>
            <wp:docPr id="2" name="Picture 2"/>
            <wp:cNvGraphicFramePr>
              <a:graphicFrameLocks noChangeAspect="1"/>
            </wp:cNvGraphicFramePr>
            <a:graphic>
              <a:graphicData uri="http://schemas.openxmlformats.org/drawingml/2006/picture">
                <pic:pic>
                  <pic:nvPicPr>
                    <pic:cNvPr id="0" name="p1_temporal_patterns.png"/>
                    <pic:cNvPicPr/>
                  </pic:nvPicPr>
                  <pic:blipFill>
                    <a:blip r:embed="rId10"/>
                    <a:stretch>
                      <a:fillRect/>
                    </a:stretch>
                  </pic:blipFill>
                  <pic:spPr>
                    <a:xfrm>
                      <a:off x="0" y="0"/>
                      <a:ext cx="5029200" cy="3132702"/>
                    </a:xfrm>
                    <a:prstGeom prst="rect"/>
                  </pic:spPr>
                </pic:pic>
              </a:graphicData>
            </a:graphic>
          </wp:inline>
        </w:drawing>
      </w:r>
    </w:p>
    <w:p>
      <w:pPr>
        <w:jc w:val="center"/>
      </w:pPr>
      <w:r>
        <w:rPr>
          <w:rFonts w:ascii="Times New Roman" w:hAnsi="Times New Roman" w:eastAsia="宋体"/>
          <w:sz w:val="20"/>
        </w:rPr>
        <w:t>图2 时间维度销售规律分析图</w:t>
      </w:r>
    </w:p>
    <w:p>
      <w:pPr>
        <w:pStyle w:val="Heading3"/>
      </w:pPr>
      <w:r>
        <w:t>5.1.3 关联规则挖掘</w:t>
      </w:r>
    </w:p>
    <w:p>
      <w:r>
        <w:rPr>
          <w:b w:val="0"/>
          <w:sz w:val="24"/>
        </w:rPr>
        <w:t>采用Apriori算法[4]对12,944个有菜品明细的订单进行关联规则挖掘。首先构建购物篮二值矩阵(行=订单，列=菜品，值=0/1)，过滤出现次数&lt;50的低频菜品后保留223种。由于菜品支持度差异极大(米饭约0.96，其他菜品多在0.001-0.05)，采用三级阈值搜索策略：min_support依次设置为0.01、0.005、0.003。在min_support=0.01时获得163个size≥2的频繁项集，筛选confidence≥0.25且lift≥1.15的规则，最终获得19条有意义关联规则。</w:t>
      </w:r>
    </w:p>
    <w:p>
      <w:r>
        <w:rPr>
          <w:b w:val="0"/>
          <w:sz w:val="24"/>
        </w:rPr>
        <w:t>关联规则中提升度最高的前5条均为"米饭-酱鸭-豆芽/木耳"三元素组合(lift=8.51-8.78)，表明这三道菜品之间存在极强的共购关系。此外"酸辣土豆丝→酱鸭腿"(lift=1.92)和"酱爆杏鲍菇→酱鸭腿"(lift=1.86)等规则揭示了素菜与特定荤菜的搭配偏好。这些关联规则为问题四的套餐设计提供了菜品搭配依据。</w:t>
      </w:r>
    </w:p>
    <w:p>
      <w:pPr>
        <w:jc w:val="center"/>
      </w:pPr>
      <w:r>
        <w:drawing>
          <wp:inline xmlns:a="http://schemas.openxmlformats.org/drawingml/2006/main" xmlns:pic="http://schemas.openxmlformats.org/drawingml/2006/picture">
            <wp:extent cx="5029200" cy="1937479"/>
            <wp:docPr id="3" name="Picture 3"/>
            <wp:cNvGraphicFramePr>
              <a:graphicFrameLocks noChangeAspect="1"/>
            </wp:cNvGraphicFramePr>
            <a:graphic>
              <a:graphicData uri="http://schemas.openxmlformats.org/drawingml/2006/picture">
                <pic:pic>
                  <pic:nvPicPr>
                    <pic:cNvPr id="0" name="p1_association_rules.png"/>
                    <pic:cNvPicPr/>
                  </pic:nvPicPr>
                  <pic:blipFill>
                    <a:blip r:embed="rId11"/>
                    <a:stretch>
                      <a:fillRect/>
                    </a:stretch>
                  </pic:blipFill>
                  <pic:spPr>
                    <a:xfrm>
                      <a:off x="0" y="0"/>
                      <a:ext cx="5029200" cy="1937479"/>
                    </a:xfrm>
                    <a:prstGeom prst="rect"/>
                  </pic:spPr>
                </pic:pic>
              </a:graphicData>
            </a:graphic>
          </wp:inline>
        </w:drawing>
      </w:r>
    </w:p>
    <w:p>
      <w:pPr>
        <w:jc w:val="center"/>
      </w:pPr>
      <w:r>
        <w:rPr>
          <w:rFonts w:ascii="Times New Roman" w:hAnsi="Times New Roman" w:eastAsia="宋体"/>
          <w:sz w:val="20"/>
        </w:rPr>
        <w:t>图3 关联规则散点图与菜品共现网络图</w:t>
      </w:r>
    </w:p>
    <w:p>
      <w:r>
        <w:br w:type="page"/>
      </w:r>
    </w:p>
    <w:p>
      <w:pPr>
        <w:pStyle w:val="Heading2"/>
      </w:pPr>
      <w:r>
        <w:t>5.2 问题二：需求预测模型</w:t>
      </w:r>
    </w:p>
    <w:p>
      <w:pPr>
        <w:pStyle w:val="Heading3"/>
      </w:pPr>
      <w:r>
        <w:t>5.2.1 时间序列特征分析</w:t>
      </w:r>
    </w:p>
    <w:p>
      <w:r>
        <w:rPr>
          <w:b w:val="0"/>
          <w:sz w:val="24"/>
        </w:rPr>
        <w:t>对6个目标变量(就餐人数、销售额、热量、蛋白质、脂肪、碳水化合物)分别进行ADF平稳性检验。结果显示各序列的ADF检验p值均小于0.05，拒绝单位根假设，序列为平稳或趋势平稳。ACF图显示显著的7阶自相关(星期周期性)，PACF图显示显著的1阶偏自相关，为SARIMA模型的阶数选择提供了依据。</w:t>
      </w:r>
    </w:p>
    <w:p>
      <w:pPr>
        <w:pStyle w:val="Heading3"/>
      </w:pPr>
      <w:r>
        <w:t>5.2.2 SARIMA模型</w:t>
      </w:r>
    </w:p>
    <w:p>
      <w:r>
        <w:rPr>
          <w:b w:val="0"/>
          <w:sz w:val="24"/>
        </w:rPr>
        <w:t>基于ACF/PACF分析，选择SARIMA(1,1,1)(1,1,1,7)模型[5]：非季节性阶数(p=1,d=1,q=1)捕捉趋势和一阶自相关，季节性阶数(P=1,D=1,Q=1,s=7)以7天为周期捕捉星期效应。模型形式为：</w:t>
      </w:r>
    </w:p>
    <w:p>
      <w:pPr>
        <w:jc w:val="center"/>
      </w:pPr>
      <w:r>
        <w:rPr>
          <w:rFonts w:ascii="Times New Roman" w:hAnsi="Times New Roman"/>
          <w:i/>
          <w:sz w:val="22"/>
        </w:rPr>
        <w:t>(1 - φ₁B)(1 - Φ₁B⁷)(1 - B)(1 - B⁷)y_t = (1 + θ₁B)(1 + Θ₁B⁷)ε_t</w:t>
      </w:r>
    </w:p>
    <w:p>
      <w:r>
        <w:rPr>
          <w:b w:val="0"/>
          <w:sz w:val="24"/>
        </w:rPr>
        <w:t>其中B为滞后算子(B^ky_t = y_{t-k})，φ₁为非季节性AR系数，Φ₁为季节性AR系数，θ₁为非季节性MA系数，Θ₁为季节性MA系数，ε_t为白噪声。模型使用statsmodels库的SARIMAX函数拟合，maxiter=100。</w:t>
      </w:r>
    </w:p>
    <w:p>
      <w:pPr>
        <w:pStyle w:val="Heading3"/>
      </w:pPr>
      <w:r>
        <w:t>5.2.3 XGBoost模型</w:t>
      </w:r>
    </w:p>
    <w:p>
      <w:r>
        <w:rPr>
          <w:b w:val="0"/>
          <w:sz w:val="24"/>
        </w:rPr>
        <w:t>构建包含约30个特征的XGBoost预测模型[6]。特征分为三类：(1)时间特征：星期one-hot编码(7维)、是否周末、月份、日期、周次；(2)滞后特征：lag_1、lag_2、lag_3、lag_7、lag_14(5维)；(3)滑动窗口统计：3/7/14日移动平均和标准差(6维)。使用TimeSeriesSplit(3折)进行交叉验证，保持时间顺序避免未来信息泄露。模型超参数：n_estimators=100, max_depth=4, learning_rate=0.1, subsample=0.8, colsample_bytree=0.8。</w:t>
      </w:r>
    </w:p>
    <w:p>
      <w:pPr>
        <w:pStyle w:val="Heading3"/>
      </w:pPr>
      <w:r>
        <w:t>5.2.4 组合预测与模型比较</w:t>
      </w:r>
    </w:p>
    <w:p>
      <w:r>
        <w:rPr>
          <w:b w:val="0"/>
          <w:sz w:val="24"/>
        </w:rPr>
        <w:t>采用基于MAPE的加权组合策略：权重w_k = (1/MAPE_k) / Σ(1/MAPE_j)。即预测误差越小的模型获得越高的权重。若某模型因训练失败返回NaN，其权重自动置零。对6个目标变量的模型比较结果显示，SARIMA在多数目标上MAPE最低(52-94%)，XGBoost在脂肪预测上表现最优(MAPE=56%)，组合预测在碳水化合物预测上最优(MAPE=55%)。</w:t>
      </w:r>
    </w:p>
    <w:p>
      <w:pPr>
        <w:jc w:val="center"/>
      </w:pPr>
      <w:r>
        <w:drawing>
          <wp:inline xmlns:a="http://schemas.openxmlformats.org/drawingml/2006/main" xmlns:pic="http://schemas.openxmlformats.org/drawingml/2006/picture">
            <wp:extent cx="5029200" cy="2779640"/>
            <wp:docPr id="4" name="Picture 4"/>
            <wp:cNvGraphicFramePr>
              <a:graphicFrameLocks noChangeAspect="1"/>
            </wp:cNvGraphicFramePr>
            <a:graphic>
              <a:graphicData uri="http://schemas.openxmlformats.org/drawingml/2006/picture">
                <pic:pic>
                  <pic:nvPicPr>
                    <pic:cNvPr id="0" name="p2_model_comparison.png"/>
                    <pic:cNvPicPr/>
                  </pic:nvPicPr>
                  <pic:blipFill>
                    <a:blip r:embed="rId12"/>
                    <a:stretch>
                      <a:fillRect/>
                    </a:stretch>
                  </pic:blipFill>
                  <pic:spPr>
                    <a:xfrm>
                      <a:off x="0" y="0"/>
                      <a:ext cx="5029200" cy="2779640"/>
                    </a:xfrm>
                    <a:prstGeom prst="rect"/>
                  </pic:spPr>
                </pic:pic>
              </a:graphicData>
            </a:graphic>
          </wp:inline>
        </w:drawing>
      </w:r>
    </w:p>
    <w:p>
      <w:pPr>
        <w:jc w:val="center"/>
      </w:pPr>
      <w:r>
        <w:rPr>
          <w:rFonts w:ascii="Times New Roman" w:hAnsi="Times New Roman" w:eastAsia="宋体"/>
          <w:sz w:val="20"/>
        </w:rPr>
        <w:t>图4 四模型×六目标MAPE对比图</w:t>
      </w:r>
    </w:p>
    <w:p>
      <w:pPr>
        <w:pStyle w:val="Heading3"/>
      </w:pPr>
      <w:r>
        <w:t>5.2.5 2025年5月工作日预测</w:t>
      </w:r>
    </w:p>
    <w:p>
      <w:r>
        <w:rPr>
          <w:b w:val="0"/>
          <w:sz w:val="24"/>
        </w:rPr>
        <w:t>基于历史同月(5月)同星期的工作日均值进行外推，并使用XGBoost对最近60天数据的拟合偏差进行修正(偏差修正因子限制在[0.8,1.2]范围内)。2025年5月共22个工作日，预测结果显示日均就餐287人、日均销售额3,115元、日均热量需求201,590 kcal。预测值呈现出稳定的星期周期性模式，与历史数据中的工作日消费规律一致。需要注意的是，外推预测假设历史模式在18个月后仍然延续，且未考虑2025年五一劳动节假期的特殊影响，预测结果应被理解为"历史模式持续"情景下的条件估计。</w:t>
      </w:r>
    </w:p>
    <w:tbl>
      <w:tblPr>
        <w:tblStyle w:val="TableGrid"/>
        <w:tblW w:type="auto" w:w="0"/>
        <w:jc w:val="center"/>
        <w:tblLook w:firstColumn="1" w:firstRow="1" w:lastColumn="0" w:lastRow="0" w:noHBand="0" w:noVBand="1" w:val="04A0"/>
      </w:tblPr>
      <w:tblGrid>
        <w:gridCol w:w="1233"/>
        <w:gridCol w:w="1233"/>
        <w:gridCol w:w="1233"/>
        <w:gridCol w:w="1233"/>
        <w:gridCol w:w="1233"/>
        <w:gridCol w:w="1233"/>
        <w:gridCol w:w="1233"/>
      </w:tblGrid>
      <w:tr>
        <w:tc>
          <w:tcPr>
            <w:tcW w:type="dxa" w:w="1233"/>
          </w:tcPr>
          <w:p>
            <w:pPr>
              <w:jc w:val="center"/>
            </w:pPr>
            <w:r>
              <w:rPr>
                <w:b/>
                <w:sz w:val="20"/>
              </w:rPr>
              <w:t>日期</w:t>
            </w:r>
          </w:p>
        </w:tc>
        <w:tc>
          <w:tcPr>
            <w:tcW w:type="dxa" w:w="1233"/>
          </w:tcPr>
          <w:p>
            <w:pPr>
              <w:jc w:val="center"/>
            </w:pPr>
            <w:r>
              <w:rPr>
                <w:b/>
                <w:sz w:val="20"/>
              </w:rPr>
              <w:t>就餐人数</w:t>
            </w:r>
          </w:p>
        </w:tc>
        <w:tc>
          <w:tcPr>
            <w:tcW w:type="dxa" w:w="1233"/>
          </w:tcPr>
          <w:p>
            <w:pPr>
              <w:jc w:val="center"/>
            </w:pPr>
            <w:r>
              <w:rPr>
                <w:b/>
                <w:sz w:val="20"/>
              </w:rPr>
              <w:t>销售额(元)</w:t>
            </w:r>
          </w:p>
        </w:tc>
        <w:tc>
          <w:tcPr>
            <w:tcW w:type="dxa" w:w="1233"/>
          </w:tcPr>
          <w:p>
            <w:pPr>
              <w:jc w:val="center"/>
            </w:pPr>
            <w:r>
              <w:rPr>
                <w:b/>
                <w:sz w:val="20"/>
              </w:rPr>
              <w:t>热量(kcal)</w:t>
            </w:r>
          </w:p>
        </w:tc>
        <w:tc>
          <w:tcPr>
            <w:tcW w:type="dxa" w:w="1233"/>
          </w:tcPr>
          <w:p>
            <w:pPr>
              <w:jc w:val="center"/>
            </w:pPr>
            <w:r>
              <w:rPr>
                <w:b/>
                <w:sz w:val="20"/>
              </w:rPr>
              <w:t>蛋白质(g)</w:t>
            </w:r>
          </w:p>
        </w:tc>
        <w:tc>
          <w:tcPr>
            <w:tcW w:type="dxa" w:w="1233"/>
          </w:tcPr>
          <w:p>
            <w:pPr>
              <w:jc w:val="center"/>
            </w:pPr>
            <w:r>
              <w:rPr>
                <w:b/>
                <w:sz w:val="20"/>
              </w:rPr>
              <w:t>脂肪(g)</w:t>
            </w:r>
          </w:p>
        </w:tc>
        <w:tc>
          <w:tcPr>
            <w:tcW w:type="dxa" w:w="1233"/>
          </w:tcPr>
          <w:p>
            <w:pPr>
              <w:jc w:val="center"/>
            </w:pPr>
            <w:r>
              <w:rPr>
                <w:b/>
                <w:sz w:val="20"/>
              </w:rPr>
              <w:t>碳水(g)</w:t>
            </w:r>
          </w:p>
        </w:tc>
      </w:tr>
      <w:tr>
        <w:tc>
          <w:tcPr>
            <w:tcW w:type="dxa" w:w="1233"/>
          </w:tcPr>
          <w:p>
            <w:pPr>
              <w:jc w:val="center"/>
            </w:pPr>
            <w:r>
              <w:rPr>
                <w:sz w:val="20"/>
              </w:rPr>
              <w:t>05-01(Thu)</w:t>
            </w:r>
          </w:p>
        </w:tc>
        <w:tc>
          <w:tcPr>
            <w:tcW w:type="dxa" w:w="1233"/>
          </w:tcPr>
          <w:p>
            <w:pPr>
              <w:jc w:val="center"/>
            </w:pPr>
            <w:r>
              <w:rPr>
                <w:sz w:val="20"/>
              </w:rPr>
              <w:t>299</w:t>
            </w:r>
          </w:p>
        </w:tc>
        <w:tc>
          <w:tcPr>
            <w:tcW w:type="dxa" w:w="1233"/>
          </w:tcPr>
          <w:p>
            <w:pPr>
              <w:jc w:val="center"/>
            </w:pPr>
            <w:r>
              <w:rPr>
                <w:sz w:val="20"/>
              </w:rPr>
              <w:t>3,171</w:t>
            </w:r>
          </w:p>
        </w:tc>
        <w:tc>
          <w:tcPr>
            <w:tcW w:type="dxa" w:w="1233"/>
          </w:tcPr>
          <w:p>
            <w:pPr>
              <w:jc w:val="center"/>
            </w:pPr>
            <w:r>
              <w:rPr>
                <w:sz w:val="20"/>
              </w:rPr>
              <w:t>208,122</w:t>
            </w:r>
          </w:p>
        </w:tc>
        <w:tc>
          <w:tcPr>
            <w:tcW w:type="dxa" w:w="1233"/>
          </w:tcPr>
          <w:p>
            <w:pPr>
              <w:jc w:val="center"/>
            </w:pPr>
            <w:r>
              <w:rPr>
                <w:sz w:val="20"/>
              </w:rPr>
              <w:t>11,287</w:t>
            </w:r>
          </w:p>
        </w:tc>
        <w:tc>
          <w:tcPr>
            <w:tcW w:type="dxa" w:w="1233"/>
          </w:tcPr>
          <w:p>
            <w:pPr>
              <w:jc w:val="center"/>
            </w:pPr>
            <w:r>
              <w:rPr>
                <w:sz w:val="20"/>
              </w:rPr>
              <w:t>7,161</w:t>
            </w:r>
          </w:p>
        </w:tc>
        <w:tc>
          <w:tcPr>
            <w:tcW w:type="dxa" w:w="1233"/>
          </w:tcPr>
          <w:p>
            <w:pPr>
              <w:jc w:val="center"/>
            </w:pPr>
            <w:r>
              <w:rPr>
                <w:sz w:val="20"/>
              </w:rPr>
              <w:t>24,094</w:t>
            </w:r>
          </w:p>
        </w:tc>
      </w:tr>
      <w:tr>
        <w:tc>
          <w:tcPr>
            <w:tcW w:type="dxa" w:w="1233"/>
          </w:tcPr>
          <w:p>
            <w:pPr>
              <w:jc w:val="center"/>
            </w:pPr>
            <w:r>
              <w:rPr>
                <w:sz w:val="20"/>
              </w:rPr>
              <w:t>05-02(Fri)</w:t>
            </w:r>
          </w:p>
        </w:tc>
        <w:tc>
          <w:tcPr>
            <w:tcW w:type="dxa" w:w="1233"/>
          </w:tcPr>
          <w:p>
            <w:pPr>
              <w:jc w:val="center"/>
            </w:pPr>
            <w:r>
              <w:rPr>
                <w:sz w:val="20"/>
              </w:rPr>
              <w:t>270</w:t>
            </w:r>
          </w:p>
        </w:tc>
        <w:tc>
          <w:tcPr>
            <w:tcW w:type="dxa" w:w="1233"/>
          </w:tcPr>
          <w:p>
            <w:pPr>
              <w:jc w:val="center"/>
            </w:pPr>
            <w:r>
              <w:rPr>
                <w:sz w:val="20"/>
              </w:rPr>
              <w:t>3,093</w:t>
            </w:r>
          </w:p>
        </w:tc>
        <w:tc>
          <w:tcPr>
            <w:tcW w:type="dxa" w:w="1233"/>
          </w:tcPr>
          <w:p>
            <w:pPr>
              <w:jc w:val="center"/>
            </w:pPr>
            <w:r>
              <w:rPr>
                <w:sz w:val="20"/>
              </w:rPr>
              <w:t>189,607</w:t>
            </w:r>
          </w:p>
        </w:tc>
        <w:tc>
          <w:tcPr>
            <w:tcW w:type="dxa" w:w="1233"/>
          </w:tcPr>
          <w:p>
            <w:pPr>
              <w:jc w:val="center"/>
            </w:pPr>
            <w:r>
              <w:rPr>
                <w:sz w:val="20"/>
              </w:rPr>
              <w:t>10,054</w:t>
            </w:r>
          </w:p>
        </w:tc>
        <w:tc>
          <w:tcPr>
            <w:tcW w:type="dxa" w:w="1233"/>
          </w:tcPr>
          <w:p>
            <w:pPr>
              <w:jc w:val="center"/>
            </w:pPr>
            <w:r>
              <w:rPr>
                <w:sz w:val="20"/>
              </w:rPr>
              <w:t>6,737</w:t>
            </w:r>
          </w:p>
        </w:tc>
        <w:tc>
          <w:tcPr>
            <w:tcW w:type="dxa" w:w="1233"/>
          </w:tcPr>
          <w:p>
            <w:pPr>
              <w:jc w:val="center"/>
            </w:pPr>
            <w:r>
              <w:rPr>
                <w:sz w:val="20"/>
              </w:rPr>
              <w:t>21,471</w:t>
            </w:r>
          </w:p>
        </w:tc>
      </w:tr>
      <w:tr>
        <w:tc>
          <w:tcPr>
            <w:tcW w:type="dxa" w:w="1233"/>
          </w:tcPr>
          <w:p>
            <w:pPr>
              <w:jc w:val="center"/>
            </w:pPr>
            <w:r>
              <w:rPr>
                <w:sz w:val="20"/>
              </w:rPr>
              <w:t>05-05(Mon)</w:t>
            </w:r>
          </w:p>
        </w:tc>
        <w:tc>
          <w:tcPr>
            <w:tcW w:type="dxa" w:w="1233"/>
          </w:tcPr>
          <w:p>
            <w:pPr>
              <w:jc w:val="center"/>
            </w:pPr>
            <w:r>
              <w:rPr>
                <w:sz w:val="20"/>
              </w:rPr>
              <w:t>288</w:t>
            </w:r>
          </w:p>
        </w:tc>
        <w:tc>
          <w:tcPr>
            <w:tcW w:type="dxa" w:w="1233"/>
          </w:tcPr>
          <w:p>
            <w:pPr>
              <w:jc w:val="center"/>
            </w:pPr>
            <w:r>
              <w:rPr>
                <w:sz w:val="20"/>
              </w:rPr>
              <w:t>3,094</w:t>
            </w:r>
          </w:p>
        </w:tc>
        <w:tc>
          <w:tcPr>
            <w:tcW w:type="dxa" w:w="1233"/>
          </w:tcPr>
          <w:p>
            <w:pPr>
              <w:jc w:val="center"/>
            </w:pPr>
            <w:r>
              <w:rPr>
                <w:sz w:val="20"/>
              </w:rPr>
              <w:t>201,630</w:t>
            </w:r>
          </w:p>
        </w:tc>
        <w:tc>
          <w:tcPr>
            <w:tcW w:type="dxa" w:w="1233"/>
          </w:tcPr>
          <w:p>
            <w:pPr>
              <w:jc w:val="center"/>
            </w:pPr>
            <w:r>
              <w:rPr>
                <w:sz w:val="20"/>
              </w:rPr>
              <w:t>10,995</w:t>
            </w:r>
          </w:p>
        </w:tc>
        <w:tc>
          <w:tcPr>
            <w:tcW w:type="dxa" w:w="1233"/>
          </w:tcPr>
          <w:p>
            <w:pPr>
              <w:jc w:val="center"/>
            </w:pPr>
            <w:r>
              <w:rPr>
                <w:sz w:val="20"/>
              </w:rPr>
              <w:t>7,133</w:t>
            </w:r>
          </w:p>
        </w:tc>
        <w:tc>
          <w:tcPr>
            <w:tcW w:type="dxa" w:w="1233"/>
          </w:tcPr>
          <w:p>
            <w:pPr>
              <w:jc w:val="center"/>
            </w:pPr>
            <w:r>
              <w:rPr>
                <w:sz w:val="20"/>
              </w:rPr>
              <w:t>22,795</w:t>
            </w:r>
          </w:p>
        </w:tc>
      </w:tr>
      <w:tr>
        <w:tc>
          <w:tcPr>
            <w:tcW w:type="dxa" w:w="1233"/>
          </w:tcPr>
          <w:p>
            <w:pPr>
              <w:jc w:val="center"/>
            </w:pPr>
            <w:r>
              <w:rPr>
                <w:sz w:val="20"/>
              </w:rPr>
              <w:t>05-06(Tue)</w:t>
            </w:r>
          </w:p>
        </w:tc>
        <w:tc>
          <w:tcPr>
            <w:tcW w:type="dxa" w:w="1233"/>
          </w:tcPr>
          <w:p>
            <w:pPr>
              <w:jc w:val="center"/>
            </w:pPr>
            <w:r>
              <w:rPr>
                <w:sz w:val="20"/>
              </w:rPr>
              <w:t>301</w:t>
            </w:r>
          </w:p>
        </w:tc>
        <w:tc>
          <w:tcPr>
            <w:tcW w:type="dxa" w:w="1233"/>
          </w:tcPr>
          <w:p>
            <w:pPr>
              <w:jc w:val="center"/>
            </w:pPr>
            <w:r>
              <w:rPr>
                <w:sz w:val="20"/>
              </w:rPr>
              <w:t>3,177</w:t>
            </w:r>
          </w:p>
        </w:tc>
        <w:tc>
          <w:tcPr>
            <w:tcW w:type="dxa" w:w="1233"/>
          </w:tcPr>
          <w:p>
            <w:pPr>
              <w:jc w:val="center"/>
            </w:pPr>
            <w:r>
              <w:rPr>
                <w:sz w:val="20"/>
              </w:rPr>
              <w:t>201,661</w:t>
            </w:r>
          </w:p>
        </w:tc>
        <w:tc>
          <w:tcPr>
            <w:tcW w:type="dxa" w:w="1233"/>
          </w:tcPr>
          <w:p>
            <w:pPr>
              <w:jc w:val="center"/>
            </w:pPr>
            <w:r>
              <w:rPr>
                <w:sz w:val="20"/>
              </w:rPr>
              <w:t>10,616</w:t>
            </w:r>
          </w:p>
        </w:tc>
        <w:tc>
          <w:tcPr>
            <w:tcW w:type="dxa" w:w="1233"/>
          </w:tcPr>
          <w:p>
            <w:pPr>
              <w:jc w:val="center"/>
            </w:pPr>
            <w:r>
              <w:rPr>
                <w:sz w:val="20"/>
              </w:rPr>
              <w:t>6,836</w:t>
            </w:r>
          </w:p>
        </w:tc>
        <w:tc>
          <w:tcPr>
            <w:tcW w:type="dxa" w:w="1233"/>
          </w:tcPr>
          <w:p>
            <w:pPr>
              <w:jc w:val="center"/>
            </w:pPr>
            <w:r>
              <w:rPr>
                <w:sz w:val="20"/>
              </w:rPr>
              <w:t>23,760</w:t>
            </w:r>
          </w:p>
        </w:tc>
      </w:tr>
      <w:tr>
        <w:tc>
          <w:tcPr>
            <w:tcW w:type="dxa" w:w="1233"/>
          </w:tcPr>
          <w:p>
            <w:pPr>
              <w:jc w:val="center"/>
            </w:pPr>
            <w:r>
              <w:rPr>
                <w:sz w:val="20"/>
              </w:rPr>
              <w:t>05-07(Wed)</w:t>
            </w:r>
          </w:p>
        </w:tc>
        <w:tc>
          <w:tcPr>
            <w:tcW w:type="dxa" w:w="1233"/>
          </w:tcPr>
          <w:p>
            <w:pPr>
              <w:jc w:val="center"/>
            </w:pPr>
            <w:r>
              <w:rPr>
                <w:sz w:val="20"/>
              </w:rPr>
              <w:t>276</w:t>
            </w:r>
          </w:p>
        </w:tc>
        <w:tc>
          <w:tcPr>
            <w:tcW w:type="dxa" w:w="1233"/>
          </w:tcPr>
          <w:p>
            <w:pPr>
              <w:jc w:val="center"/>
            </w:pPr>
            <w:r>
              <w:rPr>
                <w:sz w:val="20"/>
              </w:rPr>
              <w:t>3,144</w:t>
            </w:r>
          </w:p>
        </w:tc>
        <w:tc>
          <w:tcPr>
            <w:tcW w:type="dxa" w:w="1233"/>
          </w:tcPr>
          <w:p>
            <w:pPr>
              <w:jc w:val="center"/>
            </w:pPr>
            <w:r>
              <w:rPr>
                <w:sz w:val="20"/>
              </w:rPr>
              <w:t>197,239</w:t>
            </w:r>
          </w:p>
        </w:tc>
        <w:tc>
          <w:tcPr>
            <w:tcW w:type="dxa" w:w="1233"/>
          </w:tcPr>
          <w:p>
            <w:pPr>
              <w:jc w:val="center"/>
            </w:pPr>
            <w:r>
              <w:rPr>
                <w:sz w:val="20"/>
              </w:rPr>
              <w:t>10,777</w:t>
            </w:r>
          </w:p>
        </w:tc>
        <w:tc>
          <w:tcPr>
            <w:tcW w:type="dxa" w:w="1233"/>
          </w:tcPr>
          <w:p>
            <w:pPr>
              <w:jc w:val="center"/>
            </w:pPr>
            <w:r>
              <w:rPr>
                <w:sz w:val="20"/>
              </w:rPr>
              <w:t>7,240</w:t>
            </w:r>
          </w:p>
        </w:tc>
        <w:tc>
          <w:tcPr>
            <w:tcW w:type="dxa" w:w="1233"/>
          </w:tcPr>
          <w:p>
            <w:pPr>
              <w:jc w:val="center"/>
            </w:pPr>
            <w:r>
              <w:rPr>
                <w:sz w:val="20"/>
              </w:rPr>
              <w:t>21,734</w:t>
            </w:r>
          </w:p>
        </w:tc>
      </w:tr>
    </w:tbl>
    <w:p>
      <w:pPr>
        <w:jc w:val="center"/>
      </w:pPr>
      <w:r>
        <w:rPr>
          <w:b w:val="0"/>
          <w:sz w:val="20"/>
        </w:rPr>
        <w:t>表1 2025年5月工作日预测结果(部分)</w:t>
      </w:r>
    </w:p>
    <w:p>
      <w:pPr>
        <w:jc w:val="center"/>
      </w:pPr>
      <w:r>
        <w:drawing>
          <wp:inline xmlns:a="http://schemas.openxmlformats.org/drawingml/2006/main" xmlns:pic="http://schemas.openxmlformats.org/drawingml/2006/picture">
            <wp:extent cx="5029200" cy="2780157"/>
            <wp:docPr id="5" name="Picture 5"/>
            <wp:cNvGraphicFramePr>
              <a:graphicFrameLocks noChangeAspect="1"/>
            </wp:cNvGraphicFramePr>
            <a:graphic>
              <a:graphicData uri="http://schemas.openxmlformats.org/drawingml/2006/picture">
                <pic:pic>
                  <pic:nvPicPr>
                    <pic:cNvPr id="0" name="p2_may2025_predictions.png"/>
                    <pic:cNvPicPr/>
                  </pic:nvPicPr>
                  <pic:blipFill>
                    <a:blip r:embed="rId13"/>
                    <a:stretch>
                      <a:fillRect/>
                    </a:stretch>
                  </pic:blipFill>
                  <pic:spPr>
                    <a:xfrm>
                      <a:off x="0" y="0"/>
                      <a:ext cx="5029200" cy="2780157"/>
                    </a:xfrm>
                    <a:prstGeom prst="rect"/>
                  </pic:spPr>
                </pic:pic>
              </a:graphicData>
            </a:graphic>
          </wp:inline>
        </w:drawing>
      </w:r>
    </w:p>
    <w:p>
      <w:pPr>
        <w:jc w:val="center"/>
      </w:pPr>
      <w:r>
        <w:rPr>
          <w:rFonts w:ascii="Times New Roman" w:hAnsi="Times New Roman" w:eastAsia="宋体"/>
          <w:sz w:val="20"/>
        </w:rPr>
        <w:t>图5 2025年5月工作日预测柱状图</w:t>
      </w:r>
    </w:p>
    <w:p>
      <w:r>
        <w:br w:type="page"/>
      </w:r>
    </w:p>
    <w:p>
      <w:pPr>
        <w:pStyle w:val="Heading2"/>
      </w:pPr>
      <w:r>
        <w:t>5.3 问题三：午餐备菜优化模型</w:t>
      </w:r>
    </w:p>
    <w:p>
      <w:pPr>
        <w:pStyle w:val="Heading3"/>
      </w:pPr>
      <w:r>
        <w:t>5.3.1 混合整数线性规划模型</w:t>
      </w:r>
    </w:p>
    <w:p>
      <w:r>
        <w:rPr>
          <w:b w:val="0"/>
          <w:sz w:val="24"/>
        </w:rPr>
        <w:t>建立以利润最大化为目标的MILP模型[7][8][9]。从314种菜品中选择午餐销量最高的50种作为候选，对2025年5月6-12日的每个工作日分别求解。</w:t>
      </w:r>
    </w:p>
    <w:p>
      <w:r>
        <w:rPr>
          <w:b/>
          <w:sz w:val="24"/>
        </w:rPr>
        <w:t>决策变量：x_i ∈ Z⁺ (i=1,2,...,50)，表示菜品i的备菜份数。</w:t>
      </w:r>
    </w:p>
    <w:p>
      <w:r>
        <w:rPr>
          <w:b/>
          <w:sz w:val="24"/>
        </w:rPr>
        <w:t>目标函数：</w:t>
      </w:r>
    </w:p>
    <w:p>
      <w:pPr>
        <w:jc w:val="center"/>
      </w:pPr>
      <w:r>
        <w:rPr>
          <w:rFonts w:ascii="Times New Roman" w:hAnsi="Times New Roman"/>
          <w:i/>
          <w:sz w:val="22"/>
        </w:rPr>
        <w:t>max Z = Σp_i·s_i - Σc_i·x_i - Σh·w_i + γ·Σpop_i·x_i</w:t>
      </w:r>
    </w:p>
    <w:p>
      <w:r>
        <w:rPr>
          <w:b w:val="0"/>
          <w:sz w:val="24"/>
        </w:rPr>
        <w:t>其中s_i = min(x_i, d_i)为期望销售量(通过辅助整数变量线性化：s_i ≤ x_i 且 s_i ≤ d_i)，w_i = max(x_i-d_i, 0)为浪费量(线性化：w_i ≥ x_i-d_i 且 w_i ≥ 0)，d_i = D_total × pop_i为菜品i的期望需求量，γ=0.1为偏好奖励权重。</w:t>
      </w:r>
    </w:p>
    <w:p>
      <w:r>
        <w:rPr>
          <w:b/>
          <w:sz w:val="24"/>
        </w:rPr>
        <w:t>约束条件：</w:t>
      </w:r>
    </w:p>
    <w:p>
      <w:r>
        <w:rPr>
          <w:b w:val="0"/>
          <w:sz w:val="24"/>
        </w:rPr>
        <w:t>(1) 总份量约束：0.85D_total ≤ Σx_i ≤ 1.30D_total (D_total = N_pred × 5.5)；(2) 营养供给约束：Σ(a_ij·x_i) ∈ [R_j×(1-δ), R_j×(1+δ)]，j=热量/蛋白质/脂肪/碳水/纤维，δ=0.20；(3) 类别多样性约束：每类菜品总份数 ≥ 对应最少菜品数×10；(4) 单菜品上下限：5 ≤ x_i ≤ D_total × 0.25；(5) 整数约束：x_i ∈ Z⁺。</w:t>
      </w:r>
    </w:p>
    <w:p>
      <w:pPr>
        <w:pStyle w:val="Heading3"/>
      </w:pPr>
      <w:r>
        <w:t>5.3.2 求解结果</w:t>
      </w:r>
    </w:p>
    <w:p>
      <w:r>
        <w:rPr>
          <w:b w:val="0"/>
          <w:sz w:val="24"/>
        </w:rPr>
        <w:t>使用PuLP调用CBC求解器(timeLimit=120s)，5个工作日的午餐备菜方案全部达到Optimal。备菜总份数约1,744-1,859份，预期利润703-761元/天，营养均衡度(蛋白质/脂肪/碳水供能比与DRIs推荐区间的符合度)为0.93-0.94。蛋白质供能比17.9-18.0%(推荐10-15%，略高)，脂肪供能比22.6-23.5%(推荐20-30%，合理)，碳水供能比58.6-59.5%(推荐50-65%，合理)。</w:t>
      </w:r>
    </w:p>
    <w:tbl>
      <w:tblPr>
        <w:tblStyle w:val="TableGrid"/>
        <w:tblW w:type="auto" w:w="0"/>
        <w:jc w:val="center"/>
        <w:tblLook w:firstColumn="1" w:firstRow="1" w:lastColumn="0" w:lastRow="0" w:noHBand="0" w:noVBand="1" w:val="04A0"/>
      </w:tblPr>
      <w:tblGrid>
        <w:gridCol w:w="1727"/>
        <w:gridCol w:w="1727"/>
        <w:gridCol w:w="1727"/>
        <w:gridCol w:w="1727"/>
        <w:gridCol w:w="1727"/>
      </w:tblGrid>
      <w:tr>
        <w:tc>
          <w:tcPr>
            <w:tcW w:type="dxa" w:w="1727"/>
          </w:tcPr>
          <w:p>
            <w:pPr>
              <w:jc w:val="center"/>
            </w:pPr>
            <w:r>
              <w:rPr>
                <w:b/>
                <w:sz w:val="20"/>
              </w:rPr>
              <w:t>日期</w:t>
            </w:r>
          </w:p>
        </w:tc>
        <w:tc>
          <w:tcPr>
            <w:tcW w:type="dxa" w:w="1727"/>
          </w:tcPr>
          <w:p>
            <w:pPr>
              <w:jc w:val="center"/>
            </w:pPr>
            <w:r>
              <w:rPr>
                <w:b/>
                <w:sz w:val="20"/>
              </w:rPr>
              <w:t>预测人数</w:t>
            </w:r>
          </w:p>
        </w:tc>
        <w:tc>
          <w:tcPr>
            <w:tcW w:type="dxa" w:w="1727"/>
          </w:tcPr>
          <w:p>
            <w:pPr>
              <w:jc w:val="center"/>
            </w:pPr>
            <w:r>
              <w:rPr>
                <w:b/>
                <w:sz w:val="20"/>
              </w:rPr>
              <w:t>备菜总份数</w:t>
            </w:r>
          </w:p>
        </w:tc>
        <w:tc>
          <w:tcPr>
            <w:tcW w:type="dxa" w:w="1727"/>
          </w:tcPr>
          <w:p>
            <w:pPr>
              <w:jc w:val="center"/>
            </w:pPr>
            <w:r>
              <w:rPr>
                <w:b/>
                <w:sz w:val="20"/>
              </w:rPr>
              <w:t>预期利润(元)</w:t>
            </w:r>
          </w:p>
        </w:tc>
        <w:tc>
          <w:tcPr>
            <w:tcW w:type="dxa" w:w="1727"/>
          </w:tcPr>
          <w:p>
            <w:pPr>
              <w:jc w:val="center"/>
            </w:pPr>
            <w:r>
              <w:rPr>
                <w:b/>
                <w:sz w:val="20"/>
              </w:rPr>
              <w:t>营养均衡度</w:t>
            </w:r>
          </w:p>
        </w:tc>
      </w:tr>
      <w:tr>
        <w:tc>
          <w:tcPr>
            <w:tcW w:type="dxa" w:w="1727"/>
          </w:tcPr>
          <w:p>
            <w:pPr>
              <w:jc w:val="center"/>
            </w:pPr>
            <w:r>
              <w:rPr>
                <w:sz w:val="20"/>
              </w:rPr>
              <w:t>05-06(Tue)</w:t>
            </w:r>
          </w:p>
        </w:tc>
        <w:tc>
          <w:tcPr>
            <w:tcW w:type="dxa" w:w="1727"/>
          </w:tcPr>
          <w:p>
            <w:pPr>
              <w:jc w:val="center"/>
            </w:pPr>
            <w:r>
              <w:rPr>
                <w:sz w:val="20"/>
              </w:rPr>
              <w:t>287</w:t>
            </w:r>
          </w:p>
        </w:tc>
        <w:tc>
          <w:tcPr>
            <w:tcW w:type="dxa" w:w="1727"/>
          </w:tcPr>
          <w:p>
            <w:pPr>
              <w:jc w:val="center"/>
            </w:pPr>
            <w:r>
              <w:rPr>
                <w:sz w:val="20"/>
              </w:rPr>
              <w:t>1,817</w:t>
            </w:r>
          </w:p>
        </w:tc>
        <w:tc>
          <w:tcPr>
            <w:tcW w:type="dxa" w:w="1727"/>
          </w:tcPr>
          <w:p>
            <w:pPr>
              <w:jc w:val="center"/>
            </w:pPr>
            <w:r>
              <w:rPr>
                <w:sz w:val="20"/>
              </w:rPr>
              <w:t>731</w:t>
            </w:r>
          </w:p>
        </w:tc>
        <w:tc>
          <w:tcPr>
            <w:tcW w:type="dxa" w:w="1727"/>
          </w:tcPr>
          <w:p>
            <w:pPr>
              <w:jc w:val="center"/>
            </w:pPr>
            <w:r>
              <w:rPr>
                <w:sz w:val="20"/>
              </w:rPr>
              <w:t>0.94</w:t>
            </w:r>
          </w:p>
        </w:tc>
      </w:tr>
      <w:tr>
        <w:tc>
          <w:tcPr>
            <w:tcW w:type="dxa" w:w="1727"/>
          </w:tcPr>
          <w:p>
            <w:pPr>
              <w:jc w:val="center"/>
            </w:pPr>
            <w:r>
              <w:rPr>
                <w:sz w:val="20"/>
              </w:rPr>
              <w:t>05-07(Wed)</w:t>
            </w:r>
          </w:p>
        </w:tc>
        <w:tc>
          <w:tcPr>
            <w:tcW w:type="dxa" w:w="1727"/>
          </w:tcPr>
          <w:p>
            <w:pPr>
              <w:jc w:val="center"/>
            </w:pPr>
            <w:r>
              <w:rPr>
                <w:sz w:val="20"/>
              </w:rPr>
              <w:t>284</w:t>
            </w:r>
          </w:p>
        </w:tc>
        <w:tc>
          <w:tcPr>
            <w:tcW w:type="dxa" w:w="1727"/>
          </w:tcPr>
          <w:p>
            <w:pPr>
              <w:jc w:val="center"/>
            </w:pPr>
            <w:r>
              <w:rPr>
                <w:sz w:val="20"/>
              </w:rPr>
              <w:t>1,796</w:t>
            </w:r>
          </w:p>
        </w:tc>
        <w:tc>
          <w:tcPr>
            <w:tcW w:type="dxa" w:w="1727"/>
          </w:tcPr>
          <w:p>
            <w:pPr>
              <w:jc w:val="center"/>
            </w:pPr>
            <w:r>
              <w:rPr>
                <w:sz w:val="20"/>
              </w:rPr>
              <w:t>721</w:t>
            </w:r>
          </w:p>
        </w:tc>
        <w:tc>
          <w:tcPr>
            <w:tcW w:type="dxa" w:w="1727"/>
          </w:tcPr>
          <w:p>
            <w:pPr>
              <w:jc w:val="center"/>
            </w:pPr>
            <w:r>
              <w:rPr>
                <w:sz w:val="20"/>
              </w:rPr>
              <w:t>0.93</w:t>
            </w:r>
          </w:p>
        </w:tc>
      </w:tr>
      <w:tr>
        <w:tc>
          <w:tcPr>
            <w:tcW w:type="dxa" w:w="1727"/>
          </w:tcPr>
          <w:p>
            <w:pPr>
              <w:jc w:val="center"/>
            </w:pPr>
            <w:r>
              <w:rPr>
                <w:sz w:val="20"/>
              </w:rPr>
              <w:t>05-08(Thu)</w:t>
            </w:r>
          </w:p>
        </w:tc>
        <w:tc>
          <w:tcPr>
            <w:tcW w:type="dxa" w:w="1727"/>
          </w:tcPr>
          <w:p>
            <w:pPr>
              <w:jc w:val="center"/>
            </w:pPr>
            <w:r>
              <w:rPr>
                <w:sz w:val="20"/>
              </w:rPr>
              <w:t>291</w:t>
            </w:r>
          </w:p>
        </w:tc>
        <w:tc>
          <w:tcPr>
            <w:tcW w:type="dxa" w:w="1727"/>
          </w:tcPr>
          <w:p>
            <w:pPr>
              <w:jc w:val="center"/>
            </w:pPr>
            <w:r>
              <w:rPr>
                <w:sz w:val="20"/>
              </w:rPr>
              <w:t>1,841</w:t>
            </w:r>
          </w:p>
        </w:tc>
        <w:tc>
          <w:tcPr>
            <w:tcW w:type="dxa" w:w="1727"/>
          </w:tcPr>
          <w:p>
            <w:pPr>
              <w:jc w:val="center"/>
            </w:pPr>
            <w:r>
              <w:rPr>
                <w:sz w:val="20"/>
              </w:rPr>
              <w:t>761</w:t>
            </w:r>
          </w:p>
        </w:tc>
        <w:tc>
          <w:tcPr>
            <w:tcW w:type="dxa" w:w="1727"/>
          </w:tcPr>
          <w:p>
            <w:pPr>
              <w:jc w:val="center"/>
            </w:pPr>
            <w:r>
              <w:rPr>
                <w:sz w:val="20"/>
              </w:rPr>
              <w:t>0.93</w:t>
            </w:r>
          </w:p>
        </w:tc>
      </w:tr>
      <w:tr>
        <w:tc>
          <w:tcPr>
            <w:tcW w:type="dxa" w:w="1727"/>
          </w:tcPr>
          <w:p>
            <w:pPr>
              <w:jc w:val="center"/>
            </w:pPr>
            <w:r>
              <w:rPr>
                <w:sz w:val="20"/>
              </w:rPr>
              <w:t>05-09(Fri)</w:t>
            </w:r>
          </w:p>
        </w:tc>
        <w:tc>
          <w:tcPr>
            <w:tcW w:type="dxa" w:w="1727"/>
          </w:tcPr>
          <w:p>
            <w:pPr>
              <w:jc w:val="center"/>
            </w:pPr>
            <w:r>
              <w:rPr>
                <w:sz w:val="20"/>
              </w:rPr>
              <w:t>276</w:t>
            </w:r>
          </w:p>
        </w:tc>
        <w:tc>
          <w:tcPr>
            <w:tcW w:type="dxa" w:w="1727"/>
          </w:tcPr>
          <w:p>
            <w:pPr>
              <w:jc w:val="center"/>
            </w:pPr>
            <w:r>
              <w:rPr>
                <w:sz w:val="20"/>
              </w:rPr>
              <w:t>1,744</w:t>
            </w:r>
          </w:p>
        </w:tc>
        <w:tc>
          <w:tcPr>
            <w:tcW w:type="dxa" w:w="1727"/>
          </w:tcPr>
          <w:p>
            <w:pPr>
              <w:jc w:val="center"/>
            </w:pPr>
            <w:r>
              <w:rPr>
                <w:sz w:val="20"/>
              </w:rPr>
              <w:t>703</w:t>
            </w:r>
          </w:p>
        </w:tc>
        <w:tc>
          <w:tcPr>
            <w:tcW w:type="dxa" w:w="1727"/>
          </w:tcPr>
          <w:p>
            <w:pPr>
              <w:jc w:val="center"/>
            </w:pPr>
            <w:r>
              <w:rPr>
                <w:sz w:val="20"/>
              </w:rPr>
              <w:t>0.93</w:t>
            </w:r>
          </w:p>
        </w:tc>
      </w:tr>
      <w:tr>
        <w:tc>
          <w:tcPr>
            <w:tcW w:type="dxa" w:w="1727"/>
          </w:tcPr>
          <w:p>
            <w:pPr>
              <w:jc w:val="center"/>
            </w:pPr>
            <w:r>
              <w:rPr>
                <w:sz w:val="20"/>
              </w:rPr>
              <w:t>05-12(Mon)</w:t>
            </w:r>
          </w:p>
        </w:tc>
        <w:tc>
          <w:tcPr>
            <w:tcW w:type="dxa" w:w="1727"/>
          </w:tcPr>
          <w:p>
            <w:pPr>
              <w:jc w:val="center"/>
            </w:pPr>
            <w:r>
              <w:rPr>
                <w:sz w:val="20"/>
              </w:rPr>
              <w:t>294</w:t>
            </w:r>
          </w:p>
        </w:tc>
        <w:tc>
          <w:tcPr>
            <w:tcW w:type="dxa" w:w="1727"/>
          </w:tcPr>
          <w:p>
            <w:pPr>
              <w:jc w:val="center"/>
            </w:pPr>
            <w:r>
              <w:rPr>
                <w:sz w:val="20"/>
              </w:rPr>
              <w:t>1,859</w:t>
            </w:r>
          </w:p>
        </w:tc>
        <w:tc>
          <w:tcPr>
            <w:tcW w:type="dxa" w:w="1727"/>
          </w:tcPr>
          <w:p>
            <w:pPr>
              <w:jc w:val="center"/>
            </w:pPr>
            <w:r>
              <w:rPr>
                <w:sz w:val="20"/>
              </w:rPr>
              <w:t>756</w:t>
            </w:r>
          </w:p>
        </w:tc>
        <w:tc>
          <w:tcPr>
            <w:tcW w:type="dxa" w:w="1727"/>
          </w:tcPr>
          <w:p>
            <w:pPr>
              <w:jc w:val="center"/>
            </w:pPr>
            <w:r>
              <w:rPr>
                <w:sz w:val="20"/>
              </w:rPr>
              <w:t>0.94</w:t>
            </w:r>
          </w:p>
        </w:tc>
      </w:tr>
    </w:tbl>
    <w:p>
      <w:pPr>
        <w:jc w:val="center"/>
      </w:pPr>
      <w:r>
        <w:rPr>
          <w:b w:val="0"/>
          <w:sz w:val="20"/>
        </w:rPr>
        <w:t>表2 2025年5月6-12日午餐备菜方案汇总</w:t>
      </w:r>
    </w:p>
    <w:p>
      <w:pPr>
        <w:jc w:val="center"/>
      </w:pPr>
      <w:r>
        <w:drawing>
          <wp:inline xmlns:a="http://schemas.openxmlformats.org/drawingml/2006/main" xmlns:pic="http://schemas.openxmlformats.org/drawingml/2006/picture">
            <wp:extent cx="5029200" cy="3128882"/>
            <wp:docPr id="6" name="Picture 6"/>
            <wp:cNvGraphicFramePr>
              <a:graphicFrameLocks noChangeAspect="1"/>
            </wp:cNvGraphicFramePr>
            <a:graphic>
              <a:graphicData uri="http://schemas.openxmlformats.org/drawingml/2006/picture">
                <pic:pic>
                  <pic:nvPicPr>
                    <pic:cNvPr id="0" name="p3_meal_plans.png"/>
                    <pic:cNvPicPr/>
                  </pic:nvPicPr>
                  <pic:blipFill>
                    <a:blip r:embed="rId14"/>
                    <a:stretch>
                      <a:fillRect/>
                    </a:stretch>
                  </pic:blipFill>
                  <pic:spPr>
                    <a:xfrm>
                      <a:off x="0" y="0"/>
                      <a:ext cx="5029200" cy="3128882"/>
                    </a:xfrm>
                    <a:prstGeom prst="rect"/>
                  </pic:spPr>
                </pic:pic>
              </a:graphicData>
            </a:graphic>
          </wp:inline>
        </w:drawing>
      </w:r>
    </w:p>
    <w:p>
      <w:pPr>
        <w:jc w:val="center"/>
      </w:pPr>
      <w:r>
        <w:rPr>
          <w:rFonts w:ascii="Times New Roman" w:hAnsi="Times New Roman" w:eastAsia="宋体"/>
          <w:sz w:val="20"/>
        </w:rPr>
        <w:t>图6 午餐备菜方案可视化</w:t>
      </w:r>
    </w:p>
    <w:p>
      <w:r>
        <w:br w:type="page"/>
      </w:r>
    </w:p>
    <w:p>
      <w:pPr>
        <w:pStyle w:val="Heading2"/>
      </w:pPr>
      <w:r>
        <w:t>5.4 问题四：套餐优化设计模型</w:t>
      </w:r>
    </w:p>
    <w:p>
      <w:pPr>
        <w:pStyle w:val="Heading3"/>
      </w:pPr>
      <w:r>
        <w:t>5.4.1 五维评分函数</w:t>
      </w:r>
    </w:p>
    <w:p>
      <w:r>
        <w:rPr>
          <w:b w:val="0"/>
          <w:sz w:val="24"/>
        </w:rPr>
        <w:t>构建综合评分函数评估套餐组合质量[10]，五个维度分别为：消费者偏好评分(权重0.30)——菜品历史销量归一化后的均值；营养均衡评分(权重0.30)——宏量营养素供能比与推荐区间的符合度；利润评分(权重0.25)——套餐利润率与理想40%的接近程度；共购关联评分(权重0.15)——基于问题一关联规则和共现矩阵的菜品搭配契合度；价格符合度(权重0.15)——总价与目标价位的偏差惩罚。</w:t>
      </w:r>
    </w:p>
    <w:p>
      <w:pPr>
        <w:pStyle w:val="Heading3"/>
      </w:pPr>
      <w:r>
        <w:t>5.4.2 贪心搜索与局部优化</w:t>
      </w:r>
    </w:p>
    <w:p>
      <w:r>
        <w:rPr>
          <w:b w:val="0"/>
          <w:sz w:val="24"/>
        </w:rPr>
        <w:t>搜索算法分为两阶段：(1)贪心搜索：根据价位预设套餐结构模板(如10元为主食×1+荤菜×1+素菜×1)，按类别以70%确定性+30%随机性的混合排序逐类选择菜品，进行200次独立采样；(2)局部优化：对贪心搜索结果执行100次迭代优化，随机执行替换(同类别菜品互换)、添加(在预算内增加菜品)或移除操作，仅当新方案得分更高时才接受(爬山法)。</w:t>
      </w:r>
    </w:p>
    <w:p>
      <w:pPr>
        <w:pStyle w:val="Heading3"/>
      </w:pPr>
      <w:r>
        <w:t>5.4.3 三层套餐方案</w:t>
      </w:r>
    </w:p>
    <w:p>
      <w:r>
        <w:rPr>
          <w:b w:val="0"/>
          <w:sz w:val="24"/>
        </w:rPr>
        <w:t>通过上述优化算法，得到三个价位的套餐方案如下。所有套餐的营养均衡度均达到0.98以上，实际总价与目标价位的偏差均在5%以内。10元套餐适合价格敏感型顾客，15元套餐为主要推荐款，20元套餐面向追求品质和多样性的顾客群体。</w:t>
      </w:r>
    </w:p>
    <w:tbl>
      <w:tblPr>
        <w:tblStyle w:val="TableGrid"/>
        <w:tblW w:type="auto" w:w="0"/>
        <w:jc w:val="center"/>
        <w:tblLook w:firstColumn="1" w:firstRow="1" w:lastColumn="0" w:lastRow="0" w:noHBand="0" w:noVBand="1" w:val="04A0"/>
      </w:tblPr>
      <w:tblGrid>
        <w:gridCol w:w="1233"/>
        <w:gridCol w:w="1233"/>
        <w:gridCol w:w="1233"/>
        <w:gridCol w:w="1233"/>
        <w:gridCol w:w="1233"/>
        <w:gridCol w:w="1233"/>
        <w:gridCol w:w="1233"/>
      </w:tblGrid>
      <w:tr>
        <w:tc>
          <w:tcPr>
            <w:tcW w:type="dxa" w:w="1233"/>
          </w:tcPr>
          <w:p>
            <w:pPr>
              <w:jc w:val="center"/>
            </w:pPr>
            <w:r>
              <w:rPr>
                <w:b/>
                <w:sz w:val="20"/>
              </w:rPr>
              <w:t>价位</w:t>
            </w:r>
          </w:p>
        </w:tc>
        <w:tc>
          <w:tcPr>
            <w:tcW w:type="dxa" w:w="1233"/>
          </w:tcPr>
          <w:p>
            <w:pPr>
              <w:jc w:val="center"/>
            </w:pPr>
            <w:r>
              <w:rPr>
                <w:b/>
                <w:sz w:val="20"/>
              </w:rPr>
              <w:t>定位</w:t>
            </w:r>
          </w:p>
        </w:tc>
        <w:tc>
          <w:tcPr>
            <w:tcW w:type="dxa" w:w="1233"/>
          </w:tcPr>
          <w:p>
            <w:pPr>
              <w:jc w:val="center"/>
            </w:pPr>
            <w:r>
              <w:rPr>
                <w:b/>
                <w:sz w:val="20"/>
              </w:rPr>
              <w:t>菜品结构</w:t>
            </w:r>
          </w:p>
        </w:tc>
        <w:tc>
          <w:tcPr>
            <w:tcW w:type="dxa" w:w="1233"/>
          </w:tcPr>
          <w:p>
            <w:pPr>
              <w:jc w:val="center"/>
            </w:pPr>
            <w:r>
              <w:rPr>
                <w:b/>
                <w:sz w:val="20"/>
              </w:rPr>
              <w:t>实际总价(元)</w:t>
            </w:r>
          </w:p>
        </w:tc>
        <w:tc>
          <w:tcPr>
            <w:tcW w:type="dxa" w:w="1233"/>
          </w:tcPr>
          <w:p>
            <w:pPr>
              <w:jc w:val="center"/>
            </w:pPr>
            <w:r>
              <w:rPr>
                <w:b/>
                <w:sz w:val="20"/>
              </w:rPr>
              <w:t>利润率</w:t>
            </w:r>
          </w:p>
        </w:tc>
        <w:tc>
          <w:tcPr>
            <w:tcW w:type="dxa" w:w="1233"/>
          </w:tcPr>
          <w:p>
            <w:pPr>
              <w:jc w:val="center"/>
            </w:pPr>
            <w:r>
              <w:rPr>
                <w:b/>
                <w:sz w:val="20"/>
              </w:rPr>
              <w:t>营养均衡度</w:t>
            </w:r>
          </w:p>
        </w:tc>
        <w:tc>
          <w:tcPr>
            <w:tcW w:type="dxa" w:w="1233"/>
          </w:tcPr>
          <w:p>
            <w:pPr>
              <w:jc w:val="center"/>
            </w:pPr>
            <w:r>
              <w:rPr>
                <w:b/>
                <w:sz w:val="20"/>
              </w:rPr>
              <w:t>热量(kcal)</w:t>
            </w:r>
          </w:p>
        </w:tc>
      </w:tr>
      <w:tr>
        <w:tc>
          <w:tcPr>
            <w:tcW w:type="dxa" w:w="1233"/>
          </w:tcPr>
          <w:p>
            <w:pPr>
              <w:jc w:val="center"/>
            </w:pPr>
            <w:r>
              <w:rPr>
                <w:sz w:val="20"/>
              </w:rPr>
              <w:t>10元</w:t>
            </w:r>
          </w:p>
        </w:tc>
        <w:tc>
          <w:tcPr>
            <w:tcW w:type="dxa" w:w="1233"/>
          </w:tcPr>
          <w:p>
            <w:pPr>
              <w:jc w:val="center"/>
            </w:pPr>
            <w:r>
              <w:rPr>
                <w:sz w:val="20"/>
              </w:rPr>
              <w:t>经济基础型</w:t>
            </w:r>
          </w:p>
        </w:tc>
        <w:tc>
          <w:tcPr>
            <w:tcW w:type="dxa" w:w="1233"/>
          </w:tcPr>
          <w:p>
            <w:pPr>
              <w:jc w:val="center"/>
            </w:pPr>
            <w:r>
              <w:rPr>
                <w:sz w:val="20"/>
              </w:rPr>
              <w:t>主食×1+荤菜×1+素菜×1</w:t>
            </w:r>
          </w:p>
        </w:tc>
        <w:tc>
          <w:tcPr>
            <w:tcW w:type="dxa" w:w="1233"/>
          </w:tcPr>
          <w:p>
            <w:pPr>
              <w:jc w:val="center"/>
            </w:pPr>
            <w:r>
              <w:rPr>
                <w:sz w:val="20"/>
              </w:rPr>
              <w:t>10.00</w:t>
            </w:r>
          </w:p>
        </w:tc>
        <w:tc>
          <w:tcPr>
            <w:tcW w:type="dxa" w:w="1233"/>
          </w:tcPr>
          <w:p>
            <w:pPr>
              <w:jc w:val="center"/>
            </w:pPr>
            <w:r>
              <w:rPr>
                <w:sz w:val="20"/>
              </w:rPr>
              <w:t>55%</w:t>
            </w:r>
          </w:p>
        </w:tc>
        <w:tc>
          <w:tcPr>
            <w:tcW w:type="dxa" w:w="1233"/>
          </w:tcPr>
          <w:p>
            <w:pPr>
              <w:jc w:val="center"/>
            </w:pPr>
            <w:r>
              <w:rPr>
                <w:sz w:val="20"/>
              </w:rPr>
              <w:t>0.98</w:t>
            </w:r>
          </w:p>
        </w:tc>
        <w:tc>
          <w:tcPr>
            <w:tcW w:type="dxa" w:w="1233"/>
          </w:tcPr>
          <w:p>
            <w:pPr>
              <w:jc w:val="center"/>
            </w:pPr>
            <w:r>
              <w:rPr>
                <w:sz w:val="20"/>
              </w:rPr>
              <w:t>683</w:t>
            </w:r>
          </w:p>
        </w:tc>
      </w:tr>
      <w:tr>
        <w:tc>
          <w:tcPr>
            <w:tcW w:type="dxa" w:w="1233"/>
          </w:tcPr>
          <w:p>
            <w:pPr>
              <w:jc w:val="center"/>
            </w:pPr>
            <w:r>
              <w:rPr>
                <w:sz w:val="20"/>
              </w:rPr>
              <w:t>15元</w:t>
            </w:r>
          </w:p>
        </w:tc>
        <w:tc>
          <w:tcPr>
            <w:tcW w:type="dxa" w:w="1233"/>
          </w:tcPr>
          <w:p>
            <w:pPr>
              <w:jc w:val="center"/>
            </w:pPr>
            <w:r>
              <w:rPr>
                <w:sz w:val="20"/>
              </w:rPr>
              <w:t>均衡实用型</w:t>
            </w:r>
          </w:p>
        </w:tc>
        <w:tc>
          <w:tcPr>
            <w:tcW w:type="dxa" w:w="1233"/>
          </w:tcPr>
          <w:p>
            <w:pPr>
              <w:jc w:val="center"/>
            </w:pPr>
            <w:r>
              <w:rPr>
                <w:sz w:val="20"/>
              </w:rPr>
              <w:t>主食×1+荤菜×1+半荤×1+素菜×2</w:t>
            </w:r>
          </w:p>
        </w:tc>
        <w:tc>
          <w:tcPr>
            <w:tcW w:type="dxa" w:w="1233"/>
          </w:tcPr>
          <w:p>
            <w:pPr>
              <w:jc w:val="center"/>
            </w:pPr>
            <w:r>
              <w:rPr>
                <w:sz w:val="20"/>
              </w:rPr>
              <w:t>14.31</w:t>
            </w:r>
          </w:p>
        </w:tc>
        <w:tc>
          <w:tcPr>
            <w:tcW w:type="dxa" w:w="1233"/>
          </w:tcPr>
          <w:p>
            <w:pPr>
              <w:jc w:val="center"/>
            </w:pPr>
            <w:r>
              <w:rPr>
                <w:sz w:val="20"/>
              </w:rPr>
              <w:t>55%</w:t>
            </w:r>
          </w:p>
        </w:tc>
        <w:tc>
          <w:tcPr>
            <w:tcW w:type="dxa" w:w="1233"/>
          </w:tcPr>
          <w:p>
            <w:pPr>
              <w:jc w:val="center"/>
            </w:pPr>
            <w:r>
              <w:rPr>
                <w:sz w:val="20"/>
              </w:rPr>
              <w:t>0.98</w:t>
            </w:r>
          </w:p>
        </w:tc>
        <w:tc>
          <w:tcPr>
            <w:tcW w:type="dxa" w:w="1233"/>
          </w:tcPr>
          <w:p>
            <w:pPr>
              <w:jc w:val="center"/>
            </w:pPr>
            <w:r>
              <w:rPr>
                <w:sz w:val="20"/>
              </w:rPr>
              <w:t>669</w:t>
            </w:r>
          </w:p>
        </w:tc>
      </w:tr>
      <w:tr>
        <w:tc>
          <w:tcPr>
            <w:tcW w:type="dxa" w:w="1233"/>
          </w:tcPr>
          <w:p>
            <w:pPr>
              <w:jc w:val="center"/>
            </w:pPr>
            <w:r>
              <w:rPr>
                <w:sz w:val="20"/>
              </w:rPr>
              <w:t>20元</w:t>
            </w:r>
          </w:p>
        </w:tc>
        <w:tc>
          <w:tcPr>
            <w:tcW w:type="dxa" w:w="1233"/>
          </w:tcPr>
          <w:p>
            <w:pPr>
              <w:jc w:val="center"/>
            </w:pPr>
            <w:r>
              <w:rPr>
                <w:sz w:val="20"/>
              </w:rPr>
              <w:t>丰富营养型</w:t>
            </w:r>
          </w:p>
        </w:tc>
        <w:tc>
          <w:tcPr>
            <w:tcW w:type="dxa" w:w="1233"/>
          </w:tcPr>
          <w:p>
            <w:pPr>
              <w:jc w:val="center"/>
            </w:pPr>
            <w:r>
              <w:rPr>
                <w:sz w:val="20"/>
              </w:rPr>
              <w:t>主食×1+荤菜×2+半荤×1+素菜×2+其他×1</w:t>
            </w:r>
          </w:p>
        </w:tc>
        <w:tc>
          <w:tcPr>
            <w:tcW w:type="dxa" w:w="1233"/>
          </w:tcPr>
          <w:p>
            <w:pPr>
              <w:jc w:val="center"/>
            </w:pPr>
            <w:r>
              <w:rPr>
                <w:sz w:val="20"/>
              </w:rPr>
              <w:t>19.69</w:t>
            </w:r>
          </w:p>
        </w:tc>
        <w:tc>
          <w:tcPr>
            <w:tcW w:type="dxa" w:w="1233"/>
          </w:tcPr>
          <w:p>
            <w:pPr>
              <w:jc w:val="center"/>
            </w:pPr>
            <w:r>
              <w:rPr>
                <w:sz w:val="20"/>
              </w:rPr>
              <w:t>55%</w:t>
            </w:r>
          </w:p>
        </w:tc>
        <w:tc>
          <w:tcPr>
            <w:tcW w:type="dxa" w:w="1233"/>
          </w:tcPr>
          <w:p>
            <w:pPr>
              <w:jc w:val="center"/>
            </w:pPr>
            <w:r>
              <w:rPr>
                <w:sz w:val="20"/>
              </w:rPr>
              <w:t>0.99</w:t>
            </w:r>
          </w:p>
        </w:tc>
        <w:tc>
          <w:tcPr>
            <w:tcW w:type="dxa" w:w="1233"/>
          </w:tcPr>
          <w:p>
            <w:pPr>
              <w:jc w:val="center"/>
            </w:pPr>
            <w:r>
              <w:rPr>
                <w:sz w:val="20"/>
              </w:rPr>
              <w:t>1,173</w:t>
            </w:r>
          </w:p>
        </w:tc>
      </w:tr>
    </w:tbl>
    <w:p>
      <w:pPr>
        <w:jc w:val="center"/>
      </w:pPr>
      <w:r>
        <w:rPr>
          <w:b w:val="0"/>
          <w:sz w:val="20"/>
        </w:rPr>
        <w:t>表3 三价位套餐方案汇总</w:t>
      </w:r>
    </w:p>
    <w:p>
      <w:pPr>
        <w:jc w:val="center"/>
      </w:pPr>
      <w:r>
        <w:drawing>
          <wp:inline xmlns:a="http://schemas.openxmlformats.org/drawingml/2006/main" xmlns:pic="http://schemas.openxmlformats.org/drawingml/2006/picture">
            <wp:extent cx="5029200" cy="1915783"/>
            <wp:docPr id="7" name="Picture 7"/>
            <wp:cNvGraphicFramePr>
              <a:graphicFrameLocks noChangeAspect="1"/>
            </wp:cNvGraphicFramePr>
            <a:graphic>
              <a:graphicData uri="http://schemas.openxmlformats.org/drawingml/2006/picture">
                <pic:pic>
                  <pic:nvPicPr>
                    <pic:cNvPr id="0" name="p4_combo_results.png"/>
                    <pic:cNvPicPr/>
                  </pic:nvPicPr>
                  <pic:blipFill>
                    <a:blip r:embed="rId15"/>
                    <a:stretch>
                      <a:fillRect/>
                    </a:stretch>
                  </pic:blipFill>
                  <pic:spPr>
                    <a:xfrm>
                      <a:off x="0" y="0"/>
                      <a:ext cx="5029200" cy="1915783"/>
                    </a:xfrm>
                    <a:prstGeom prst="rect"/>
                  </pic:spPr>
                </pic:pic>
              </a:graphicData>
            </a:graphic>
          </wp:inline>
        </w:drawing>
      </w:r>
    </w:p>
    <w:p>
      <w:pPr>
        <w:jc w:val="center"/>
      </w:pPr>
      <w:r>
        <w:rPr>
          <w:rFonts w:ascii="Times New Roman" w:hAnsi="Times New Roman" w:eastAsia="宋体"/>
          <w:sz w:val="20"/>
        </w:rPr>
        <w:t>图7 三价位套餐指标对比与营养雷达图</w:t>
      </w:r>
    </w:p>
    <w:p>
      <w:r>
        <w:br w:type="page"/>
      </w:r>
    </w:p>
    <w:p>
      <w:pPr>
        <w:pStyle w:val="Heading2"/>
      </w:pPr>
      <w:r>
        <w:t>5.5 问题五：经营策略优化</w:t>
      </w:r>
    </w:p>
    <w:p>
      <w:r>
        <w:rPr>
          <w:b w:val="0"/>
          <w:sz w:val="24"/>
        </w:rPr>
        <w:t>基于问题一至四的定量分析结果，从五个维度提出系统性经营优化策略。所有建议均标注数据依据，避免无根据的主观臆断。</w:t>
      </w:r>
    </w:p>
    <w:p>
      <w:pPr>
        <w:pStyle w:val="Heading3"/>
      </w:pPr>
      <w:r>
        <w:t>5.5.1 备菜策略优化</w:t>
      </w:r>
    </w:p>
    <w:p>
      <w:r>
        <w:rPr>
          <w:b w:val="0"/>
          <w:sz w:val="24"/>
        </w:rPr>
        <w:t>建立ABC分级备菜制度：A类菜品(76种，贡献80%销量)采用充分备货(预测需求×1.15)，B类(70种，贡献15%)适度备货(×1.05)，C类(168种)小批量轮换供应。构建"预测→备菜→销售→复盘"的数据闭环，每日记录剩余量和缺货情况反馈至预测模型。设置安全库存系数15%(Z=1.65，95%服务水平)。数据依据：日需求波动系数CV=22.7%，星期波动CV=16.3%。</w:t>
      </w:r>
    </w:p>
    <w:p>
      <w:pPr>
        <w:pStyle w:val="Heading3"/>
      </w:pPr>
      <w:r>
        <w:t>5.5.2 菜品结构优化</w:t>
      </w:r>
    </w:p>
    <w:p>
      <w:r>
        <w:rPr>
          <w:b w:val="0"/>
          <w:sz w:val="24"/>
        </w:rPr>
        <w:t>基于销量×利润率双维评估矩阵，将菜品分为推广(76种)、维持(146种)和替换(79种)三类。午餐采用"丰富多样"策略提供40-50种菜品，晚餐采用"精简精选"策略提供15-20种核心菜品。建立菜品生命周期管理制度，每月评估菜品表现，淘汰连续两个月排名后20%的菜品。</w:t>
      </w:r>
    </w:p>
    <w:p>
      <w:pPr>
        <w:pStyle w:val="Heading3"/>
      </w:pPr>
      <w:r>
        <w:t>5.5.3 套餐推广策略</w:t>
      </w:r>
    </w:p>
    <w:p>
      <w:r>
        <w:rPr>
          <w:b w:val="0"/>
          <w:sz w:val="24"/>
        </w:rPr>
        <w:t>推出10/15/20元三层阶梯套餐体系，预期各价位销售占比为20%/50%/30%。每周根据库存和时令食材动态更新套餐内容，结合关联规则优化内部搭配。对套餐进行营养标识(热量、蛋白质、脂肪、碳水)，推出"高蛋白""低脂"等健康标签，契合消费者健康饮食趋势。</w:t>
      </w:r>
    </w:p>
    <w:p>
      <w:pPr>
        <w:pStyle w:val="Heading3"/>
      </w:pPr>
      <w:r>
        <w:t>5.5.4 数字化运营建议</w:t>
      </w:r>
    </w:p>
    <w:p>
      <w:r>
        <w:rPr>
          <w:b w:val="0"/>
          <w:sz w:val="24"/>
        </w:rPr>
        <w:t>建立每日运营数据看板，实时监控销售额、就餐人数和热门菜品。预测模型每周使用最新数据迭代训练，当MAPE连续两周&gt;20%时触发模型审查。将MILP优化模型的备菜方案直接推送至后厨管理系统，菜品消耗数据实时回传以动态调整补菜计划。</w:t>
      </w:r>
    </w:p>
    <w:p>
      <w:pPr>
        <w:pStyle w:val="Heading3"/>
      </w:pPr>
      <w:r>
        <w:t>5.5.5 营养与ESG策略</w:t>
      </w:r>
    </w:p>
    <w:p>
      <w:r>
        <w:rPr>
          <w:b w:val="0"/>
          <w:sz w:val="24"/>
        </w:rPr>
        <w:t>当前人均脂肪供能比32.9%略高于推荐的20-30%，建议增加低脂菜品比例。按10%剩余率估算，日均食物浪费约319元(年约11.6万元)，通过精准预测和优化备菜有望降低30-40%。优先采购本地食材减少碳足迹，使用可降解餐盒减少塑料污染，将ESG成果融入品牌宣传。数据依据：实际人均营养数据+DRIs 2023推荐标准。</w:t>
      </w:r>
    </w:p>
    <w:p>
      <w:pPr>
        <w:jc w:val="center"/>
      </w:pPr>
      <w:r>
        <w:drawing>
          <wp:inline xmlns:a="http://schemas.openxmlformats.org/drawingml/2006/main" xmlns:pic="http://schemas.openxmlformats.org/drawingml/2006/picture">
            <wp:extent cx="5029200" cy="2732762"/>
            <wp:docPr id="8" name="Picture 8"/>
            <wp:cNvGraphicFramePr>
              <a:graphicFrameLocks noChangeAspect="1"/>
            </wp:cNvGraphicFramePr>
            <a:graphic>
              <a:graphicData uri="http://schemas.openxmlformats.org/drawingml/2006/picture">
                <pic:pic>
                  <pic:nvPicPr>
                    <pic:cNvPr id="0" name="p5_strategy_summary.png"/>
                    <pic:cNvPicPr/>
                  </pic:nvPicPr>
                  <pic:blipFill>
                    <a:blip r:embed="rId16"/>
                    <a:stretch>
                      <a:fillRect/>
                    </a:stretch>
                  </pic:blipFill>
                  <pic:spPr>
                    <a:xfrm>
                      <a:off x="0" y="0"/>
                      <a:ext cx="5029200" cy="2732762"/>
                    </a:xfrm>
                    <a:prstGeom prst="rect"/>
                  </pic:spPr>
                </pic:pic>
              </a:graphicData>
            </a:graphic>
          </wp:inline>
        </w:drawing>
      </w:r>
    </w:p>
    <w:p>
      <w:pPr>
        <w:jc w:val="center"/>
      </w:pPr>
      <w:r>
        <w:rPr>
          <w:rFonts w:ascii="Times New Roman" w:hAnsi="Times New Roman" w:eastAsia="宋体"/>
          <w:sz w:val="20"/>
        </w:rPr>
        <w:t>图8 五维度经营策略框架图</w:t>
      </w:r>
    </w:p>
    <w:p>
      <w:r>
        <w:br w:type="page"/>
      </w:r>
    </w:p>
    <w:p>
      <w:pPr>
        <w:pStyle w:val="Heading1"/>
      </w:pPr>
      <w:r>
        <w:t>六、灵敏度分析与模型检验</w:t>
      </w:r>
    </w:p>
    <w:p>
      <w:pPr>
        <w:pStyle w:val="Heading2"/>
      </w:pPr>
      <w:r>
        <w:t>6.1 安全库存系数灵敏度分析</w:t>
      </w:r>
    </w:p>
    <w:p>
      <w:r>
        <w:rPr>
          <w:b w:val="0"/>
          <w:sz w:val="24"/>
        </w:rPr>
        <w:t>对问题三MILP模型中的安全库存系数SAFETY_STOCK_FACTOR进行灵敏度分析，分别取0.05、0.10、0.15(基准值)、0.20、0.25五个水平。发现当系数从0.05增加到0.25时，备菜总份数从约1,520份线性增加到约1,950份，预期利润从约780元降低到约650元。系数0.15在供应保障(95%服务水平)和成本控制之间取得较好平衡。</w:t>
      </w:r>
    </w:p>
    <w:p>
      <w:pPr>
        <w:pStyle w:val="Heading2"/>
      </w:pPr>
      <w:r>
        <w:t>6.2 营养容忍度灵敏度分析</w:t>
      </w:r>
    </w:p>
    <w:p>
      <w:r>
        <w:rPr>
          <w:b w:val="0"/>
          <w:sz w:val="24"/>
        </w:rPr>
        <w:t>对营养容忍度NUTRITION_TOLERANCE进行分析，分别取0.10、0.20(基准值)、0.30。发现当容忍度收紧至0.10时，MILP在某些工作日出现Infeasible(无法同时满足紧密的营养约束和多样性约束)；放宽至0.30时，求解全部Optimal且利润轻微上升(约+5%)，但营养供给精度下降。容忍度0.20在可行性和营养精准度间取得均衡。</w:t>
      </w:r>
    </w:p>
    <w:p>
      <w:pPr>
        <w:pStyle w:val="Heading2"/>
      </w:pPr>
      <w:r>
        <w:t>6.3 预测模型交叉验证</w:t>
      </w:r>
    </w:p>
    <w:p>
      <w:r>
        <w:rPr>
          <w:b w:val="0"/>
          <w:sz w:val="24"/>
        </w:rPr>
        <w:t>对问题二的XGBoost模型采用TimeSeriesSplit(3折)进行严格的时间序列交叉验证，确保训练集时间始终在测试集之前。SARIMA模型通过残差白噪声检验(Ljung-Box检验)验证模型充分性。两种模型均通过检验，表明模型设定合理、无明显欠/过拟合。</w:t>
      </w:r>
    </w:p>
    <w:p>
      <w:pPr>
        <w:pStyle w:val="Heading2"/>
      </w:pPr>
      <w:r>
        <w:t>6.4 关联规则稳定性检验</w:t>
      </w:r>
    </w:p>
    <w:p>
      <w:r>
        <w:rPr>
          <w:b w:val="0"/>
          <w:sz w:val="24"/>
        </w:rPr>
        <w:t>对Apriori算法进行Bootstrap重采样检验(1,000次)，发现Top 10关联规则的提升度均值变异系数均小于5%，表明挖掘出的关联规则具有较好的统计稳定性，不受样本随机波动的影响。</w:t>
      </w:r>
    </w:p>
    <w:p>
      <w:r>
        <w:br w:type="page"/>
      </w:r>
    </w:p>
    <w:p>
      <w:pPr>
        <w:pStyle w:val="Heading1"/>
      </w:pPr>
      <w:r>
        <w:t>七、模型的评价与改进</w:t>
      </w:r>
    </w:p>
    <w:p>
      <w:pPr>
        <w:pStyle w:val="Heading2"/>
      </w:pPr>
      <w:r>
        <w:t>7.1 模型的优点</w:t>
      </w:r>
    </w:p>
    <w:p>
      <w:r>
        <w:rPr>
          <w:b w:val="0"/>
          <w:sz w:val="22"/>
        </w:rPr>
        <w:t>1. 建立了完整的"预测→优化→策略"闭环分析框架，五个问题之间存在紧密的逻辑衔接而非孤立求解。</w:t>
      </w:r>
    </w:p>
    <w:p>
      <w:r>
        <w:rPr>
          <w:b w:val="0"/>
          <w:sz w:val="22"/>
        </w:rPr>
        <w:t>2. 问题二采用3种模型+组合预测的多方法对比策略，通过交叉验证客观评估模型性能，避免单一方法的主观偏误。</w:t>
      </w:r>
    </w:p>
    <w:p>
      <w:r>
        <w:rPr>
          <w:b w:val="0"/>
          <w:sz w:val="22"/>
        </w:rPr>
        <w:t>3. 问题三的MILP模型数学建模规范，决策变量、目标函数和约束条件均有明确的理论依据和文献支撑。</w:t>
      </w:r>
    </w:p>
    <w:p>
      <w:r>
        <w:rPr>
          <w:b w:val="0"/>
          <w:sz w:val="22"/>
        </w:rPr>
        <w:t>4. 所有策略建议均附带数据依据(如ABC分类来源于问题一、营养标准引用DRIs 2023)，增强了结论的可信度。</w:t>
      </w:r>
    </w:p>
    <w:p>
      <w:r>
        <w:rPr>
          <w:b w:val="0"/>
          <w:sz w:val="22"/>
        </w:rPr>
        <w:t>5. 采用Nature NPG学术配色和300dpi高分辨率输出图表，满足学术出版质量标准。</w:t>
      </w:r>
    </w:p>
    <w:p>
      <w:pPr>
        <w:pStyle w:val="Heading2"/>
      </w:pPr>
      <w:r>
        <w:t>7.2 模型的缺点</w:t>
      </w:r>
    </w:p>
    <w:p>
      <w:r>
        <w:rPr>
          <w:b w:val="0"/>
          <w:sz w:val="22"/>
        </w:rPr>
        <w:t>1. 菜品分类基于关键词匹配，准确率约46%，尽管已添加营养特征辅助分类，仍有一半以上菜品归为"其他"类别，影响了多样性约束的精确性。</w:t>
      </w:r>
    </w:p>
    <w:p>
      <w:r>
        <w:rPr>
          <w:b w:val="0"/>
          <w:sz w:val="22"/>
        </w:rPr>
        <w:t>2. 2025年5月预测仅使用历史同月同星期均值外推，未使用训练好的SARIMA/XGBoost模型进行真正的滚动预测，预测值缺乏周间变化性。</w:t>
      </w:r>
    </w:p>
    <w:p>
      <w:r>
        <w:rPr>
          <w:b w:val="0"/>
          <w:sz w:val="22"/>
        </w:rPr>
        <w:t>3. MILP中菜品成本统一按45%成本率估算，未区分荤菜(高成本60%+)与素菜(低成本25%)，导致利润估算存在偏差。</w:t>
      </w:r>
    </w:p>
    <w:p>
      <w:r>
        <w:rPr>
          <w:b w:val="0"/>
          <w:sz w:val="22"/>
        </w:rPr>
        <w:t>4. 套餐优化采用贪心+爬山法，未使用遗传算法等更先进的全局优化方法，可能遗漏更优的套餐组合。</w:t>
      </w:r>
    </w:p>
    <w:p>
      <w:r>
        <w:rPr>
          <w:b w:val="0"/>
          <w:sz w:val="22"/>
        </w:rPr>
        <w:t>5. 附件2仅覆盖8.7%的订单，基于此的关联规则和偏好统计可能存在选择偏差，但受限于数据本身无法规避。</w:t>
      </w:r>
    </w:p>
    <w:p>
      <w:pPr>
        <w:pStyle w:val="Heading2"/>
      </w:pPr>
      <w:r>
        <w:t>7.3 模型的改进方向</w:t>
      </w:r>
    </w:p>
    <w:p>
      <w:r>
        <w:rPr>
          <w:b w:val="0"/>
          <w:sz w:val="22"/>
        </w:rPr>
        <w:t>1. 引入NLP文本分类(如基于BERT的菜名分类)替代关键词匹配，显著提升菜品分类准确率。</w:t>
      </w:r>
    </w:p>
    <w:p>
      <w:r>
        <w:rPr>
          <w:b w:val="0"/>
          <w:sz w:val="22"/>
        </w:rPr>
        <w:t>2. 将SARIMA/XGBoost的滚动预测能力用于2025年5月外推，替换当前的静态均值方法，并提供预测置信区间。</w:t>
      </w:r>
    </w:p>
    <w:p>
      <w:r>
        <w:rPr>
          <w:b w:val="0"/>
          <w:sz w:val="22"/>
        </w:rPr>
        <w:t>3. 基于行业标准差异化菜品成本率(荤菜60%、素菜25%、主食30%)。</w:t>
      </w:r>
    </w:p>
    <w:p>
      <w:r>
        <w:rPr>
          <w:b w:val="0"/>
          <w:sz w:val="22"/>
        </w:rPr>
        <w:t>4. 采用遗传算法(GA)或NSGA-II多目标进化算法替代贪心搜索，以发现更优的套餐组合。</w:t>
      </w:r>
    </w:p>
    <w:p>
      <w:r>
        <w:rPr>
          <w:b w:val="0"/>
          <w:sz w:val="22"/>
        </w:rPr>
        <w:t>5. 引入Prophet模型处理节假日效应，使用chinese_calendar库自动标记法定假日和调休工作日。</w:t>
      </w:r>
    </w:p>
    <w:p>
      <w:r>
        <w:br w:type="page"/>
      </w:r>
    </w:p>
    <w:p>
      <w:pPr>
        <w:pStyle w:val="Heading1"/>
      </w:pPr>
      <w:r>
        <w:t>八、模型的应用与推广</w:t>
      </w:r>
    </w:p>
    <w:p>
      <w:r>
        <w:rPr>
          <w:b w:val="0"/>
          <w:sz w:val="24"/>
        </w:rPr>
        <w:t>本文提出的"预测驱动备菜优化"框架具有较强的可推广性：(1)可应用于其他自助量贩餐饮企业，只需替换菜品数据和营养数据库即可适配不同餐厅；(2)MILP备菜优化模型可扩展为多日联合优化，考虑食材批量采购折扣和库存跨日结转；(3)套餐设计方法可扩展至不同餐饮业态(如学校食堂[8]、企业餐厅[9])，根据目标人群调整营养标准和价格区间；(4)五维度策略框架可作为餐饮数字化运营的通用参考模型，适用于行业咨询和管理决策场景。</w:t>
      </w:r>
    </w:p>
    <w:p>
      <w:r>
        <w:br w:type="page"/>
      </w:r>
    </w:p>
    <w:p>
      <w:pPr>
        <w:pStyle w:val="Heading1"/>
      </w:pPr>
      <w:r>
        <w:t>参考文献</w:t>
      </w:r>
    </w:p>
    <w:p>
      <w:r>
        <w:rPr>
          <w:b w:val="0"/>
          <w:sz w:val="20"/>
        </w:rPr>
        <w:t>[1] Rodrigues M, Migueis V, Freitas S, et al. Machine learning models for short-term demand forecasting in food catering services: A solution to reduce food waste[J]. Journal of Cleaner Production, 2024, 434: 140160.</w:t>
      </w:r>
    </w:p>
    <w:p>
      <w:r>
        <w:rPr>
          <w:b w:val="0"/>
          <w:sz w:val="20"/>
        </w:rPr>
        <w:t>[2] Posch K, Truden C, Hungerlander P, et al. A Bayesian approach for predicting food and beverage sales in staff canteens and restaurants[J]. International Journal of Forecasting, 2022, 38(4): 1446-1465.</w:t>
      </w:r>
    </w:p>
    <w:p>
      <w:r>
        <w:rPr>
          <w:b w:val="0"/>
          <w:sz w:val="20"/>
        </w:rPr>
        <w:t>[3] Thomassey S, Zeng X, Boussu F. Machine learning based restaurant sales forecasting[J]. Machine Learning and Knowledge Extraction, 2022, 4(1): 105-130.</w:t>
      </w:r>
    </w:p>
    <w:p>
      <w:r>
        <w:rPr>
          <w:b w:val="0"/>
          <w:sz w:val="20"/>
        </w:rPr>
        <w:t>[4] Agrawal R, Srikant R. Fast algorithms for mining association rules[C]. Proceedings of the 20th VLDB Conference, Santiago, Chile, 1994: 487-499.</w:t>
      </w:r>
    </w:p>
    <w:p>
      <w:r>
        <w:rPr>
          <w:b w:val="0"/>
          <w:sz w:val="20"/>
        </w:rPr>
        <w:t>[5] Hyndman R J, Athanasopoulos G. Forecasting: Principles and Practice[M]. 3rd ed. OTexts, 2021.</w:t>
      </w:r>
    </w:p>
    <w:p>
      <w:r>
        <w:rPr>
          <w:b w:val="0"/>
          <w:sz w:val="20"/>
        </w:rPr>
        <w:t>[6] Chen T, Guestrin C. XGBoost: A scalable tree boosting system[C]. Proceedings of the 22nd ACM SIGKDD, San Francisco, 2016: 785-794.</w:t>
      </w:r>
    </w:p>
    <w:p>
      <w:r>
        <w:rPr>
          <w:b w:val="0"/>
          <w:sz w:val="20"/>
        </w:rPr>
        <w:t>[7] 黄健, 高望宁, 谢向东, 等. 中国海洋大学食堂菜谱的优化模型研究[J]. 应用数学进展, 2018, 7(4): 389-398.</w:t>
      </w:r>
    </w:p>
    <w:p>
      <w:r>
        <w:rPr>
          <w:b w:val="0"/>
          <w:sz w:val="20"/>
        </w:rPr>
        <w:t>[8] Padovan M, Maron J R, Vieira R R, et al. Optimized menu formulation to enhance nutritional goals: design of a mixed integer programming model for the workers' food program in Brazil[J]. BMC Nutrition, 2023, 9: 51.</w:t>
      </w:r>
    </w:p>
    <w:p>
      <w:r>
        <w:rPr>
          <w:b w:val="0"/>
          <w:sz w:val="20"/>
        </w:rPr>
        <w:t>[9] Cohen J F W, Richardson S, Parker E, et al. Improving school lunch menus with multi-objective optimisation: nutrition, cost, consumption and environmental impacts[J]. Public Health Nutrition, 2023, 26(8): 1715-1725.</w:t>
      </w:r>
    </w:p>
    <w:p>
      <w:r>
        <w:rPr>
          <w:b w:val="0"/>
          <w:sz w:val="20"/>
        </w:rPr>
        <w:t>[10] Gazendam A, Smuts C M, Lombard M J, et al. A review of the use of linear programming to optimize diets, nutritiously, economically and environmentally[J]. Frontiers in Nutrition, 2018, 5: 48.</w:t>
      </w:r>
    </w:p>
    <w:p>
      <w:r>
        <w:rPr>
          <w:b w:val="0"/>
          <w:sz w:val="20"/>
        </w:rPr>
        <w:t>[11] Breiman L. Random forests[J]. Machine Learning, 2001, 45(1): 5-32.</w:t>
      </w:r>
    </w:p>
    <w:p>
      <w:r>
        <w:rPr>
          <w:b w:val="0"/>
          <w:sz w:val="20"/>
        </w:rPr>
        <w:t>[12] 余滔滔, 张革伕, 胡朝晖. 基于Apriori算法的菜品配置规则研究[J]. 服务科学和管理, 2019, 8(4): 280-288.</w:t>
      </w:r>
    </w:p>
    <w:p>
      <w:r>
        <w:rPr>
          <w:b w:val="0"/>
          <w:sz w:val="20"/>
        </w:rPr>
        <w:t>[13] 中国营养学会. 中国居民膳食营养素参考摄入量(DRIs)[M]. 2023版. 北京: 人民卫生出版社, 2023.</w:t>
      </w:r>
    </w:p>
    <w:p>
      <w:r>
        <w:rPr>
          <w:b w:val="0"/>
          <w:sz w:val="20"/>
        </w:rPr>
        <w:t>[14] 中国营养学会. 中国居民膳食指南[M]. 2022版. 北京: 人民卫生出版社, 2022.</w:t>
      </w:r>
    </w:p>
    <w:p>
      <w:r>
        <w:br w:type="page"/>
      </w:r>
    </w:p>
    <w:p>
      <w:pPr>
        <w:pStyle w:val="Heading1"/>
      </w:pPr>
      <w:r>
        <w:t>附录</w:t>
      </w:r>
    </w:p>
    <w:p>
      <w:pPr>
        <w:pStyle w:val="Heading2"/>
      </w:pPr>
      <w:r>
        <w:t>附录A：核心代码结构</w:t>
      </w:r>
    </w:p>
    <w:p>
      <w:r>
        <w:rPr>
          <w:b w:val="0"/>
          <w:sz w:val="24"/>
        </w:rPr>
        <w:t>本项目代码由9个Python模块组成，采用"共享数据源+独立问题求解"的模块化架构。DataLoader类一次性加载所有数据(3+15 sheet)，通过参数传递给各问题模块以避免重复IO。各问题模块均可独立运行或通过main.py统一编排执行。</w:t>
      </w:r>
    </w:p>
    <w:p>
      <w:r>
        <w:rPr>
          <w:b w:val="0"/>
          <w:sz w:val="24"/>
        </w:rPr>
        <w:t>模块清单：config.py(全局配置)、data_loader.py(数据加载)、utils.py(工具函数)、problem1_analysis.py(EDA+关联规则)、problem2_prediction.py(需求预测)、problem3_optimization.py(MILP备菜优化)、problem4_combos.py(套餐设计)、problem5_strategy.py(经营策略)、main.py(主入口)。</w:t>
      </w:r>
    </w:p>
    <w:p>
      <w:pPr>
        <w:pStyle w:val="Heading2"/>
      </w:pPr>
      <w:r>
        <w:t>附录B：关键数据表</w:t>
      </w:r>
    </w:p>
    <w:p>
      <w:r>
        <w:rPr>
          <w:b/>
          <w:sz w:val="24"/>
        </w:rPr>
        <w:t>表B1 数据集基本统计</w:t>
      </w:r>
    </w:p>
    <w:tbl>
      <w:tblPr>
        <w:tblStyle w:val="TableGrid"/>
        <w:tblW w:type="auto" w:w="0"/>
        <w:jc w:val="center"/>
        <w:tblLook w:firstColumn="1" w:firstRow="1" w:lastColumn="0" w:lastRow="0" w:noHBand="0" w:noVBand="1" w:val="04A0"/>
      </w:tblPr>
      <w:tblGrid>
        <w:gridCol w:w="4317"/>
        <w:gridCol w:w="4317"/>
      </w:tblGrid>
      <w:tr>
        <w:tc>
          <w:tcPr>
            <w:tcW w:type="dxa" w:w="4317"/>
          </w:tcPr>
          <w:p>
            <w:pPr>
              <w:jc w:val="center"/>
            </w:pPr>
            <w:r>
              <w:rPr>
                <w:b/>
                <w:sz w:val="20"/>
              </w:rPr>
              <w:t>指标</w:t>
            </w:r>
          </w:p>
        </w:tc>
        <w:tc>
          <w:tcPr>
            <w:tcW w:type="dxa" w:w="4317"/>
          </w:tcPr>
          <w:p>
            <w:pPr>
              <w:jc w:val="center"/>
            </w:pPr>
            <w:r>
              <w:rPr>
                <w:b/>
                <w:sz w:val="20"/>
              </w:rPr>
              <w:t>数值</w:t>
            </w:r>
          </w:p>
        </w:tc>
      </w:tr>
      <w:tr>
        <w:tc>
          <w:tcPr>
            <w:tcW w:type="dxa" w:w="4317"/>
          </w:tcPr>
          <w:p>
            <w:pPr>
              <w:jc w:val="center"/>
            </w:pPr>
            <w:r>
              <w:rPr>
                <w:sz w:val="20"/>
              </w:rPr>
              <w:t>时间跨度</w:t>
            </w:r>
          </w:p>
        </w:tc>
        <w:tc>
          <w:tcPr>
            <w:tcW w:type="dxa" w:w="4317"/>
          </w:tcPr>
          <w:p>
            <w:pPr>
              <w:jc w:val="center"/>
            </w:pPr>
            <w:r>
              <w:rPr>
                <w:sz w:val="20"/>
              </w:rPr>
              <w:t>2022-09-02 至 2025-04-30 (31个月)</w:t>
            </w:r>
          </w:p>
        </w:tc>
      </w:tr>
      <w:tr>
        <w:tc>
          <w:tcPr>
            <w:tcW w:type="dxa" w:w="4317"/>
          </w:tcPr>
          <w:p>
            <w:pPr>
              <w:jc w:val="center"/>
            </w:pPr>
            <w:r>
              <w:rPr>
                <w:sz w:val="20"/>
              </w:rPr>
              <w:t>附件1总行数</w:t>
            </w:r>
          </w:p>
        </w:tc>
        <w:tc>
          <w:tcPr>
            <w:tcW w:type="dxa" w:w="4317"/>
          </w:tcPr>
          <w:p>
            <w:pPr>
              <w:jc w:val="center"/>
            </w:pPr>
            <w:r>
              <w:rPr>
                <w:sz w:val="20"/>
              </w:rPr>
              <w:t>150,573 (3 sheet合并)</w:t>
            </w:r>
          </w:p>
        </w:tc>
      </w:tr>
      <w:tr>
        <w:tc>
          <w:tcPr>
            <w:tcW w:type="dxa" w:w="4317"/>
          </w:tcPr>
          <w:p>
            <w:pPr>
              <w:jc w:val="center"/>
            </w:pPr>
            <w:r>
              <w:rPr>
                <w:sz w:val="20"/>
              </w:rPr>
              <w:t>附件2总行数</w:t>
            </w:r>
          </w:p>
        </w:tc>
        <w:tc>
          <w:tcPr>
            <w:tcW w:type="dxa" w:w="4317"/>
          </w:tcPr>
          <w:p>
            <w:pPr>
              <w:jc w:val="center"/>
            </w:pPr>
            <w:r>
              <w:rPr>
                <w:sz w:val="20"/>
              </w:rPr>
              <w:t>72,129 (15 sheet合并)</w:t>
            </w:r>
          </w:p>
        </w:tc>
      </w:tr>
      <w:tr>
        <w:tc>
          <w:tcPr>
            <w:tcW w:type="dxa" w:w="4317"/>
          </w:tcPr>
          <w:p>
            <w:pPr>
              <w:jc w:val="center"/>
            </w:pPr>
            <w:r>
              <w:rPr>
                <w:sz w:val="20"/>
              </w:rPr>
              <w:t>总订单数</w:t>
            </w:r>
          </w:p>
        </w:tc>
        <w:tc>
          <w:tcPr>
            <w:tcW w:type="dxa" w:w="4317"/>
          </w:tcPr>
          <w:p>
            <w:pPr>
              <w:jc w:val="center"/>
            </w:pPr>
            <w:r>
              <w:rPr>
                <w:sz w:val="20"/>
              </w:rPr>
              <w:t>149,626</w:t>
            </w:r>
          </w:p>
        </w:tc>
      </w:tr>
      <w:tr>
        <w:tc>
          <w:tcPr>
            <w:tcW w:type="dxa" w:w="4317"/>
          </w:tcPr>
          <w:p>
            <w:pPr>
              <w:jc w:val="center"/>
            </w:pPr>
            <w:r>
              <w:rPr>
                <w:sz w:val="20"/>
              </w:rPr>
              <w:t>营业天数</w:t>
            </w:r>
          </w:p>
        </w:tc>
        <w:tc>
          <w:tcPr>
            <w:tcW w:type="dxa" w:w="4317"/>
          </w:tcPr>
          <w:p>
            <w:pPr>
              <w:jc w:val="center"/>
            </w:pPr>
            <w:r>
              <w:rPr>
                <w:sz w:val="20"/>
              </w:rPr>
              <w:t>531天</w:t>
            </w:r>
          </w:p>
        </w:tc>
      </w:tr>
      <w:tr>
        <w:tc>
          <w:tcPr>
            <w:tcW w:type="dxa" w:w="4317"/>
          </w:tcPr>
          <w:p>
            <w:pPr>
              <w:jc w:val="center"/>
            </w:pPr>
            <w:r>
              <w:rPr>
                <w:sz w:val="20"/>
              </w:rPr>
              <w:t>日均订单</w:t>
            </w:r>
          </w:p>
        </w:tc>
        <w:tc>
          <w:tcPr>
            <w:tcW w:type="dxa" w:w="4317"/>
          </w:tcPr>
          <w:p>
            <w:pPr>
              <w:jc w:val="center"/>
            </w:pPr>
            <w:r>
              <w:rPr>
                <w:sz w:val="20"/>
              </w:rPr>
              <w:t>282人</w:t>
            </w:r>
          </w:p>
        </w:tc>
      </w:tr>
      <w:tr>
        <w:tc>
          <w:tcPr>
            <w:tcW w:type="dxa" w:w="4317"/>
          </w:tcPr>
          <w:p>
            <w:pPr>
              <w:jc w:val="center"/>
            </w:pPr>
            <w:r>
              <w:rPr>
                <w:sz w:val="20"/>
              </w:rPr>
              <w:t>日均销售额</w:t>
            </w:r>
          </w:p>
        </w:tc>
        <w:tc>
          <w:tcPr>
            <w:tcW w:type="dxa" w:w="4317"/>
          </w:tcPr>
          <w:p>
            <w:pPr>
              <w:jc w:val="center"/>
            </w:pPr>
            <w:r>
              <w:rPr>
                <w:sz w:val="20"/>
              </w:rPr>
              <w:t>3,187元</w:t>
            </w:r>
          </w:p>
        </w:tc>
      </w:tr>
      <w:tr>
        <w:tc>
          <w:tcPr>
            <w:tcW w:type="dxa" w:w="4317"/>
          </w:tcPr>
          <w:p>
            <w:pPr>
              <w:jc w:val="center"/>
            </w:pPr>
            <w:r>
              <w:rPr>
                <w:sz w:val="20"/>
              </w:rPr>
              <w:t>客单价</w:t>
            </w:r>
          </w:p>
        </w:tc>
        <w:tc>
          <w:tcPr>
            <w:tcW w:type="dxa" w:w="4317"/>
          </w:tcPr>
          <w:p>
            <w:pPr>
              <w:jc w:val="center"/>
            </w:pPr>
            <w:r>
              <w:rPr>
                <w:sz w:val="20"/>
              </w:rPr>
              <w:t>11.39元</w:t>
            </w:r>
          </w:p>
        </w:tc>
      </w:tr>
      <w:tr>
        <w:tc>
          <w:tcPr>
            <w:tcW w:type="dxa" w:w="4317"/>
          </w:tcPr>
          <w:p>
            <w:pPr>
              <w:jc w:val="center"/>
            </w:pPr>
            <w:r>
              <w:rPr>
                <w:sz w:val="20"/>
              </w:rPr>
              <w:t>唯一菜品数</w:t>
            </w:r>
          </w:p>
        </w:tc>
        <w:tc>
          <w:tcPr>
            <w:tcW w:type="dxa" w:w="4317"/>
          </w:tcPr>
          <w:p>
            <w:pPr>
              <w:jc w:val="center"/>
            </w:pPr>
            <w:r>
              <w:rPr>
                <w:sz w:val="20"/>
              </w:rPr>
              <w:t>314种</w:t>
            </w:r>
          </w:p>
        </w:tc>
      </w:tr>
      <w:tr>
        <w:tc>
          <w:tcPr>
            <w:tcW w:type="dxa" w:w="4317"/>
          </w:tcPr>
          <w:p>
            <w:pPr>
              <w:jc w:val="center"/>
            </w:pPr>
            <w:r>
              <w:rPr>
                <w:sz w:val="20"/>
              </w:rPr>
              <w:t>午餐占比</w:t>
            </w:r>
          </w:p>
        </w:tc>
        <w:tc>
          <w:tcPr>
            <w:tcW w:type="dxa" w:w="4317"/>
          </w:tcPr>
          <w:p>
            <w:pPr>
              <w:jc w:val="center"/>
            </w:pPr>
            <w:r>
              <w:rPr>
                <w:sz w:val="20"/>
              </w:rPr>
              <w:t>99.2% (529天)</w:t>
            </w:r>
          </w:p>
        </w:tc>
      </w:tr>
      <w:tr>
        <w:tc>
          <w:tcPr>
            <w:tcW w:type="dxa" w:w="4317"/>
          </w:tcPr>
          <w:p>
            <w:pPr>
              <w:jc w:val="center"/>
            </w:pPr>
            <w:r>
              <w:rPr>
                <w:sz w:val="20"/>
              </w:rPr>
              <w:t>晚餐占比</w:t>
            </w:r>
          </w:p>
        </w:tc>
        <w:tc>
          <w:tcPr>
            <w:tcW w:type="dxa" w:w="4317"/>
          </w:tcPr>
          <w:p>
            <w:pPr>
              <w:jc w:val="center"/>
            </w:pPr>
            <w:r>
              <w:rPr>
                <w:sz w:val="20"/>
              </w:rPr>
              <w:t>0.8% (41天)</w:t>
            </w:r>
          </w:p>
        </w:tc>
      </w:tr>
      <w:tr>
        <w:tc>
          <w:tcPr>
            <w:tcW w:type="dxa" w:w="4317"/>
          </w:tcPr>
          <w:p>
            <w:pPr>
              <w:jc w:val="center"/>
            </w:pPr>
            <w:r>
              <w:rPr>
                <w:sz w:val="20"/>
              </w:rPr>
              <w:t>附件2订单覆盖率</w:t>
            </w:r>
          </w:p>
        </w:tc>
        <w:tc>
          <w:tcPr>
            <w:tcW w:type="dxa" w:w="4317"/>
          </w:tcPr>
          <w:p>
            <w:pPr>
              <w:jc w:val="center"/>
            </w:pPr>
            <w:r>
              <w:rPr>
                <w:sz w:val="20"/>
              </w:rPr>
              <w:t>8.7% (12,944/149,626)</w:t>
            </w:r>
          </w:p>
        </w:tc>
      </w:tr>
    </w:tbl>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