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64"/>
        <w:gridCol w:w="1150"/>
        <w:gridCol w:w="4005"/>
        <w:gridCol w:w="1110"/>
        <w:gridCol w:w="16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0" w:hRule="atLeast"/>
          <w:jc w:val="center"/>
        </w:trPr>
        <w:tc>
          <w:tcPr>
            <w:tcW w:w="8720" w:type="dxa"/>
            <w:gridSpan w:val="5"/>
            <w:tcBorders>
              <w:top w:val="nil"/>
              <w:left w:val="nil"/>
              <w:bottom w:val="single" w:color="auto" w:sz="4" w:space="0"/>
              <w:right w:val="nil"/>
            </w:tcBorders>
            <w:noWrap w:val="0"/>
            <w:vAlign w:val="center"/>
          </w:tcPr>
          <w:p>
            <w:pPr>
              <w:pStyle w:val="2"/>
              <w:spacing w:before="0" w:after="0"/>
              <w:jc w:val="center"/>
              <w:rPr>
                <w:rFonts w:hint="eastAsia"/>
                <w:b w:val="0"/>
                <w:bCs/>
                <w:szCs w:val="18"/>
              </w:rPr>
            </w:pPr>
            <w:bookmarkStart w:id="0" w:name="_Toc26656"/>
            <w:r>
              <w:rPr>
                <w:rFonts w:hint="eastAsia" w:ascii="黑体" w:hAnsi="黑体" w:cs="宋体"/>
                <w:sz w:val="28"/>
                <w:szCs w:val="18"/>
              </w:rPr>
              <w:t>小组讨论记录表</w:t>
            </w:r>
            <w:bookmarkEnd w:id="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0" w:hRule="atLeast"/>
          <w:jc w:val="center"/>
        </w:trPr>
        <w:tc>
          <w:tcPr>
            <w:tcW w:w="764" w:type="dxa"/>
            <w:tcBorders>
              <w:top w:val="single" w:color="auto" w:sz="4" w:space="0"/>
              <w:bottom w:val="single" w:color="auto" w:sz="4" w:space="0"/>
              <w:right w:val="single" w:color="auto" w:sz="4" w:space="0"/>
            </w:tcBorders>
            <w:noWrap w:val="0"/>
            <w:vAlign w:val="center"/>
          </w:tcPr>
          <w:p>
            <w:pPr>
              <w:tabs>
                <w:tab w:val="left" w:pos="4860"/>
              </w:tabs>
              <w:snapToGrid w:val="0"/>
              <w:jc w:val="center"/>
              <w:rPr>
                <w:rFonts w:hint="eastAsia"/>
                <w:b/>
                <w:bCs/>
                <w:sz w:val="22"/>
                <w:szCs w:val="18"/>
              </w:rPr>
            </w:pPr>
            <w:r>
              <w:rPr>
                <w:rFonts w:hint="eastAsia"/>
                <w:b/>
                <w:bCs/>
                <w:sz w:val="22"/>
                <w:szCs w:val="18"/>
              </w:rPr>
              <w:t>问题</w:t>
            </w:r>
          </w:p>
        </w:tc>
        <w:tc>
          <w:tcPr>
            <w:tcW w:w="5155" w:type="dxa"/>
            <w:gridSpan w:val="2"/>
            <w:tcBorders>
              <w:top w:val="single" w:color="auto" w:sz="4" w:space="0"/>
              <w:left w:val="single" w:color="auto" w:sz="4" w:space="0"/>
              <w:bottom w:val="single" w:color="auto" w:sz="4" w:space="0"/>
              <w:right w:val="single" w:color="auto" w:sz="4" w:space="0"/>
            </w:tcBorders>
            <w:noWrap w:val="0"/>
            <w:vAlign w:val="center"/>
          </w:tcPr>
          <w:p>
            <w:pPr>
              <w:tabs>
                <w:tab w:val="left" w:pos="4860"/>
              </w:tabs>
              <w:snapToGrid w:val="0"/>
              <w:jc w:val="center"/>
              <w:rPr>
                <w:rFonts w:hint="eastAsia"/>
                <w:b/>
                <w:bCs/>
                <w:sz w:val="22"/>
                <w:szCs w:val="18"/>
              </w:rPr>
            </w:pPr>
            <w:r>
              <w:rPr>
                <w:rFonts w:hint="eastAsia"/>
                <w:b/>
                <w:bCs/>
                <w:sz w:val="22"/>
                <w:szCs w:val="18"/>
              </w:rPr>
              <w:t>请你谈谈十八大以来中央在坚持和完善“一国两制”制度体系上做出的具体举措</w:t>
            </w:r>
          </w:p>
        </w:tc>
        <w:tc>
          <w:tcPr>
            <w:tcW w:w="1110" w:type="dxa"/>
            <w:tcBorders>
              <w:top w:val="single" w:color="auto" w:sz="4" w:space="0"/>
              <w:left w:val="single" w:color="auto" w:sz="4" w:space="0"/>
              <w:bottom w:val="single" w:color="auto" w:sz="4" w:space="0"/>
              <w:right w:val="single" w:color="auto" w:sz="4" w:space="0"/>
            </w:tcBorders>
            <w:noWrap w:val="0"/>
            <w:vAlign w:val="center"/>
          </w:tcPr>
          <w:p>
            <w:pPr>
              <w:tabs>
                <w:tab w:val="left" w:pos="4860"/>
              </w:tabs>
              <w:snapToGrid w:val="0"/>
              <w:ind w:left="-336" w:firstLine="336"/>
              <w:jc w:val="center"/>
              <w:rPr>
                <w:rFonts w:hint="eastAsia"/>
                <w:b/>
                <w:bCs/>
                <w:sz w:val="22"/>
                <w:szCs w:val="18"/>
              </w:rPr>
            </w:pPr>
            <w:r>
              <w:rPr>
                <w:rFonts w:hint="eastAsia"/>
                <w:b/>
                <w:bCs/>
                <w:sz w:val="22"/>
                <w:szCs w:val="18"/>
              </w:rPr>
              <w:t>周次</w:t>
            </w:r>
          </w:p>
        </w:tc>
        <w:tc>
          <w:tcPr>
            <w:tcW w:w="1691" w:type="dxa"/>
            <w:tcBorders>
              <w:top w:val="single" w:color="auto" w:sz="4" w:space="0"/>
              <w:left w:val="single" w:color="auto" w:sz="4" w:space="0"/>
              <w:bottom w:val="single" w:color="auto" w:sz="4" w:space="0"/>
            </w:tcBorders>
            <w:noWrap w:val="0"/>
            <w:vAlign w:val="center"/>
          </w:tcPr>
          <w:p>
            <w:pPr>
              <w:tabs>
                <w:tab w:val="left" w:pos="4860"/>
              </w:tabs>
              <w:snapToGrid w:val="0"/>
              <w:jc w:val="center"/>
              <w:rPr>
                <w:rFonts w:hint="eastAsia" w:eastAsia="宋体"/>
                <w:b/>
                <w:bCs/>
                <w:sz w:val="22"/>
                <w:szCs w:val="18"/>
                <w:lang w:val="en-US" w:eastAsia="zh-CN"/>
              </w:rPr>
            </w:pPr>
            <w:r>
              <w:rPr>
                <w:rFonts w:hint="eastAsia"/>
                <w:b/>
                <w:bCs/>
                <w:sz w:val="22"/>
                <w:szCs w:val="18"/>
                <w:lang w:val="en-US" w:eastAsia="zh-CN"/>
              </w:rPr>
              <w:t>秋六周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0" w:hRule="atLeast"/>
          <w:jc w:val="center"/>
        </w:trPr>
        <w:tc>
          <w:tcPr>
            <w:tcW w:w="764" w:type="dxa"/>
            <w:tcBorders>
              <w:bottom w:val="single" w:color="auto" w:sz="4" w:space="0"/>
              <w:right w:val="single" w:color="auto" w:sz="4" w:space="0"/>
            </w:tcBorders>
            <w:noWrap w:val="0"/>
            <w:vAlign w:val="center"/>
          </w:tcPr>
          <w:p>
            <w:pPr>
              <w:tabs>
                <w:tab w:val="left" w:pos="4860"/>
              </w:tabs>
              <w:snapToGrid w:val="0"/>
              <w:jc w:val="center"/>
              <w:rPr>
                <w:rFonts w:hint="eastAsia"/>
                <w:b/>
                <w:bCs/>
                <w:sz w:val="22"/>
                <w:szCs w:val="18"/>
              </w:rPr>
            </w:pPr>
            <w:r>
              <w:rPr>
                <w:rFonts w:hint="eastAsia"/>
                <w:b/>
                <w:bCs/>
                <w:sz w:val="22"/>
                <w:szCs w:val="18"/>
              </w:rPr>
              <w:t>缺席</w:t>
            </w:r>
          </w:p>
        </w:tc>
        <w:tc>
          <w:tcPr>
            <w:tcW w:w="5155" w:type="dxa"/>
            <w:gridSpan w:val="2"/>
            <w:tcBorders>
              <w:left w:val="single" w:color="auto" w:sz="4" w:space="0"/>
              <w:bottom w:val="single" w:color="auto" w:sz="4" w:space="0"/>
              <w:right w:val="single" w:color="auto" w:sz="4" w:space="0"/>
            </w:tcBorders>
            <w:noWrap w:val="0"/>
            <w:vAlign w:val="center"/>
          </w:tcPr>
          <w:p>
            <w:pPr>
              <w:tabs>
                <w:tab w:val="left" w:pos="4860"/>
              </w:tabs>
              <w:snapToGrid w:val="0"/>
              <w:jc w:val="center"/>
              <w:rPr>
                <w:rFonts w:hint="default" w:eastAsia="宋体"/>
                <w:b/>
                <w:bCs/>
                <w:sz w:val="22"/>
                <w:szCs w:val="18"/>
                <w:lang w:val="en-US" w:eastAsia="zh-CN"/>
              </w:rPr>
            </w:pPr>
            <w:r>
              <w:rPr>
                <w:rFonts w:hint="eastAsia"/>
                <w:b/>
                <w:bCs/>
                <w:sz w:val="22"/>
                <w:szCs w:val="18"/>
                <w:lang w:val="en-US" w:eastAsia="zh-CN"/>
              </w:rPr>
              <w:t>无</w:t>
            </w:r>
          </w:p>
        </w:tc>
        <w:tc>
          <w:tcPr>
            <w:tcW w:w="1110" w:type="dxa"/>
            <w:tcBorders>
              <w:left w:val="single" w:color="auto" w:sz="4" w:space="0"/>
              <w:bottom w:val="single" w:color="auto" w:sz="4" w:space="0"/>
              <w:right w:val="single" w:color="auto" w:sz="4" w:space="0"/>
            </w:tcBorders>
            <w:noWrap w:val="0"/>
            <w:vAlign w:val="center"/>
          </w:tcPr>
          <w:p>
            <w:pPr>
              <w:tabs>
                <w:tab w:val="left" w:pos="4860"/>
              </w:tabs>
              <w:snapToGrid w:val="0"/>
              <w:ind w:left="-336" w:firstLine="336"/>
              <w:jc w:val="center"/>
              <w:rPr>
                <w:rFonts w:hint="eastAsia"/>
                <w:b/>
                <w:bCs/>
                <w:sz w:val="22"/>
                <w:szCs w:val="18"/>
              </w:rPr>
            </w:pPr>
            <w:r>
              <w:rPr>
                <w:rFonts w:hint="eastAsia"/>
                <w:b/>
                <w:bCs/>
                <w:sz w:val="22"/>
                <w:szCs w:val="18"/>
              </w:rPr>
              <w:t>记录人</w:t>
            </w:r>
          </w:p>
        </w:tc>
        <w:tc>
          <w:tcPr>
            <w:tcW w:w="1691" w:type="dxa"/>
            <w:tcBorders>
              <w:left w:val="single" w:color="auto" w:sz="4" w:space="0"/>
              <w:bottom w:val="single" w:color="auto" w:sz="4" w:space="0"/>
            </w:tcBorders>
            <w:noWrap w:val="0"/>
            <w:vAlign w:val="center"/>
          </w:tcPr>
          <w:p>
            <w:pPr>
              <w:tabs>
                <w:tab w:val="left" w:pos="4860"/>
              </w:tabs>
              <w:snapToGrid w:val="0"/>
              <w:jc w:val="center"/>
              <w:rPr>
                <w:rFonts w:hint="eastAsia" w:eastAsia="宋体"/>
                <w:b/>
                <w:bCs/>
                <w:sz w:val="22"/>
                <w:szCs w:val="18"/>
                <w:lang w:val="en-US" w:eastAsia="zh-CN"/>
              </w:rPr>
            </w:pPr>
            <w:r>
              <w:rPr>
                <w:rFonts w:hint="eastAsia"/>
                <w:b/>
                <w:bCs/>
                <w:sz w:val="22"/>
                <w:szCs w:val="18"/>
                <w:lang w:val="en-US" w:eastAsia="zh-CN"/>
              </w:rPr>
              <w:t>黄锦昊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0" w:hRule="atLeast"/>
          <w:jc w:val="center"/>
        </w:trPr>
        <w:tc>
          <w:tcPr>
            <w:tcW w:w="1914" w:type="dxa"/>
            <w:gridSpan w:val="2"/>
            <w:tcBorders>
              <w:bottom w:val="single" w:color="auto" w:sz="4" w:space="0"/>
              <w:right w:val="single" w:color="auto" w:sz="4" w:space="0"/>
            </w:tcBorders>
            <w:noWrap w:val="0"/>
            <w:vAlign w:val="center"/>
          </w:tcPr>
          <w:p>
            <w:pPr>
              <w:tabs>
                <w:tab w:val="left" w:pos="4860"/>
              </w:tabs>
              <w:snapToGrid w:val="0"/>
              <w:jc w:val="center"/>
              <w:rPr>
                <w:rFonts w:hint="eastAsia"/>
                <w:b/>
                <w:bCs/>
                <w:sz w:val="22"/>
                <w:szCs w:val="18"/>
              </w:rPr>
            </w:pPr>
            <w:r>
              <w:rPr>
                <w:rFonts w:hint="eastAsia"/>
                <w:b/>
                <w:bCs/>
                <w:sz w:val="22"/>
                <w:szCs w:val="18"/>
              </w:rPr>
              <w:t>两名组员签名</w:t>
            </w:r>
          </w:p>
        </w:tc>
        <w:tc>
          <w:tcPr>
            <w:tcW w:w="6806" w:type="dxa"/>
            <w:gridSpan w:val="3"/>
            <w:tcBorders>
              <w:bottom w:val="single" w:color="auto" w:sz="4" w:space="0"/>
            </w:tcBorders>
            <w:noWrap w:val="0"/>
            <w:vAlign w:val="center"/>
          </w:tcPr>
          <w:p>
            <w:pPr>
              <w:tabs>
                <w:tab w:val="left" w:pos="4860"/>
              </w:tabs>
              <w:snapToGrid w:val="0"/>
              <w:jc w:val="center"/>
              <w:rPr>
                <w:rFonts w:hint="default" w:eastAsia="宋体"/>
                <w:b/>
                <w:bCs/>
                <w:sz w:val="22"/>
                <w:szCs w:val="18"/>
                <w:lang w:val="en-US" w:eastAsia="zh-CN"/>
              </w:rPr>
            </w:pPr>
            <w:r>
              <w:rPr>
                <w:rFonts w:hint="eastAsia"/>
                <w:b/>
                <w:bCs/>
                <w:sz w:val="22"/>
                <w:szCs w:val="18"/>
                <w:lang w:val="en-US" w:eastAsia="zh-CN"/>
              </w:rPr>
              <w:t xml:space="preserve"> </w:t>
            </w:r>
            <w:r>
              <w:rPr>
                <w:rFonts w:hint="default" w:eastAsia="宋体"/>
                <w:b/>
                <w:bCs/>
                <w:sz w:val="22"/>
                <w:szCs w:val="18"/>
                <w:lang w:val="en-US" w:eastAsia="zh-CN"/>
              </w:rPr>
              <w:drawing>
                <wp:inline distT="0" distB="0" distL="114300" distR="114300">
                  <wp:extent cx="698500" cy="375920"/>
                  <wp:effectExtent l="0" t="0" r="2540" b="5080"/>
                  <wp:docPr id="2" name="图片 2" descr="7d6feae43c5d2b42c1b3fc37876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d6feae43c5d2b42c1b3fc378768384"/>
                          <pic:cNvPicPr>
                            <a:picLocks noChangeAspect="1"/>
                          </pic:cNvPicPr>
                        </pic:nvPicPr>
                        <pic:blipFill>
                          <a:blip r:embed="rId4"/>
                          <a:stretch>
                            <a:fillRect/>
                          </a:stretch>
                        </pic:blipFill>
                        <pic:spPr>
                          <a:xfrm>
                            <a:off x="0" y="0"/>
                            <a:ext cx="698500" cy="375920"/>
                          </a:xfrm>
                          <a:prstGeom prst="rect">
                            <a:avLst/>
                          </a:prstGeom>
                        </pic:spPr>
                      </pic:pic>
                    </a:graphicData>
                  </a:graphic>
                </wp:inline>
              </w:drawing>
            </w:r>
            <w:r>
              <w:rPr>
                <w:rFonts w:hint="eastAsia"/>
                <w:b/>
                <w:bCs/>
                <w:sz w:val="22"/>
                <w:szCs w:val="18"/>
                <w:lang w:val="en-US" w:eastAsia="zh-CN"/>
              </w:rPr>
              <w:t>、</w:t>
            </w:r>
            <w:r>
              <w:rPr>
                <w:rFonts w:hint="eastAsia" w:eastAsia="宋体"/>
                <w:b/>
                <w:bCs/>
                <w:sz w:val="22"/>
                <w:szCs w:val="18"/>
                <w:lang w:eastAsia="zh-CN"/>
              </w:rPr>
              <w:drawing>
                <wp:inline distT="0" distB="0" distL="114300" distR="114300">
                  <wp:extent cx="544830" cy="330835"/>
                  <wp:effectExtent l="0" t="0" r="3810" b="4445"/>
                  <wp:docPr id="1" name="图片 1" descr="0130158ae9d544d493f75594229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130158ae9d544d493f755942291181"/>
                          <pic:cNvPicPr>
                            <a:picLocks noChangeAspect="1"/>
                          </pic:cNvPicPr>
                        </pic:nvPicPr>
                        <pic:blipFill>
                          <a:blip r:embed="rId5"/>
                          <a:stretch>
                            <a:fillRect/>
                          </a:stretch>
                        </pic:blipFill>
                        <pic:spPr>
                          <a:xfrm>
                            <a:off x="0" y="0"/>
                            <a:ext cx="544830" cy="33083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764" w:type="dxa"/>
            <w:tcBorders>
              <w:top w:val="single" w:color="auto" w:sz="4" w:space="0"/>
              <w:left w:val="single" w:color="auto" w:sz="4" w:space="0"/>
              <w:right w:val="single" w:color="auto" w:sz="4" w:space="0"/>
            </w:tcBorders>
            <w:noWrap w:val="0"/>
            <w:vAlign w:val="center"/>
          </w:tcPr>
          <w:p>
            <w:pPr>
              <w:jc w:val="center"/>
              <w:rPr>
                <w:rFonts w:hint="eastAsia"/>
                <w:b/>
                <w:sz w:val="22"/>
                <w:szCs w:val="18"/>
              </w:rPr>
            </w:pPr>
            <w:r>
              <w:rPr>
                <w:rFonts w:hint="eastAsia"/>
                <w:b/>
                <w:sz w:val="22"/>
                <w:szCs w:val="18"/>
              </w:rPr>
              <w:t>讨论</w:t>
            </w:r>
          </w:p>
          <w:p>
            <w:pPr>
              <w:jc w:val="center"/>
              <w:rPr>
                <w:rFonts w:hint="eastAsia"/>
                <w:b/>
                <w:sz w:val="22"/>
                <w:szCs w:val="18"/>
              </w:rPr>
            </w:pPr>
            <w:r>
              <w:rPr>
                <w:rFonts w:hint="eastAsia"/>
                <w:b/>
                <w:sz w:val="22"/>
                <w:szCs w:val="18"/>
              </w:rPr>
              <w:t>纪要</w:t>
            </w:r>
          </w:p>
        </w:tc>
        <w:tc>
          <w:tcPr>
            <w:tcW w:w="7956" w:type="dxa"/>
            <w:gridSpan w:val="4"/>
            <w:tcBorders>
              <w:top w:val="single" w:color="auto" w:sz="4" w:space="0"/>
              <w:left w:val="single" w:color="auto" w:sz="4" w:space="0"/>
              <w:bottom w:val="single" w:color="auto" w:sz="4" w:space="0"/>
              <w:right w:val="single" w:color="auto" w:sz="4" w:space="0"/>
            </w:tcBorders>
            <w:noWrap w:val="0"/>
            <w:vAlign w:val="center"/>
          </w:tcPr>
          <w:p>
            <w:pPr>
              <w:jc w:val="left"/>
              <w:rPr>
                <w:rFonts w:hint="eastAsia"/>
                <w:b/>
                <w:sz w:val="22"/>
                <w:szCs w:val="18"/>
              </w:rPr>
            </w:pPr>
            <w:r>
              <w:rPr>
                <w:rFonts w:hint="eastAsia"/>
                <w:b/>
                <w:sz w:val="22"/>
                <w:szCs w:val="18"/>
              </w:rPr>
              <w:t>讨论时间：2023 年 1</w:t>
            </w:r>
            <w:r>
              <w:rPr>
                <w:rFonts w:hint="eastAsia"/>
                <w:b/>
                <w:sz w:val="22"/>
                <w:szCs w:val="18"/>
                <w:lang w:val="en-US" w:eastAsia="zh-CN"/>
              </w:rPr>
              <w:t>1</w:t>
            </w:r>
            <w:r>
              <w:rPr>
                <w:rFonts w:hint="eastAsia"/>
                <w:b/>
                <w:sz w:val="22"/>
                <w:szCs w:val="18"/>
              </w:rPr>
              <w:t xml:space="preserve"> 月 </w:t>
            </w:r>
            <w:r>
              <w:rPr>
                <w:rFonts w:hint="eastAsia"/>
                <w:b/>
                <w:sz w:val="22"/>
                <w:szCs w:val="18"/>
                <w:lang w:val="en-US" w:eastAsia="zh-CN"/>
              </w:rPr>
              <w:t>25</w:t>
            </w:r>
            <w:r>
              <w:rPr>
                <w:rFonts w:hint="eastAsia"/>
                <w:b/>
                <w:sz w:val="22"/>
                <w:szCs w:val="18"/>
              </w:rPr>
              <w:t>日</w:t>
            </w:r>
          </w:p>
          <w:p>
            <w:pPr>
              <w:jc w:val="left"/>
              <w:rPr>
                <w:rFonts w:hint="eastAsia"/>
                <w:b/>
                <w:sz w:val="22"/>
                <w:szCs w:val="18"/>
              </w:rPr>
            </w:pPr>
            <w:r>
              <w:rPr>
                <w:rFonts w:hint="eastAsia"/>
                <w:b/>
                <w:sz w:val="22"/>
                <w:szCs w:val="18"/>
              </w:rPr>
              <w:t>讨论地点：线上</w:t>
            </w:r>
          </w:p>
          <w:p>
            <w:pPr>
              <w:jc w:val="left"/>
              <w:rPr>
                <w:rFonts w:hint="eastAsia" w:eastAsia="宋体"/>
                <w:b/>
                <w:sz w:val="22"/>
                <w:szCs w:val="18"/>
                <w:lang w:val="en-US" w:eastAsia="zh-CN"/>
              </w:rPr>
            </w:pPr>
            <w:r>
              <w:rPr>
                <w:rFonts w:hint="eastAsia"/>
                <w:b/>
                <w:sz w:val="22"/>
                <w:szCs w:val="18"/>
              </w:rPr>
              <w:t>主持人：黄文</w:t>
            </w:r>
            <w:r>
              <w:rPr>
                <w:rFonts w:hint="eastAsia"/>
                <w:b/>
                <w:sz w:val="22"/>
                <w:szCs w:val="18"/>
                <w:lang w:val="en-US" w:eastAsia="zh-CN"/>
              </w:rPr>
              <w:t>杰</w:t>
            </w:r>
          </w:p>
          <w:p>
            <w:pPr>
              <w:jc w:val="left"/>
              <w:rPr>
                <w:rFonts w:hint="eastAsia" w:eastAsia="宋体"/>
                <w:b/>
                <w:sz w:val="22"/>
                <w:szCs w:val="18"/>
                <w:lang w:val="en-US" w:eastAsia="zh-CN"/>
              </w:rPr>
            </w:pPr>
            <w:r>
              <w:rPr>
                <w:rFonts w:hint="eastAsia"/>
                <w:b/>
                <w:sz w:val="22"/>
                <w:szCs w:val="18"/>
              </w:rPr>
              <w:t>记录人：</w:t>
            </w:r>
            <w:r>
              <w:rPr>
                <w:rFonts w:hint="eastAsia"/>
                <w:b/>
                <w:sz w:val="22"/>
                <w:szCs w:val="18"/>
                <w:lang w:val="en-US" w:eastAsia="zh-CN"/>
              </w:rPr>
              <w:t>黄锦昊</w:t>
            </w:r>
          </w:p>
          <w:p>
            <w:pPr>
              <w:jc w:val="left"/>
              <w:rPr>
                <w:rFonts w:hint="eastAsia"/>
                <w:b/>
                <w:sz w:val="22"/>
                <w:szCs w:val="18"/>
                <w:lang w:val="en-US" w:eastAsia="zh-CN"/>
              </w:rPr>
            </w:pPr>
            <w:r>
              <w:rPr>
                <w:rFonts w:hint="eastAsia"/>
                <w:b/>
                <w:sz w:val="22"/>
                <w:szCs w:val="18"/>
              </w:rPr>
              <w:t>参与人：黄文杰、黄天骊</w:t>
            </w:r>
            <w:r>
              <w:rPr>
                <w:rFonts w:hint="eastAsia"/>
                <w:b/>
                <w:sz w:val="22"/>
                <w:szCs w:val="18"/>
                <w:lang w:eastAsia="zh-CN"/>
              </w:rPr>
              <w:t>、</w:t>
            </w:r>
            <w:r>
              <w:rPr>
                <w:rFonts w:hint="eastAsia"/>
                <w:b/>
                <w:sz w:val="22"/>
                <w:szCs w:val="18"/>
                <w:lang w:val="en-US" w:eastAsia="zh-CN"/>
              </w:rPr>
              <w:t>黄锦昊、</w:t>
            </w:r>
            <w:r>
              <w:rPr>
                <w:rFonts w:hint="eastAsia"/>
                <w:b/>
                <w:sz w:val="22"/>
                <w:szCs w:val="18"/>
                <w:lang w:eastAsia="zh-CN"/>
              </w:rPr>
              <w:t>戴文麒、孙涵辛、俞乐轩、张曦、俞睿宁、张宇</w:t>
            </w:r>
          </w:p>
          <w:p>
            <w:pPr>
              <w:jc w:val="left"/>
              <w:rPr>
                <w:rFonts w:hint="eastAsia"/>
                <w:b/>
                <w:sz w:val="22"/>
                <w:szCs w:val="18"/>
                <w:lang w:val="en-US" w:eastAsia="zh-CN"/>
              </w:rPr>
            </w:pPr>
          </w:p>
          <w:p>
            <w:pPr>
              <w:jc w:val="left"/>
              <w:rPr>
                <w:rFonts w:hint="eastAsia"/>
                <w:b/>
                <w:sz w:val="22"/>
                <w:szCs w:val="18"/>
                <w:lang w:val="en-US" w:eastAsia="zh-CN"/>
              </w:rPr>
            </w:pPr>
            <w:r>
              <w:rPr>
                <w:rFonts w:hint="eastAsia"/>
                <w:b/>
                <w:sz w:val="22"/>
                <w:szCs w:val="18"/>
                <w:lang w:val="en-US" w:eastAsia="zh-CN"/>
              </w:rPr>
              <w:t>一、全面准确、坚定不移贯彻“一国两制”方针重大举措之一：建立健全香港特别行政区维护国家安全的法律制度和执行机制</w:t>
            </w:r>
          </w:p>
          <w:p>
            <w:pPr>
              <w:ind w:firstLine="440" w:firstLineChars="200"/>
              <w:jc w:val="left"/>
              <w:rPr>
                <w:rFonts w:hint="eastAsia"/>
                <w:b w:val="0"/>
                <w:bCs/>
                <w:sz w:val="22"/>
                <w:szCs w:val="18"/>
                <w:lang w:val="en-US" w:eastAsia="zh-CN"/>
              </w:rPr>
            </w:pPr>
            <w:r>
              <w:rPr>
                <w:rFonts w:hint="eastAsia"/>
                <w:b w:val="0"/>
                <w:bCs/>
                <w:sz w:val="22"/>
                <w:szCs w:val="18"/>
                <w:lang w:val="en-US" w:eastAsia="zh-CN"/>
              </w:rPr>
              <w:t>组长</w:t>
            </w:r>
            <w:r>
              <w:rPr>
                <w:rFonts w:hint="eastAsia"/>
                <w:b w:val="0"/>
                <w:bCs/>
                <w:sz w:val="22"/>
                <w:szCs w:val="18"/>
              </w:rPr>
              <w:t>黄文杰</w:t>
            </w:r>
            <w:r>
              <w:rPr>
                <w:rFonts w:hint="eastAsia"/>
                <w:b w:val="0"/>
                <w:bCs/>
                <w:sz w:val="22"/>
                <w:szCs w:val="18"/>
                <w:lang w:val="en-US" w:eastAsia="zh-CN"/>
              </w:rPr>
              <w:t>为我们介绍了第一个重大举措</w:t>
            </w:r>
            <w:r>
              <w:rPr>
                <w:rFonts w:hint="default"/>
                <w:b w:val="0"/>
                <w:bCs/>
                <w:sz w:val="22"/>
                <w:szCs w:val="18"/>
                <w:lang w:val="en-US" w:eastAsia="zh-CN"/>
              </w:rPr>
              <w:t>：</w:t>
            </w:r>
            <w:r>
              <w:rPr>
                <w:rFonts w:hint="eastAsia"/>
                <w:b w:val="0"/>
                <w:bCs/>
                <w:sz w:val="22"/>
                <w:szCs w:val="18"/>
                <w:lang w:val="en-US" w:eastAsia="zh-CN"/>
              </w:rPr>
              <w:t>香港基本法第23条明确规定，香港特别行政区应自行立法禁止危害国家安全的有关行为和活动。然而，由于“反中乱港”势力和外部敌对势力的极力阻挠、干扰，23条立法一直没有完成。香港维护国家安全的制度机制存在明显“不设防”问题，香港社会面临着不容忽视的重大安全风险。党的十九届四中全会《决定》明确提出：“坚持和完善‘一国两制’制度体系”“健全中央依照宪法和基本法对特别行政区行使全面管治权的制度”“完善特别行政区同宪法和基本法实施相关的制度和机制”“建立健全特别行政区维护国家安全的法律制度和执行机制”“坚决防范和遏制外部势力干预港澳事务和进行分裂、颠覆、渗透、破坏活动”。孙涵辛和戴文麒也补充了相关意义：香港国安决定和香港国安法对于新形势下坚持和完善“一国两制”制度体系，维护国家主权、安全、发展利益，维护香港长治久安和长期繁荣稳定，具有重大制度创新意义。</w:t>
            </w:r>
          </w:p>
          <w:p>
            <w:pPr>
              <w:jc w:val="left"/>
              <w:rPr>
                <w:rFonts w:hint="default"/>
                <w:b/>
                <w:sz w:val="22"/>
                <w:szCs w:val="18"/>
                <w:lang w:val="en-US" w:eastAsia="zh-CN"/>
              </w:rPr>
            </w:pPr>
          </w:p>
          <w:p>
            <w:pPr>
              <w:jc w:val="left"/>
              <w:rPr>
                <w:rFonts w:hint="default" w:eastAsia="宋体"/>
                <w:b/>
                <w:sz w:val="22"/>
                <w:szCs w:val="18"/>
                <w:lang w:val="en-US" w:eastAsia="zh-CN"/>
              </w:rPr>
            </w:pPr>
            <w:r>
              <w:rPr>
                <w:rFonts w:hint="eastAsia"/>
                <w:b/>
                <w:sz w:val="22"/>
                <w:szCs w:val="18"/>
                <w:lang w:val="en-US" w:eastAsia="zh-CN"/>
              </w:rPr>
              <w:t>二、全面准确、坚定不移贯彻“一国两制”方针重大举措之二：完善香港特别行政区选举制度</w:t>
            </w:r>
          </w:p>
          <w:p>
            <w:pPr>
              <w:ind w:firstLine="440" w:firstLineChars="200"/>
              <w:jc w:val="left"/>
              <w:rPr>
                <w:rFonts w:hint="default"/>
                <w:b w:val="0"/>
                <w:bCs/>
                <w:sz w:val="22"/>
                <w:szCs w:val="18"/>
                <w:lang w:val="en-US" w:eastAsia="zh-CN"/>
              </w:rPr>
            </w:pPr>
            <w:r>
              <w:rPr>
                <w:rFonts w:hint="eastAsia"/>
                <w:b w:val="0"/>
                <w:bCs/>
                <w:sz w:val="22"/>
                <w:szCs w:val="18"/>
                <w:lang w:val="en-US" w:eastAsia="zh-CN"/>
              </w:rPr>
              <w:t>黄天骊先引用了邓小平同志的话“港人治港有个界线和标准，就是必须由以爱国者为主体的港人来治理香港。”作为开头，讲述了第二个重大举措：“爱国者治港”是“一国两制”方针和基本法的应有之义。习近平主席在听取香港特别行政区行政长官年度述职报告时强调：“香港由乱及治的重大转折，再次昭示了一个深刻道理，那就是要确保‘一国两制’实践行稳致远，必须始终坚持‘爱国者治港’。这是事关国家主权、安全、发展利益，事关香港长期繁荣稳定的根本原则。”这就为完善香港特别行政区选举制度确定了原则、指明了方向。黄锦昊阐述了具体内容：香港特别行政区多年来实行的选举制度，是根据香港基本法有关规定、全国人大常委会有关解释和决定以及香港本地有关法律规定确定的。中央和国家有关部门经认真研究，认为有必要从国家层面修改完善香港特别行政区选举制度。总的思路是：从法律制度机制上全面贯彻、体现和落实“爱国者治港”的原则，以重新构建选举委员会并增加赋权为核心进行总体设计，调整优化选举委员会规模、组成和产生办法；继续由选举委员会选举产生行政长官，并赋予选举委员会选举产生较大比例的立法会议员和直接参与提名全部立法会议员候选人的新职能，通过选举委员会扩大香港社会均衡有序的政治参与和更加广泛的代表性；建立全流程资格审查机制，确保香港管治权牢牢掌握在爱国者手中。</w:t>
            </w:r>
          </w:p>
          <w:p>
            <w:pPr>
              <w:jc w:val="left"/>
              <w:rPr>
                <w:rFonts w:hint="eastAsia"/>
                <w:b/>
                <w:sz w:val="22"/>
                <w:szCs w:val="18"/>
                <w:lang w:val="en-US" w:eastAsia="zh-CN"/>
              </w:rPr>
            </w:pPr>
          </w:p>
          <w:p>
            <w:pPr>
              <w:jc w:val="left"/>
              <w:rPr>
                <w:rFonts w:hint="eastAsia"/>
                <w:b/>
                <w:sz w:val="22"/>
                <w:szCs w:val="18"/>
                <w:lang w:val="en-US" w:eastAsia="zh-CN"/>
              </w:rPr>
            </w:pPr>
            <w:r>
              <w:rPr>
                <w:rFonts w:hint="eastAsia"/>
                <w:b/>
                <w:sz w:val="22"/>
                <w:szCs w:val="18"/>
                <w:lang w:val="en-US" w:eastAsia="zh-CN"/>
              </w:rPr>
              <w:t>三、全面准确、坚定不移贯彻“一国两制”方针重大举措之三：香港、澳门融入国家发展大局步伐不断加快</w:t>
            </w:r>
          </w:p>
          <w:p>
            <w:pPr>
              <w:ind w:firstLine="440" w:firstLineChars="200"/>
              <w:jc w:val="left"/>
              <w:rPr>
                <w:rFonts w:hint="default"/>
                <w:b w:val="0"/>
                <w:bCs/>
                <w:sz w:val="22"/>
                <w:szCs w:val="18"/>
                <w:lang w:val="en-US" w:eastAsia="zh-CN"/>
              </w:rPr>
            </w:pPr>
            <w:r>
              <w:rPr>
                <w:rFonts w:hint="eastAsia"/>
                <w:b w:val="0"/>
                <w:bCs/>
                <w:sz w:val="22"/>
                <w:szCs w:val="18"/>
                <w:lang w:val="en-US" w:eastAsia="zh-CN"/>
              </w:rPr>
              <w:t>俞乐轩、张曦、俞睿宁、张宇分别为我们具体介绍了习近平总书记亲自谋划、亲自部署、亲自推动的粤港澳大湾区建设取得的多项重要阶段性成果。在祖国全力支持下，香港经济蓬勃发展，国际金融、航运、贸易中心地位稳固，创新科技产业迅速兴起，自由开放雄冠全球，营商环境世界一流，包括普通法在内的原有法律得到保持和发展。澳门经济快速发展，人均地区生产总值进入世界前列，“一中心、一平台、一基地”建设扎实推进，经济适度多元发展成效初显。“小而富”“小而劲”“小而康”“小而美”成为澳门的魅力名片。广深港高铁、港珠澳大桥和多个口岸相继建成开通，横琴、前海、南沙等重大合作平台建设加快推进，内地与港澳规则衔接、机制对接不断深化，便利港澳居民在内地发展的政策措施持续完善。港澳同内地交流合作领域全面拓展、机制不断完善，港澳同胞创业建功的舞台越来越宽广。数以十万计港澳青年到祖国内地就学、就业、创业、置业，以越来越强烈的民族自豪感和主人翁意识书写他们的精彩人生。</w:t>
            </w:r>
          </w:p>
          <w:p>
            <w:pPr>
              <w:jc w:val="left"/>
              <w:rPr>
                <w:rFonts w:hint="default"/>
                <w:b w:val="0"/>
                <w:bCs/>
                <w:sz w:val="22"/>
                <w:szCs w:val="18"/>
                <w:lang w:val="en-US" w:eastAsia="zh-CN"/>
              </w:rPr>
            </w:pPr>
          </w:p>
          <w:p>
            <w:pPr>
              <w:jc w:val="left"/>
              <w:rPr>
                <w:rFonts w:hint="default"/>
                <w:b/>
                <w:sz w:val="22"/>
                <w:szCs w:val="18"/>
                <w:lang w:val="en-US" w:eastAsia="zh-CN"/>
              </w:rPr>
            </w:pPr>
            <w:r>
              <w:rPr>
                <w:rFonts w:hint="eastAsia"/>
                <w:b w:val="0"/>
                <w:bCs/>
                <w:sz w:val="22"/>
                <w:szCs w:val="18"/>
                <w:lang w:val="en-US" w:eastAsia="zh-CN"/>
              </w:rPr>
              <w:t>最后，组长黄文杰进行总结：我们相信，有伟大祖国的坚定支持，有‘一国两制’方针的坚实保障，在实现我国第二个百年奋斗目标的新征程上，香港、澳门一定能够创造出更大辉煌，一定能够同祖国人民一道共</w:t>
            </w:r>
            <w:bookmarkStart w:id="1" w:name="_GoBack"/>
            <w:bookmarkEnd w:id="1"/>
            <w:r>
              <w:rPr>
                <w:rFonts w:hint="eastAsia"/>
                <w:b w:val="0"/>
                <w:bCs/>
                <w:sz w:val="22"/>
                <w:szCs w:val="18"/>
                <w:lang w:val="en-US" w:eastAsia="zh-CN"/>
              </w:rPr>
              <w:t>享中华民族伟大复兴的荣光。</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36D37821"/>
    <w:rsid w:val="002B574F"/>
    <w:rsid w:val="01D04432"/>
    <w:rsid w:val="03483348"/>
    <w:rsid w:val="07660241"/>
    <w:rsid w:val="0BC22594"/>
    <w:rsid w:val="0C1D3C14"/>
    <w:rsid w:val="102672D1"/>
    <w:rsid w:val="12B24C82"/>
    <w:rsid w:val="1457788F"/>
    <w:rsid w:val="18332405"/>
    <w:rsid w:val="18834592"/>
    <w:rsid w:val="1C4458B1"/>
    <w:rsid w:val="1E00714A"/>
    <w:rsid w:val="1FB94A9C"/>
    <w:rsid w:val="20344F28"/>
    <w:rsid w:val="2FFF3C87"/>
    <w:rsid w:val="321A047E"/>
    <w:rsid w:val="36D37821"/>
    <w:rsid w:val="3C1108C0"/>
    <w:rsid w:val="3C134030"/>
    <w:rsid w:val="3F9F775D"/>
    <w:rsid w:val="41115F4D"/>
    <w:rsid w:val="41D152C5"/>
    <w:rsid w:val="422F40C8"/>
    <w:rsid w:val="44F31D5E"/>
    <w:rsid w:val="4C7C2E21"/>
    <w:rsid w:val="4FA90325"/>
    <w:rsid w:val="4FBD0A08"/>
    <w:rsid w:val="51894260"/>
    <w:rsid w:val="51EC750B"/>
    <w:rsid w:val="5AA35C89"/>
    <w:rsid w:val="5B870736"/>
    <w:rsid w:val="62C367CD"/>
    <w:rsid w:val="6775683D"/>
    <w:rsid w:val="6F271A1A"/>
    <w:rsid w:val="72B11A93"/>
    <w:rsid w:val="74B03CF2"/>
    <w:rsid w:val="7A213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1766</Words>
  <Characters>1777</Characters>
  <Lines>0</Lines>
  <Paragraphs>0</Paragraphs>
  <TotalTime>8</TotalTime>
  <ScaleCrop>false</ScaleCrop>
  <LinksUpToDate>false</LinksUpToDate>
  <CharactersWithSpaces>1783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2023-10-24T02:44:00Z</dcterms:created>
  <dc:creator>gradme</dc:creator>
  <cp:lastModifiedBy>gradme</cp:lastModifiedBy>
  <dcterms:modified xsi:type="dcterms:W3CDTF">2023-11-30T02:00:31Z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55C56BDC1C7E483588015ED2ACA9EC00_11</vt:lpwstr>
  </property>
</Properties>
</file>