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注：</w:t>
      </w:r>
      <w:r>
        <w:rPr>
          <w:rFonts w:hint="eastAsia"/>
          <w:color w:val="00B050"/>
        </w:rPr>
        <w:t>绿色字体</w:t>
      </w:r>
      <w:r>
        <w:rPr>
          <w:rFonts w:hint="eastAsia"/>
        </w:rPr>
        <w:t>是概念解析或者评注（评注前会有</w:t>
      </w:r>
      <w:r>
        <w:t>#）</w:t>
      </w:r>
    </w:p>
    <w:p>
      <w:r>
        <w:rPr>
          <w:rFonts w:hint="eastAsia"/>
          <w:color w:val="0070C0"/>
        </w:rPr>
        <w:t>蓝色字体</w:t>
      </w:r>
      <w:r>
        <w:rPr>
          <w:rFonts w:hint="eastAsia"/>
        </w:rPr>
        <w:t>是例子</w:t>
      </w:r>
    </w:p>
    <w:p>
      <w:r>
        <w:rPr>
          <w:rFonts w:hint="eastAsia"/>
          <w:highlight w:val="yellow"/>
        </w:rPr>
        <w:t>高亮</w:t>
      </w:r>
      <w:r>
        <w:rPr>
          <w:rFonts w:hint="eastAsia"/>
        </w:rPr>
        <w:t>是公式</w:t>
      </w:r>
    </w:p>
    <w:p>
      <w:r>
        <w:rPr>
          <w:rFonts w:hint="eastAsia"/>
          <w:color w:val="FF0000"/>
        </w:rPr>
        <w:t>红色字体</w:t>
      </w:r>
      <w:r>
        <w:rPr>
          <w:rFonts w:hint="eastAsia"/>
        </w:rPr>
        <w:t>是重点</w:t>
      </w:r>
    </w:p>
    <w:p/>
    <w:p>
      <w:pPr>
        <w:rPr>
          <w:b/>
          <w:bCs/>
          <w:sz w:val="28"/>
          <w:szCs w:val="28"/>
        </w:rPr>
      </w:pPr>
      <w:r>
        <w:rPr>
          <w:rFonts w:hint="eastAsia"/>
          <w:b/>
          <w:bCs/>
          <w:sz w:val="28"/>
          <w:szCs w:val="28"/>
        </w:rPr>
        <w:t>第一节</w:t>
      </w:r>
      <w:r>
        <w:rPr>
          <w:b/>
          <w:bCs/>
          <w:sz w:val="28"/>
          <w:szCs w:val="28"/>
        </w:rPr>
        <w:t xml:space="preserve"> </w:t>
      </w:r>
      <w:r>
        <w:rPr>
          <w:rFonts w:hint="eastAsia"/>
          <w:b/>
          <w:bCs/>
          <w:sz w:val="28"/>
          <w:szCs w:val="28"/>
        </w:rPr>
        <w:t>国际收支与汇率</w:t>
      </w:r>
    </w:p>
    <w:p>
      <w:pPr>
        <w:rPr>
          <w:szCs w:val="21"/>
        </w:rPr>
      </w:pPr>
      <w:r>
        <w:rPr>
          <w:szCs w:val="21"/>
        </w:rPr>
        <w:t>1.国际收支：</w:t>
      </w:r>
    </w:p>
    <w:p>
      <w:pPr>
        <w:rPr>
          <w:szCs w:val="21"/>
        </w:rPr>
      </w:pPr>
      <w:r>
        <w:rPr>
          <w:rFonts w:hint="eastAsia"/>
          <w:szCs w:val="21"/>
        </w:rPr>
        <w:t>①概念：指一经济体的居民与世界其他国家（地区）的居民（非居民）之间因各种经济往来而发生的收入和支付的对比关系。</w:t>
      </w:r>
    </w:p>
    <w:p>
      <w:pPr>
        <w:rPr>
          <w:color w:val="00B050"/>
          <w:szCs w:val="21"/>
        </w:rPr>
      </w:pPr>
      <w:r>
        <w:rPr>
          <w:rFonts w:hint="eastAsia"/>
          <w:color w:val="00B050"/>
          <w:szCs w:val="21"/>
        </w:rPr>
        <w:t>经济体：可能是多个国家（欧盟），也可能是一个地区（香港）</w:t>
      </w:r>
    </w:p>
    <w:p>
      <w:pPr>
        <w:rPr>
          <w:szCs w:val="21"/>
        </w:rPr>
      </w:pPr>
      <w:r>
        <w:rPr>
          <w:rFonts w:hint="eastAsia"/>
          <w:szCs w:val="21"/>
        </w:rPr>
        <w:t>②说明：</w:t>
      </w:r>
    </w:p>
    <w:p>
      <w:pPr>
        <w:rPr>
          <w:szCs w:val="21"/>
        </w:rPr>
      </w:pPr>
      <w:r>
        <w:rPr>
          <w:szCs w:val="21"/>
        </w:rPr>
        <w:t>I.</w:t>
      </w:r>
      <w:r>
        <w:t xml:space="preserve"> 国际</w:t>
      </w:r>
      <w:r>
        <w:rPr>
          <w:rFonts w:hint="eastAsia"/>
          <w:szCs w:val="21"/>
        </w:rPr>
        <w:t>收支是流量（因为在一定时期内才能计算）</w:t>
      </w:r>
    </w:p>
    <w:p>
      <w:pPr>
        <w:rPr>
          <w:szCs w:val="21"/>
        </w:rPr>
      </w:pPr>
      <w:r>
        <w:rPr>
          <w:szCs w:val="21"/>
        </w:rPr>
        <w:t>II.</w:t>
      </w:r>
      <w:r>
        <w:t xml:space="preserve"> 国际收支是</w:t>
      </w:r>
      <w:r>
        <w:rPr>
          <w:rFonts w:hint="eastAsia"/>
          <w:szCs w:val="21"/>
        </w:rPr>
        <w:t>以</w:t>
      </w:r>
      <w:r>
        <w:rPr>
          <w:rFonts w:hint="eastAsia"/>
          <w:color w:val="FF0000"/>
          <w:szCs w:val="21"/>
        </w:rPr>
        <w:t>货币数量</w:t>
      </w:r>
      <w:r>
        <w:rPr>
          <w:rFonts w:hint="eastAsia"/>
          <w:szCs w:val="21"/>
        </w:rPr>
        <w:t>记录的全部国际经济活动</w:t>
      </w:r>
      <w:r>
        <w:rPr>
          <w:szCs w:val="21"/>
        </w:rPr>
        <w:t>（如商品服务交易与转移、金融资产的交换与转移）</w:t>
      </w:r>
    </w:p>
    <w:p>
      <w:pPr>
        <w:rPr>
          <w:szCs w:val="21"/>
        </w:rPr>
      </w:pPr>
      <w:r>
        <w:rPr>
          <w:szCs w:val="21"/>
        </w:rPr>
        <w:t>III.</w:t>
      </w:r>
      <w:r>
        <w:t xml:space="preserve"> 是一国</w:t>
      </w:r>
      <w:r>
        <w:rPr>
          <w:rFonts w:hint="eastAsia"/>
          <w:szCs w:val="21"/>
        </w:rPr>
        <w:t>居民与非居民之间发生的经济交易。</w:t>
      </w:r>
    </w:p>
    <w:p>
      <w:pPr>
        <w:rPr>
          <w:color w:val="00B050"/>
          <w:szCs w:val="21"/>
        </w:rPr>
      </w:pPr>
      <w:r>
        <w:rPr>
          <w:color w:val="00B050"/>
          <w:szCs w:val="21"/>
        </w:rPr>
        <w:t>#在经济学中，居民定义为：一个人在一个地区居住超过一年，就称为该地区的居民。</w:t>
      </w:r>
    </w:p>
    <w:p>
      <w:pPr>
        <w:rPr>
          <w:color w:val="00B050"/>
          <w:szCs w:val="21"/>
        </w:rPr>
      </w:pPr>
      <w:r>
        <w:rPr>
          <w:color w:val="00B050"/>
          <w:szCs w:val="21"/>
        </w:rPr>
        <w:t>#国际性组织的成员均视为非居民。</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2.国际收支平衡表：</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①概念：反映一定时期一国同国外的全部经济往来的收支流量表。</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②分类标准：</w:t>
      </w:r>
      <w:r>
        <w:rPr>
          <w:color w:val="000000" w:themeColor="text1"/>
          <w:szCs w:val="21"/>
          <w14:textFill>
            <w14:solidFill>
              <w14:schemeClr w14:val="tx1"/>
            </w14:solidFill>
          </w14:textFill>
        </w:rPr>
        <w:t>IMF（国际货币经济组织）不定期公布国际收支账户分类标准</w:t>
      </w:r>
      <w:r>
        <w:rPr>
          <w:rFonts w:hint="eastAsia"/>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③分类：一般分为</w:t>
      </w:r>
      <w:r>
        <w:rPr>
          <w:rFonts w:hint="eastAsia"/>
          <w:color w:val="FF0000"/>
          <w:szCs w:val="21"/>
        </w:rPr>
        <w:t>经常账户</w:t>
      </w:r>
      <w:r>
        <w:rPr>
          <w:rFonts w:hint="eastAsia"/>
          <w:color w:val="000000" w:themeColor="text1"/>
          <w:szCs w:val="21"/>
          <w14:textFill>
            <w14:solidFill>
              <w14:schemeClr w14:val="tx1"/>
            </w14:solidFill>
          </w14:textFill>
        </w:rPr>
        <w:t>、</w:t>
      </w:r>
      <w:r>
        <w:rPr>
          <w:rFonts w:hint="eastAsia"/>
          <w:color w:val="FF0000"/>
          <w:szCs w:val="21"/>
        </w:rPr>
        <w:t>资本与金融账户</w:t>
      </w:r>
      <w:r>
        <w:rPr>
          <w:rFonts w:hint="eastAsia"/>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其主要项目为：</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I.</w:t>
      </w:r>
      <w:r>
        <w:rPr>
          <w:rFonts w:hint="eastAsia"/>
          <w:color w:val="000000" w:themeColor="text1"/>
          <w:szCs w:val="21"/>
          <w14:textFill>
            <w14:solidFill>
              <w14:schemeClr w14:val="tx1"/>
            </w14:solidFill>
          </w14:textFill>
        </w:rPr>
        <w:t>经常账户：</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i.</w:t>
      </w:r>
      <w:r>
        <w:rPr>
          <w:rFonts w:hint="eastAsia"/>
          <w:color w:val="000000" w:themeColor="text1"/>
          <w:szCs w:val="21"/>
          <w14:textFill>
            <w14:solidFill>
              <w14:schemeClr w14:val="tx1"/>
            </w14:solidFill>
          </w14:textFill>
        </w:rPr>
        <w:t>商品</w:t>
      </w:r>
    </w:p>
    <w:p>
      <w:pPr>
        <w:rPr>
          <w:color w:val="00B050"/>
          <w:szCs w:val="21"/>
        </w:rPr>
      </w:pPr>
      <w:r>
        <w:rPr>
          <w:color w:val="00B050"/>
          <w:szCs w:val="21"/>
        </w:rPr>
        <w:t>#是</w:t>
      </w:r>
      <w:r>
        <w:rPr>
          <w:rFonts w:hint="eastAsia"/>
          <w:color w:val="00B050"/>
          <w:szCs w:val="21"/>
        </w:rPr>
        <w:t>交易，有价格</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ii.服务</w:t>
      </w:r>
    </w:p>
    <w:p>
      <w:pPr>
        <w:rPr>
          <w:color w:val="00B050"/>
          <w:szCs w:val="21"/>
        </w:rPr>
      </w:pPr>
      <w:r>
        <w:rPr>
          <w:color w:val="00B050"/>
          <w:szCs w:val="21"/>
        </w:rPr>
        <w:t>#服务也有进出口</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iii.收入（如雇员报酬、投资收益）</w:t>
      </w:r>
    </w:p>
    <w:p>
      <w:pPr>
        <w:rPr>
          <w:color w:val="00B050"/>
          <w:szCs w:val="21"/>
        </w:rPr>
      </w:pPr>
      <w:r>
        <w:rPr>
          <w:color w:val="00B050"/>
          <w:szCs w:val="21"/>
        </w:rPr>
        <w:t>#表现为要素回报</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iv.经常转移（</w:t>
      </w:r>
      <w:r>
        <w:rPr>
          <w:rFonts w:hint="eastAsia"/>
          <w:color w:val="000000" w:themeColor="text1"/>
          <w:szCs w:val="21"/>
          <w14:textFill>
            <w14:solidFill>
              <w14:schemeClr w14:val="tx1"/>
            </w14:solidFill>
          </w14:textFill>
        </w:rPr>
        <w:t>如</w:t>
      </w:r>
      <w:r>
        <w:rPr>
          <w:color w:val="000000" w:themeColor="text1"/>
          <w:szCs w:val="21"/>
          <w14:textFill>
            <w14:solidFill>
              <w14:schemeClr w14:val="tx1"/>
            </w14:solidFill>
          </w14:textFill>
        </w:rPr>
        <w:t>援助、捐赠、侨汇、战争赔款等）</w:t>
      </w:r>
    </w:p>
    <w:p>
      <w:pPr>
        <w:rPr>
          <w:color w:val="00B050"/>
          <w:szCs w:val="21"/>
        </w:rPr>
      </w:pPr>
      <w:r>
        <w:rPr>
          <w:color w:val="00B050"/>
          <w:szCs w:val="21"/>
        </w:rPr>
        <w:t>#非交易，无价格</w:t>
      </w:r>
    </w:p>
    <w:p>
      <w:pPr>
        <w:rPr>
          <w:szCs w:val="21"/>
        </w:rPr>
      </w:pPr>
      <w:r>
        <w:rPr>
          <w:szCs w:val="21"/>
        </w:rPr>
        <w:t>II.资本和金融账户</w:t>
      </w:r>
    </w:p>
    <w:p>
      <w:pPr>
        <w:rPr>
          <w:szCs w:val="21"/>
        </w:rPr>
      </w:pPr>
      <w:r>
        <w:rPr>
          <w:szCs w:val="21"/>
        </w:rPr>
        <w:t>i.</w:t>
      </w:r>
      <w:r>
        <w:rPr>
          <w:rFonts w:hint="eastAsia"/>
          <w:szCs w:val="21"/>
        </w:rPr>
        <w:t>资本账户</w:t>
      </w:r>
    </w:p>
    <w:p>
      <w:pPr>
        <w:rPr>
          <w:szCs w:val="21"/>
        </w:rPr>
      </w:pPr>
      <w:r>
        <w:rPr>
          <w:szCs w:val="21"/>
        </w:rPr>
        <w:t>ii.金融账户（</w:t>
      </w:r>
      <w:r>
        <w:rPr>
          <w:rFonts w:hint="eastAsia"/>
          <w:szCs w:val="21"/>
        </w:rPr>
        <w:t>如</w:t>
      </w:r>
      <w:r>
        <w:rPr>
          <w:szCs w:val="21"/>
        </w:rPr>
        <w:t>直接投资、证券投资、其他投资和储备资产）</w:t>
      </w:r>
    </w:p>
    <w:p>
      <w:pPr>
        <w:rPr>
          <w:szCs w:val="21"/>
        </w:rPr>
      </w:pPr>
      <w:r>
        <w:rPr>
          <w:szCs w:val="21"/>
        </w:rPr>
        <w:t>III.</w:t>
      </w:r>
      <w:r>
        <w:rPr>
          <w:rFonts w:hint="eastAsia"/>
          <w:szCs w:val="21"/>
        </w:rPr>
        <w:t>差错和遗漏</w:t>
      </w:r>
    </w:p>
    <w:p>
      <w:pPr>
        <w:rPr>
          <w:szCs w:val="21"/>
        </w:rPr>
      </w:pPr>
      <w:r>
        <w:rPr>
          <w:szCs w:val="21"/>
        </w:rPr>
        <w:t>3.汇率的概念与分类：即两国货币相互兑换的比率。按照是否经过价格水平的调整，分为名义汇率和实际汇率。</w:t>
      </w:r>
    </w:p>
    <w:p>
      <w:pPr>
        <w:rPr>
          <w:szCs w:val="21"/>
        </w:rPr>
      </w:pPr>
      <w:r>
        <w:rPr>
          <w:szCs w:val="21"/>
        </w:rPr>
        <w:t>4.名义汇率</w:t>
      </w:r>
    </w:p>
    <w:p>
      <w:pPr>
        <w:rPr>
          <w:szCs w:val="21"/>
        </w:rPr>
      </w:pPr>
      <w:r>
        <w:rPr>
          <w:rFonts w:hint="eastAsia"/>
          <w:szCs w:val="21"/>
        </w:rPr>
        <w:t>①概念：</w:t>
      </w:r>
      <w:r>
        <w:rPr>
          <w:szCs w:val="21"/>
        </w:rPr>
        <w:t>两个国家（或地区）货币的相对价格，即一种货币能兑换另一种货币的数量。用e表示。</w:t>
      </w:r>
    </w:p>
    <w:p>
      <w:pPr>
        <w:rPr>
          <w:szCs w:val="21"/>
        </w:rPr>
      </w:pPr>
      <w:r>
        <w:rPr>
          <w:rFonts w:hint="eastAsia"/>
          <w:szCs w:val="21"/>
        </w:rPr>
        <w:t>②标价方法：</w:t>
      </w:r>
      <w:r>
        <w:rPr>
          <w:szCs w:val="21"/>
        </w:rPr>
        <w:t>名义汇率有两种不同的标价方法</w:t>
      </w:r>
      <w:r>
        <w:rPr>
          <w:rFonts w:hint="eastAsia"/>
          <w:szCs w:val="21"/>
        </w:rPr>
        <w:t>。</w:t>
      </w:r>
    </w:p>
    <w:p>
      <w:pPr>
        <w:rPr>
          <w:szCs w:val="21"/>
        </w:rPr>
      </w:pPr>
      <w:r>
        <w:rPr>
          <w:szCs w:val="21"/>
        </w:rPr>
        <w:t>I.直接标价法，也称为应付标价法；（把其它货币当做一般商品进行购买）</w:t>
      </w:r>
      <w:r>
        <w:rPr>
          <w:rFonts w:hint="eastAsia"/>
          <w:szCs w:val="21"/>
        </w:rPr>
        <w:t>。</w:t>
      </w:r>
    </w:p>
    <w:p>
      <w:pPr>
        <w:rPr>
          <w:szCs w:val="21"/>
        </w:rPr>
      </w:pPr>
      <w:r>
        <w:rPr>
          <w:rFonts w:hint="eastAsia"/>
          <w:szCs w:val="21"/>
        </w:rPr>
        <w:t>在直接标价法中，如果本币价值上升，则汇率下降；如果本币价值下降，则汇率上升</w:t>
      </w:r>
    </w:p>
    <w:p>
      <w:pPr>
        <w:rPr>
          <w:color w:val="0070C0"/>
          <w:szCs w:val="21"/>
        </w:rPr>
      </w:pPr>
      <w:r>
        <w:rPr>
          <w:rFonts w:hint="eastAsia"/>
          <w:color w:val="0070C0"/>
          <w:szCs w:val="21"/>
        </w:rPr>
        <w:t>例如：购买</w:t>
      </w:r>
      <w:r>
        <w:rPr>
          <w:color w:val="0070C0"/>
          <w:szCs w:val="21"/>
        </w:rPr>
        <w:t>1美元，需要6.8人民币，则汇率为6.8</w:t>
      </w:r>
    </w:p>
    <w:p>
      <w:pPr>
        <w:rPr>
          <w:szCs w:val="21"/>
        </w:rPr>
      </w:pPr>
      <w:r>
        <w:rPr>
          <w:szCs w:val="21"/>
        </w:rPr>
        <w:t>II.</w:t>
      </w:r>
      <w:r>
        <w:rPr>
          <w:rFonts w:hint="eastAsia"/>
          <w:szCs w:val="21"/>
        </w:rPr>
        <w:t>间接标价法，也称为应收标价法。（把本币售出，可以得到的外币数量）</w:t>
      </w:r>
    </w:p>
    <w:p>
      <w:pPr>
        <w:rPr>
          <w:szCs w:val="21"/>
        </w:rPr>
      </w:pPr>
      <w:r>
        <w:rPr>
          <w:rFonts w:hint="eastAsia"/>
          <w:szCs w:val="21"/>
        </w:rPr>
        <w:t>在间接标价法中，如果本币价值上升，则汇率上升；如果本币价值下降，则汇率下降</w:t>
      </w:r>
    </w:p>
    <w:p>
      <w:pPr>
        <w:rPr>
          <w:color w:val="0070C0"/>
          <w:szCs w:val="21"/>
        </w:rPr>
      </w:pPr>
      <w:r>
        <w:rPr>
          <w:rFonts w:hint="eastAsia"/>
          <w:color w:val="0070C0"/>
          <w:szCs w:val="21"/>
        </w:rPr>
        <w:t>例如：售卖</w:t>
      </w:r>
      <w:r>
        <w:rPr>
          <w:color w:val="0070C0"/>
          <w:szCs w:val="21"/>
        </w:rPr>
        <w:t>1人民币，得到0.15美元，则汇率为0.15</w:t>
      </w:r>
    </w:p>
    <w:p>
      <w:pPr>
        <w:rPr>
          <w:szCs w:val="21"/>
        </w:rPr>
      </w:pPr>
      <w:r>
        <w:rPr>
          <w:szCs w:val="21"/>
        </w:rPr>
        <w:t>5.实际汇率</w:t>
      </w:r>
    </w:p>
    <w:p>
      <w:pPr>
        <w:rPr>
          <w:szCs w:val="21"/>
        </w:rPr>
      </w:pPr>
      <w:r>
        <w:rPr>
          <w:rFonts w:hint="eastAsia"/>
          <w:szCs w:val="21"/>
        </w:rPr>
        <w:t>①概念：</w:t>
      </w:r>
      <w:r>
        <w:rPr>
          <w:szCs w:val="21"/>
        </w:rPr>
        <w:t>用两国（或地区）价格水平对名义汇率加以调整后的汇率，用ε表示。</w:t>
      </w:r>
    </w:p>
    <w:p>
      <w:pPr>
        <w:rPr>
          <w:szCs w:val="21"/>
        </w:rPr>
      </w:pPr>
      <w:r>
        <w:rPr>
          <w:rFonts w:hint="eastAsia"/>
          <w:szCs w:val="21"/>
        </w:rPr>
        <w:t>②标价方法：</w:t>
      </w:r>
    </w:p>
    <w:p>
      <w:pPr>
        <w:rPr>
          <w:szCs w:val="21"/>
        </w:rPr>
      </w:pPr>
      <w:r>
        <w:rPr>
          <w:szCs w:val="21"/>
        </w:rPr>
        <w:t>I.</w:t>
      </w:r>
      <w:r>
        <w:rPr>
          <w:rFonts w:hint="eastAsia"/>
          <w:szCs w:val="21"/>
        </w:rPr>
        <w:t>直接标价法：如果国内商品用本币计价为</w:t>
      </w:r>
      <w:r>
        <w:rPr>
          <w:szCs w:val="21"/>
        </w:rPr>
        <w:t>P，国外商品用本币计价为eP</w:t>
      </w:r>
      <w:r>
        <w:rPr>
          <w:szCs w:val="21"/>
          <w:vertAlign w:val="subscript"/>
        </w:rPr>
        <w:t>f</w:t>
      </w:r>
      <w:r>
        <w:rPr>
          <w:szCs w:val="21"/>
        </w:rPr>
        <w:t>，可以将直接标价法的实际汇率表示为：</w:t>
      </w:r>
      <w:r>
        <w:rPr>
          <w:szCs w:val="21"/>
          <w:highlight w:val="yellow"/>
          <w:shd w:val="pct10" w:color="auto" w:fill="FFFFFF"/>
        </w:rPr>
        <w:object>
          <v:shape id="_x0000_i1025" o:spt="75" type="#_x0000_t75" style="height:101.4pt;width:147pt;" o:ole="t" filled="f" o:preferrelative="t" stroked="f" coordsize="21600,21600">
            <v:path/>
            <v:fill on="f" focussize="0,0"/>
            <v:stroke on="f" joinstyle="miter"/>
            <v:imagedata r:id="rId5" o:title=""/>
            <o:lock v:ext="edit" aspectratio="t"/>
            <w10:wrap type="none"/>
            <w10:anchorlock/>
          </v:shape>
          <o:OLEObject Type="Embed" ProgID="Unknown" ShapeID="_x0000_i1025" DrawAspect="Content" ObjectID="_1468075725" r:id="rId4">
            <o:LockedField>false</o:LockedField>
          </o:OLEObject>
        </w:object>
      </w:r>
      <w:r>
        <w:rPr>
          <w:szCs w:val="21"/>
        </w:rPr>
        <w:t xml:space="preserve"> </w:t>
      </w:r>
    </w:p>
    <w:p>
      <w:pPr>
        <w:rPr>
          <w:szCs w:val="21"/>
        </w:rPr>
      </w:pPr>
      <w:r>
        <w:rPr>
          <w:szCs w:val="21"/>
        </w:rPr>
        <w:t>II.</w:t>
      </w:r>
      <w:r>
        <w:t xml:space="preserve"> </w:t>
      </w:r>
      <w:r>
        <w:rPr>
          <w:rFonts w:hint="eastAsia"/>
          <w:szCs w:val="21"/>
        </w:rPr>
        <w:t>间接标价法：间接标价法的实际汇率表示为</w:t>
      </w:r>
      <w:r>
        <w:rPr>
          <w:szCs w:val="21"/>
          <w:highlight w:val="yellow"/>
        </w:rPr>
        <w:t xml:space="preserve"> </w:t>
      </w:r>
      <w:r>
        <w:rPr>
          <w:szCs w:val="21"/>
          <w:highlight w:val="yellow"/>
        </w:rPr>
        <w:drawing>
          <wp:inline distT="0" distB="0" distL="0" distR="0">
            <wp:extent cx="1857375" cy="1133475"/>
            <wp:effectExtent l="0" t="0" r="9525" b="9525"/>
            <wp:docPr id="12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57375" cy="1133475"/>
                    </a:xfrm>
                    <a:prstGeom prst="rect">
                      <a:avLst/>
                    </a:prstGeom>
                    <a:noFill/>
                    <a:ln>
                      <a:noFill/>
                    </a:ln>
                  </pic:spPr>
                </pic:pic>
              </a:graphicData>
            </a:graphic>
          </wp:inline>
        </w:drawing>
      </w:r>
    </w:p>
    <w:p>
      <w:pPr>
        <w:rPr>
          <w:szCs w:val="21"/>
        </w:rPr>
      </w:pPr>
      <w:r>
        <w:rPr>
          <w:rFonts w:hint="eastAsia"/>
          <w:szCs w:val="21"/>
        </w:rPr>
        <w:t>③经济含义：实际汇率有时也被称为贸易条件。考虑直接标价法：</w:t>
      </w:r>
    </w:p>
    <w:p>
      <w:pPr>
        <w:rPr>
          <w:szCs w:val="21"/>
        </w:rPr>
      </w:pPr>
      <w:r>
        <w:rPr>
          <w:szCs w:val="21"/>
        </w:rPr>
        <w:t>I.</w:t>
      </w:r>
      <w:r>
        <w:rPr>
          <w:rFonts w:hint="eastAsia"/>
          <w:szCs w:val="21"/>
        </w:rPr>
        <w:t>当国内商品比国外商品价格便宜时，就是</w:t>
      </w:r>
      <w:r>
        <w:rPr>
          <w:szCs w:val="21"/>
        </w:rPr>
        <w:t>eP</w:t>
      </w:r>
      <w:r>
        <w:rPr>
          <w:szCs w:val="21"/>
          <w:vertAlign w:val="subscript"/>
        </w:rPr>
        <w:t>f</w:t>
      </w:r>
      <w:r>
        <w:rPr>
          <w:szCs w:val="21"/>
        </w:rPr>
        <w:t>&gt;P，国内居民更愿意购买国内商品，从而使得价格P上升；相反，如果eP</w:t>
      </w:r>
      <w:r>
        <w:rPr>
          <w:szCs w:val="21"/>
          <w:vertAlign w:val="subscript"/>
        </w:rPr>
        <w:t>f</w:t>
      </w:r>
      <w:r>
        <w:rPr>
          <w:szCs w:val="21"/>
        </w:rPr>
        <w:t>&lt;P，国外商品比国内商品价格便宜，国内居民更愿意购买国外商品，使得国内商品价格P下降。</w:t>
      </w:r>
    </w:p>
    <w:p>
      <w:pPr>
        <w:rPr>
          <w:szCs w:val="21"/>
        </w:rPr>
      </w:pPr>
      <w:r>
        <w:rPr>
          <w:szCs w:val="21"/>
        </w:rPr>
        <w:t>II.在没有运输成本和贸易壁垒的条件下，可以得P=eP</w:t>
      </w:r>
      <w:r>
        <w:rPr>
          <w:szCs w:val="21"/>
          <w:vertAlign w:val="subscript"/>
        </w:rPr>
        <w:t>f</w:t>
      </w:r>
      <w:r>
        <w:rPr>
          <w:szCs w:val="21"/>
        </w:rPr>
        <w:t>，这一关系被称为购买力平价。</w:t>
      </w:r>
    </w:p>
    <w:p>
      <w:pPr>
        <w:rPr>
          <w:szCs w:val="21"/>
        </w:rPr>
      </w:pPr>
      <w:r>
        <w:rPr>
          <w:szCs w:val="21"/>
        </w:rPr>
        <w:t>6.汇率制度：按照汇率波动幅度的大小，可以将汇率制度分为固定汇率制和浮动汇率制。</w:t>
      </w:r>
    </w:p>
    <w:p>
      <w:pPr>
        <w:rPr>
          <w:szCs w:val="21"/>
        </w:rPr>
      </w:pPr>
      <w:r>
        <w:rPr>
          <w:szCs w:val="21"/>
        </w:rPr>
        <w:t>I.</w:t>
      </w:r>
      <w:r>
        <w:rPr>
          <w:rFonts w:hint="eastAsia"/>
          <w:szCs w:val="21"/>
        </w:rPr>
        <w:t>固定汇率制：在金本位制度下和布雷顿森林体系下通行的汇率制度。这种制度规定本国货币与其他国家货币之间维持一个固定比率，汇率波动被限制在一定范围内（如</w:t>
      </w:r>
      <w:r>
        <w:rPr>
          <w:szCs w:val="21"/>
        </w:rPr>
        <w:t>1%），由官方干预来保证汇率的稳定。</w:t>
      </w:r>
    </w:p>
    <w:p>
      <w:pPr>
        <w:rPr>
          <w:szCs w:val="21"/>
        </w:rPr>
      </w:pPr>
      <w:r>
        <w:rPr>
          <w:szCs w:val="21"/>
        </w:rPr>
        <w:t>II.</w:t>
      </w:r>
      <w:r>
        <w:rPr>
          <w:rFonts w:hint="eastAsia"/>
          <w:szCs w:val="21"/>
        </w:rPr>
        <w:t>浮动汇率制：一国不规定本币与外币的黄金平价和汇率上下波动的界限，货币当局也不承担维持汇率波动幅度的义务，汇率随外汇市场供求关系变化而上下自由浮动的一种汇率制度。</w:t>
      </w:r>
    </w:p>
    <w:p>
      <w:pPr>
        <w:rPr>
          <w:szCs w:val="21"/>
        </w:rPr>
      </w:pPr>
      <w:r>
        <w:rPr>
          <w:szCs w:val="21"/>
        </w:rPr>
        <w:t>7.净出口</w:t>
      </w:r>
      <w:r>
        <w:rPr>
          <w:rFonts w:hint="eastAsia"/>
          <w:szCs w:val="21"/>
        </w:rPr>
        <w:t>函数：</w:t>
      </w:r>
    </w:p>
    <w:p>
      <w:pPr>
        <w:rPr>
          <w:szCs w:val="21"/>
        </w:rPr>
      </w:pPr>
      <w:r>
        <w:rPr>
          <w:rFonts w:hint="eastAsia"/>
          <w:szCs w:val="21"/>
        </w:rPr>
        <w:t>①公式：</w:t>
      </w:r>
      <w:r>
        <w:rPr>
          <w:szCs w:val="21"/>
          <w:highlight w:val="yellow"/>
        </w:rPr>
        <w:t xml:space="preserve"> </w:t>
      </w:r>
      <w:r>
        <w:rPr>
          <w:szCs w:val="21"/>
          <w:highlight w:val="yellow"/>
        </w:rPr>
        <w:drawing>
          <wp:inline distT="0" distB="0" distL="0" distR="0">
            <wp:extent cx="3521710" cy="546100"/>
            <wp:effectExtent l="0" t="0" r="2540" b="6350"/>
            <wp:docPr id="143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65265" cy="552861"/>
                    </a:xfrm>
                    <a:prstGeom prst="rect">
                      <a:avLst/>
                    </a:prstGeom>
                    <a:noFill/>
                    <a:ln>
                      <a:noFill/>
                    </a:ln>
                  </pic:spPr>
                </pic:pic>
              </a:graphicData>
            </a:graphic>
          </wp:inline>
        </w:drawing>
      </w:r>
    </w:p>
    <w:p>
      <w:pPr>
        <w:rPr>
          <w:szCs w:val="21"/>
        </w:rPr>
      </w:pPr>
      <w:r>
        <w:rPr>
          <w:rFonts w:hint="eastAsia"/>
          <w:szCs w:val="21"/>
          <w:highlight w:val="yellow"/>
        </w:rPr>
        <w:t>其中，</w:t>
      </w:r>
      <w:r>
        <w:rPr>
          <w:szCs w:val="21"/>
          <w:highlight w:val="yellow"/>
        </w:rPr>
        <w:t>q为常数，</w:t>
      </w:r>
      <w:r>
        <w:rPr>
          <w:rFonts w:hint="eastAsia"/>
          <w:szCs w:val="21"/>
          <w:highlight w:val="yellow"/>
        </w:rPr>
        <w:t>γ</w:t>
      </w:r>
      <w:r>
        <w:rPr>
          <w:szCs w:val="21"/>
          <w:highlight w:val="yellow"/>
        </w:rPr>
        <w:t>为边际进口倾向，n为净出口对实际汇率变动的反应系数。</w:t>
      </w:r>
    </w:p>
    <w:p>
      <w:pPr>
        <w:rPr>
          <w:color w:val="00B050"/>
          <w:szCs w:val="21"/>
        </w:rPr>
      </w:pPr>
      <w:r>
        <w:rPr>
          <w:color w:val="00B050"/>
          <w:szCs w:val="21"/>
        </w:rPr>
        <w:t>#两个自变量：①Y②名义汇率（实际汇率）</w:t>
      </w:r>
    </w:p>
    <w:p>
      <w:pPr>
        <w:rPr>
          <w:szCs w:val="21"/>
        </w:rPr>
      </w:pPr>
      <w:r>
        <w:rPr>
          <w:rFonts w:hint="eastAsia"/>
          <w:szCs w:val="21"/>
        </w:rPr>
        <w:t>②推导：净出口就是出口与进口的差额。即：</w:t>
      </w:r>
      <w:r>
        <w:rPr>
          <w:szCs w:val="21"/>
          <w:shd w:val="pct10" w:color="auto" w:fill="FFFFFF"/>
        </w:rPr>
        <w:object>
          <v:shape id="_x0000_i1026" o:spt="75" type="#_x0000_t75" style="height:25.2pt;width:120.6pt;" o:ole="t" filled="f" o:preferrelative="t" stroked="f" coordsize="21600,21600">
            <v:path/>
            <v:fill on="f" focussize="0,0"/>
            <v:stroke on="f" joinstyle="miter"/>
            <v:imagedata r:id="rId9" o:title=""/>
            <o:lock v:ext="edit" aspectratio="t"/>
            <w10:wrap type="none"/>
            <w10:anchorlock/>
          </v:shape>
          <o:OLEObject Type="Embed" ProgID="Unknown" ShapeID="_x0000_i1026" DrawAspect="Content" ObjectID="_1468075726" r:id="rId8">
            <o:LockedField>false</o:LockedField>
          </o:OLEObject>
        </w:object>
      </w:r>
    </w:p>
    <w:p>
      <w:pPr>
        <w:rPr>
          <w:szCs w:val="21"/>
        </w:rPr>
      </w:pPr>
      <w:r>
        <w:rPr>
          <w:rFonts w:hint="eastAsia"/>
          <w:szCs w:val="21"/>
        </w:rPr>
        <w:t>如果用</w:t>
      </w:r>
      <w:r>
        <w:rPr>
          <w:rFonts w:hint="eastAsia"/>
          <w:color w:val="FF0000"/>
          <w:szCs w:val="21"/>
        </w:rPr>
        <w:t>间接标价法</w:t>
      </w:r>
      <w:r>
        <w:rPr>
          <w:rFonts w:hint="eastAsia"/>
          <w:szCs w:val="21"/>
        </w:rPr>
        <w:t>，净出口函数可以表示为：</w:t>
      </w:r>
    </w:p>
    <w:p>
      <w:pPr>
        <w:rPr>
          <w:szCs w:val="21"/>
        </w:rPr>
      </w:pPr>
      <w:r>
        <w:rPr>
          <w:szCs w:val="21"/>
        </w:rPr>
        <w:drawing>
          <wp:inline distT="0" distB="0" distL="0" distR="0">
            <wp:extent cx="4503420" cy="697865"/>
            <wp:effectExtent l="0" t="0" r="0" b="6985"/>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36131" cy="703411"/>
                    </a:xfrm>
                    <a:prstGeom prst="rect">
                      <a:avLst/>
                    </a:prstGeom>
                    <a:noFill/>
                    <a:ln>
                      <a:noFill/>
                    </a:ln>
                  </pic:spPr>
                </pic:pic>
              </a:graphicData>
            </a:graphic>
          </wp:inline>
        </w:drawing>
      </w:r>
    </w:p>
    <w:p>
      <w:pPr>
        <w:rPr>
          <w:szCs w:val="21"/>
        </w:rPr>
      </w:pPr>
      <w:r>
        <w:rPr>
          <w:rFonts w:hint="eastAsia"/>
          <w:szCs w:val="21"/>
        </w:rPr>
        <w:t>证毕。</w:t>
      </w:r>
    </w:p>
    <w:p>
      <w:pPr>
        <w:rPr>
          <w:szCs w:val="21"/>
        </w:rPr>
      </w:pPr>
      <w:r>
        <w:rPr>
          <w:rFonts w:hint="eastAsia"/>
          <w:szCs w:val="21"/>
        </w:rPr>
        <w:t>③图示：</w:t>
      </w:r>
    </w:p>
    <w:p>
      <w:pPr>
        <w:rPr>
          <w:szCs w:val="21"/>
        </w:rPr>
      </w:pPr>
      <w:r>
        <w:rPr>
          <w:szCs w:val="21"/>
        </w:rPr>
        <w:drawing>
          <wp:inline distT="0" distB="0" distL="0" distR="0">
            <wp:extent cx="2512060" cy="2011680"/>
            <wp:effectExtent l="0" t="0" r="2540" b="7620"/>
            <wp:docPr id="153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16526" cy="2014796"/>
                    </a:xfrm>
                    <a:prstGeom prst="rect">
                      <a:avLst/>
                    </a:prstGeom>
                    <a:noFill/>
                    <a:ln>
                      <a:noFill/>
                    </a:ln>
                  </pic:spPr>
                </pic:pic>
              </a:graphicData>
            </a:graphic>
          </wp:inline>
        </w:drawing>
      </w:r>
    </w:p>
    <w:p>
      <w:pPr>
        <w:rPr>
          <w:szCs w:val="21"/>
        </w:rPr>
      </w:pPr>
      <w:r>
        <w:rPr>
          <w:rFonts w:hint="eastAsia"/>
          <w:szCs w:val="21"/>
        </w:rPr>
        <w:t>④马歇尔</w:t>
      </w:r>
      <w:r>
        <w:rPr>
          <w:szCs w:val="21"/>
        </w:rPr>
        <w:t>-勒纳条件</w:t>
      </w:r>
      <w:r>
        <w:rPr>
          <w:rFonts w:hint="eastAsia"/>
          <w:szCs w:val="21"/>
        </w:rPr>
        <w:t>：</w:t>
      </w:r>
      <w:r>
        <w:rPr>
          <w:szCs w:val="21"/>
        </w:rPr>
        <w:t>一般理论上，本国汇率下降（或本币贬值）将增加净出口，在实际经济中，本国货币贬值对净出口影响的程度，还要看出口商品和进口商品的需求弹性，</w:t>
      </w:r>
      <w:r>
        <w:rPr>
          <w:color w:val="FF0000"/>
          <w:szCs w:val="21"/>
        </w:rPr>
        <w:t>如果两者之和的绝对值大于1，则本国货币贬值可以改善一国的贸易收支状况</w:t>
      </w:r>
      <w:r>
        <w:rPr>
          <w:szCs w:val="21"/>
        </w:rPr>
        <w:t>，这一结论被称为马歇尔-勒纳条件。</w:t>
      </w:r>
    </w:p>
    <w:p>
      <w:pPr>
        <w:rPr>
          <w:color w:val="00B050"/>
          <w:szCs w:val="21"/>
        </w:rPr>
      </w:pPr>
      <w:r>
        <w:rPr>
          <w:color w:val="00B050"/>
          <w:szCs w:val="21"/>
        </w:rPr>
        <w:t>#这是通常认为的“本币贬值有利于出口，不利于进口”的深化。</w:t>
      </w:r>
    </w:p>
    <w:p>
      <w:pPr>
        <w:rPr>
          <w:szCs w:val="21"/>
        </w:rPr>
      </w:pPr>
      <w:r>
        <w:rPr>
          <w:rFonts w:hint="eastAsia"/>
          <w:szCs w:val="21"/>
        </w:rPr>
        <w:t>⑤本币贬值对贸易收支状况的改善存在一定的时滞，具体可以划分为三个阶段：</w:t>
      </w:r>
      <w:r>
        <w:rPr>
          <w:rFonts w:hint="eastAsia"/>
          <w:color w:val="FF0000"/>
          <w:szCs w:val="21"/>
        </w:rPr>
        <w:t>货币合同阶段、传导阶段、数量调整阶段</w:t>
      </w:r>
      <w:r>
        <w:rPr>
          <w:rFonts w:hint="eastAsia"/>
          <w:szCs w:val="21"/>
        </w:rPr>
        <w:t>。</w:t>
      </w:r>
    </w:p>
    <w:p>
      <w:pPr>
        <w:rPr>
          <w:szCs w:val="21"/>
        </w:rPr>
      </w:pPr>
      <w:r>
        <w:rPr>
          <w:rFonts w:hint="eastAsia"/>
          <w:szCs w:val="21"/>
        </w:rPr>
        <w:t>图示：</w:t>
      </w:r>
    </w:p>
    <w:p>
      <w:pPr>
        <w:rPr>
          <w:szCs w:val="21"/>
        </w:rPr>
      </w:pPr>
      <w:r>
        <w:rPr>
          <w:szCs w:val="21"/>
        </w:rPr>
        <w:drawing>
          <wp:inline distT="0" distB="0" distL="0" distR="0">
            <wp:extent cx="2942590" cy="2300605"/>
            <wp:effectExtent l="0" t="0" r="0" b="4445"/>
            <wp:docPr id="174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945748" cy="2303117"/>
                    </a:xfrm>
                    <a:prstGeom prst="rect">
                      <a:avLst/>
                    </a:prstGeom>
                    <a:noFill/>
                    <a:ln>
                      <a:noFill/>
                    </a:ln>
                  </pic:spPr>
                </pic:pic>
              </a:graphicData>
            </a:graphic>
          </wp:inline>
        </w:drawing>
      </w:r>
    </w:p>
    <w:p>
      <w:pPr>
        <w:rPr>
          <w:szCs w:val="21"/>
        </w:rPr>
      </w:pPr>
      <w:r>
        <w:rPr>
          <w:szCs w:val="21"/>
        </w:rPr>
        <w:t>8.资本净流出函数</w:t>
      </w:r>
    </w:p>
    <w:p>
      <w:pPr>
        <w:rPr>
          <w:szCs w:val="21"/>
        </w:rPr>
      </w:pPr>
      <w:r>
        <w:rPr>
          <w:rFonts w:hint="eastAsia"/>
          <w:szCs w:val="21"/>
        </w:rPr>
        <w:t>①净资本流出（资本项目差额）：本国流向国外的资本量减去国外流向本国的资本量所得的差额称为资本项目差额或净资本流出，用</w:t>
      </w:r>
      <w:r>
        <w:rPr>
          <w:szCs w:val="21"/>
        </w:rPr>
        <w:t>F表示。</w:t>
      </w:r>
    </w:p>
    <w:p>
      <w:pPr>
        <w:rPr>
          <w:szCs w:val="21"/>
        </w:rPr>
      </w:pPr>
      <w:r>
        <w:rPr>
          <w:rFonts w:hint="eastAsia"/>
          <w:szCs w:val="21"/>
        </w:rPr>
        <w:t>②净资本流出函数：</w:t>
      </w:r>
      <w:r>
        <w:rPr>
          <w:szCs w:val="21"/>
          <w:highlight w:val="yellow"/>
          <w:shd w:val="pct10" w:color="auto" w:fill="FFFFFF"/>
        </w:rPr>
        <w:object>
          <v:shape id="_x0000_i1027" o:spt="75" type="#_x0000_t75" style="height:46.8pt;width:175.2pt;" o:ole="t" filled="f" o:preferrelative="t" stroked="f" coordsize="21600,21600">
            <v:path/>
            <v:fill on="f" focussize="0,0"/>
            <v:stroke on="f" joinstyle="miter"/>
            <v:imagedata r:id="rId13" o:title=""/>
            <o:lock v:ext="edit" aspectratio="t"/>
            <w10:wrap type="none"/>
            <w10:anchorlock/>
          </v:shape>
          <o:OLEObject Type="Embed" ProgID="Unknown" ShapeID="_x0000_i1027" DrawAspect="Content" ObjectID="_1468075727" r:id="rId12">
            <o:LockedField>false</o:LockedField>
          </o:OLEObject>
        </w:object>
      </w:r>
    </w:p>
    <w:p>
      <w:pPr>
        <w:rPr>
          <w:szCs w:val="21"/>
        </w:rPr>
      </w:pPr>
      <w:r>
        <w:rPr>
          <w:rFonts w:hint="eastAsia"/>
          <w:szCs w:val="21"/>
        </w:rPr>
        <w:t>式中，σ≥</w:t>
      </w:r>
      <w:r>
        <w:rPr>
          <w:szCs w:val="21"/>
        </w:rPr>
        <w:t>0为常数，反映的是国家（或地区）间资本流动的难易程度。r</w:t>
      </w:r>
      <w:r>
        <w:rPr>
          <w:szCs w:val="21"/>
          <w:vertAlign w:val="subscript"/>
        </w:rPr>
        <w:t>w</w:t>
      </w:r>
      <w:r>
        <w:rPr>
          <w:rFonts w:hint="eastAsia"/>
          <w:szCs w:val="21"/>
        </w:rPr>
        <w:t>是世界利率；</w:t>
      </w:r>
      <w:r>
        <w:rPr>
          <w:szCs w:val="21"/>
        </w:rPr>
        <w:t>r是本国利率。</w:t>
      </w:r>
    </w:p>
    <w:p>
      <w:pPr>
        <w:rPr>
          <w:color w:val="00B050"/>
          <w:szCs w:val="21"/>
        </w:rPr>
      </w:pPr>
      <w:r>
        <w:rPr>
          <w:color w:val="00B050"/>
          <w:szCs w:val="21"/>
        </w:rPr>
        <w:t>#σ=0</w:t>
      </w:r>
      <w:r>
        <w:rPr>
          <w:rFonts w:hint="eastAsia"/>
          <w:color w:val="00B050"/>
          <w:szCs w:val="21"/>
        </w:rPr>
        <w:t>时，市政府的极端管制的结果。实际经济生活中σ＞</w:t>
      </w:r>
      <w:r>
        <w:rPr>
          <w:color w:val="00B050"/>
          <w:szCs w:val="21"/>
        </w:rPr>
        <w:t>0。</w:t>
      </w:r>
    </w:p>
    <w:p>
      <w:pPr>
        <w:rPr>
          <w:color w:val="0070C0"/>
          <w:szCs w:val="21"/>
        </w:rPr>
      </w:pPr>
      <w:r>
        <w:rPr>
          <w:rFonts w:hint="eastAsia"/>
          <w:color w:val="0070C0"/>
          <w:szCs w:val="21"/>
        </w:rPr>
        <w:t>图示：</w:t>
      </w:r>
    </w:p>
    <w:p>
      <w:pPr>
        <w:rPr>
          <w:szCs w:val="21"/>
        </w:rPr>
      </w:pPr>
      <w:r>
        <w:rPr>
          <w:szCs w:val="21"/>
        </w:rPr>
        <w:drawing>
          <wp:inline distT="0" distB="0" distL="0" distR="0">
            <wp:extent cx="2792730" cy="2209800"/>
            <wp:effectExtent l="0" t="0" r="7620" b="0"/>
            <wp:docPr id="194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797431" cy="2213089"/>
                    </a:xfrm>
                    <a:prstGeom prst="rect">
                      <a:avLst/>
                    </a:prstGeom>
                    <a:noFill/>
                    <a:ln>
                      <a:noFill/>
                    </a:ln>
                  </pic:spPr>
                </pic:pic>
              </a:graphicData>
            </a:graphic>
          </wp:inline>
        </w:drawing>
      </w:r>
    </w:p>
    <w:p>
      <w:pPr>
        <w:rPr>
          <w:szCs w:val="21"/>
        </w:rPr>
      </w:pPr>
      <w:r>
        <w:rPr>
          <w:szCs w:val="21"/>
        </w:rPr>
        <w:t>9.</w:t>
      </w:r>
      <w:r>
        <w:t xml:space="preserve"> </w:t>
      </w:r>
      <w:r>
        <w:rPr>
          <w:rFonts w:hint="eastAsia"/>
          <w:szCs w:val="21"/>
        </w:rPr>
        <w:t>国际收支的平衡：</w:t>
      </w:r>
      <w:r>
        <w:rPr>
          <w:szCs w:val="21"/>
        </w:rPr>
        <w:t>BP曲线的推导</w:t>
      </w:r>
    </w:p>
    <w:p>
      <w:pPr>
        <w:rPr>
          <w:szCs w:val="21"/>
        </w:rPr>
      </w:pPr>
      <w:r>
        <w:rPr>
          <w:rFonts w:hint="eastAsia"/>
          <w:szCs w:val="21"/>
        </w:rPr>
        <w:t>①国际收支平衡的概念：通常把净出口与净资本流出的差额称为国际收支差额，用</w:t>
      </w:r>
      <w:r>
        <w:rPr>
          <w:szCs w:val="21"/>
        </w:rPr>
        <w:t>BP表示。</w:t>
      </w:r>
    </w:p>
    <w:p>
      <w:pPr>
        <w:rPr>
          <w:szCs w:val="21"/>
        </w:rPr>
      </w:pPr>
      <w:r>
        <w:rPr>
          <w:rFonts w:hint="eastAsia"/>
          <w:szCs w:val="21"/>
        </w:rPr>
        <w:t>②国际收支平衡的表达式国际收支差额是本国收入与利率的函数，即：</w:t>
      </w:r>
    </w:p>
    <w:p>
      <w:pPr>
        <w:rPr>
          <w:szCs w:val="21"/>
        </w:rPr>
      </w:pPr>
      <w:r>
        <w:rPr>
          <w:szCs w:val="21"/>
          <w:highlight w:val="yellow"/>
          <w:shd w:val="pct10" w:color="auto" w:fill="FFFFFF"/>
        </w:rPr>
        <w:object>
          <v:shape id="_x0000_i1028" o:spt="75" type="#_x0000_t75" style="height:37.2pt;width:232.2pt;" o:ole="t" filled="f" o:preferrelative="t" stroked="f" coordsize="21600,21600">
            <v:path/>
            <v:fill on="f" focussize="0,0"/>
            <v:stroke on="f" joinstyle="miter"/>
            <v:imagedata r:id="rId16" o:title=""/>
            <o:lock v:ext="edit" aspectratio="t"/>
            <w10:wrap type="none"/>
            <w10:anchorlock/>
          </v:shape>
          <o:OLEObject Type="Embed" ProgID="Unknown" ShapeID="_x0000_i1028" DrawAspect="Content" ObjectID="_1468075728" r:id="rId15">
            <o:LockedField>false</o:LockedField>
          </o:OLEObject>
        </w:object>
      </w:r>
    </w:p>
    <w:p>
      <w:pPr>
        <w:rPr>
          <w:szCs w:val="21"/>
        </w:rPr>
      </w:pPr>
      <w:r>
        <w:rPr>
          <w:rFonts w:hint="eastAsia"/>
          <w:szCs w:val="21"/>
        </w:rPr>
        <w:t>③均衡：当一国的国际收支平衡时，国际收支差额等于零，即</w:t>
      </w:r>
      <w:r>
        <w:rPr>
          <w:szCs w:val="21"/>
        </w:rPr>
        <w:t>BP=0，此时达到外部均衡状态。</w:t>
      </w:r>
    </w:p>
    <w:p>
      <w:pPr>
        <w:rPr>
          <w:szCs w:val="21"/>
        </w:rPr>
      </w:pPr>
      <w:r>
        <w:rPr>
          <w:rFonts w:hint="eastAsia"/>
          <w:szCs w:val="21"/>
        </w:rPr>
        <w:t>④数理推导：将净出口函数式和净资本流出函数式代入</w:t>
      </w:r>
      <w:r>
        <w:rPr>
          <w:szCs w:val="21"/>
        </w:rPr>
        <w:t>NX=F</w:t>
      </w:r>
      <w:r>
        <w:rPr>
          <w:rFonts w:hint="eastAsia"/>
          <w:szCs w:val="21"/>
        </w:rPr>
        <w:t>中，可以得到国际收支均衡函数</w:t>
      </w:r>
    </w:p>
    <w:p>
      <w:pPr>
        <w:rPr>
          <w:szCs w:val="21"/>
        </w:rPr>
      </w:pPr>
      <w:r>
        <w:rPr>
          <w:szCs w:val="21"/>
        </w:rPr>
        <w:drawing>
          <wp:inline distT="0" distB="0" distL="0" distR="0">
            <wp:extent cx="3284220" cy="661035"/>
            <wp:effectExtent l="0" t="0" r="0" b="5715"/>
            <wp:docPr id="215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1"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317130" cy="668087"/>
                    </a:xfrm>
                    <a:prstGeom prst="rect">
                      <a:avLst/>
                    </a:prstGeom>
                    <a:noFill/>
                    <a:ln>
                      <a:noFill/>
                    </a:ln>
                  </pic:spPr>
                </pic:pic>
              </a:graphicData>
            </a:graphic>
          </wp:inline>
        </w:drawing>
      </w:r>
    </w:p>
    <w:p>
      <w:pPr>
        <w:rPr>
          <w:szCs w:val="21"/>
        </w:rPr>
      </w:pPr>
      <w:r>
        <w:rPr>
          <w:rFonts w:hint="eastAsia"/>
          <w:szCs w:val="21"/>
        </w:rPr>
        <w:t>化简为：</w:t>
      </w:r>
    </w:p>
    <w:p>
      <w:pPr>
        <w:rPr>
          <w:szCs w:val="21"/>
        </w:rPr>
      </w:pPr>
      <w:r>
        <w:rPr>
          <w:szCs w:val="21"/>
        </w:rPr>
        <w:drawing>
          <wp:inline distT="0" distB="0" distL="0" distR="0">
            <wp:extent cx="3352800" cy="981710"/>
            <wp:effectExtent l="0" t="0" r="0" b="8890"/>
            <wp:docPr id="215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2"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363654" cy="985017"/>
                    </a:xfrm>
                    <a:prstGeom prst="rect">
                      <a:avLst/>
                    </a:prstGeom>
                    <a:noFill/>
                    <a:ln>
                      <a:noFill/>
                    </a:ln>
                  </pic:spPr>
                </pic:pic>
              </a:graphicData>
            </a:graphic>
          </wp:inline>
        </w:drawing>
      </w:r>
    </w:p>
    <w:p>
      <w:pPr>
        <w:rPr>
          <w:szCs w:val="21"/>
        </w:rPr>
      </w:pPr>
      <w:r>
        <w:rPr>
          <w:rFonts w:hint="eastAsia"/>
          <w:szCs w:val="21"/>
        </w:rPr>
        <w:t>可以看出，国际收支函数表示在国际收支平衡时利率</w:t>
      </w:r>
      <w:r>
        <w:rPr>
          <w:szCs w:val="21"/>
        </w:rPr>
        <w:t>r和收入Y的相互关系。</w:t>
      </w:r>
    </w:p>
    <w:p>
      <w:pPr>
        <w:rPr>
          <w:szCs w:val="21"/>
        </w:rPr>
      </w:pPr>
      <w:r>
        <w:rPr>
          <w:rFonts w:hint="eastAsia"/>
          <w:szCs w:val="21"/>
        </w:rPr>
        <w:t>⑤几何推导：</w:t>
      </w:r>
    </w:p>
    <w:p>
      <w:pPr>
        <w:rPr>
          <w:szCs w:val="21"/>
        </w:rPr>
      </w:pPr>
      <w:r>
        <w:rPr>
          <w:szCs w:val="21"/>
        </w:rPr>
        <w:drawing>
          <wp:inline distT="0" distB="0" distL="0" distR="0">
            <wp:extent cx="4884420" cy="3139440"/>
            <wp:effectExtent l="0" t="0" r="0" b="3810"/>
            <wp:docPr id="225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901789" cy="3150223"/>
                    </a:xfrm>
                    <a:prstGeom prst="rect">
                      <a:avLst/>
                    </a:prstGeom>
                    <a:noFill/>
                    <a:ln>
                      <a:noFill/>
                    </a:ln>
                  </pic:spPr>
                </pic:pic>
              </a:graphicData>
            </a:graphic>
          </wp:inline>
        </w:drawing>
      </w:r>
    </w:p>
    <w:p>
      <w:pPr>
        <w:rPr>
          <w:szCs w:val="21"/>
        </w:rPr>
      </w:pPr>
      <w:r>
        <w:rPr>
          <w:rFonts w:hint="eastAsia"/>
          <w:szCs w:val="21"/>
        </w:rPr>
        <w:t>⑥</w:t>
      </w:r>
      <w:r>
        <w:rPr>
          <w:szCs w:val="21"/>
        </w:rPr>
        <w:t>BP曲线的经济含义</w:t>
      </w:r>
      <w:r>
        <w:rPr>
          <w:rFonts w:hint="eastAsia"/>
          <w:szCs w:val="21"/>
        </w:rPr>
        <w:t>：</w:t>
      </w:r>
    </w:p>
    <w:p>
      <w:pPr>
        <w:rPr>
          <w:szCs w:val="21"/>
        </w:rPr>
      </w:pPr>
      <w:r>
        <w:rPr>
          <w:szCs w:val="21"/>
        </w:rPr>
        <w:t>I.</w:t>
      </w:r>
      <w:r>
        <w:t xml:space="preserve"> </w:t>
      </w:r>
      <w:r>
        <w:rPr>
          <w:szCs w:val="21"/>
        </w:rPr>
        <w:t>BP曲线表示在</w:t>
      </w:r>
      <w:r>
        <w:rPr>
          <w:color w:val="FF0000"/>
          <w:szCs w:val="21"/>
        </w:rPr>
        <w:t>给定汇率</w:t>
      </w:r>
      <w:r>
        <w:rPr>
          <w:szCs w:val="21"/>
        </w:rPr>
        <w:t>下，国际收支平衡的r和Y之间的函数关系。</w:t>
      </w:r>
    </w:p>
    <w:p>
      <w:pPr>
        <w:rPr>
          <w:szCs w:val="21"/>
        </w:rPr>
      </w:pPr>
      <w:r>
        <w:rPr>
          <w:szCs w:val="21"/>
        </w:rPr>
        <w:t>#这意味着也可以</w:t>
      </w:r>
    </w:p>
    <w:p>
      <w:pPr>
        <w:rPr>
          <w:szCs w:val="21"/>
        </w:rPr>
      </w:pPr>
      <w:r>
        <w:rPr>
          <w:szCs w:val="21"/>
        </w:rPr>
        <w:t>II.</w:t>
      </w:r>
      <w:r>
        <w:t xml:space="preserve"> </w:t>
      </w:r>
      <w:r>
        <w:rPr>
          <w:szCs w:val="21"/>
        </w:rPr>
        <w:t>BP曲线上r和Y之间存在</w:t>
      </w:r>
      <w:r>
        <w:rPr>
          <w:color w:val="FF0000"/>
          <w:szCs w:val="21"/>
        </w:rPr>
        <w:t>正向的变化</w:t>
      </w:r>
      <w:r>
        <w:rPr>
          <w:szCs w:val="21"/>
        </w:rPr>
        <w:t>，即较低的Y对应较低的r，较高的Y对应较高的r。</w:t>
      </w:r>
    </w:p>
    <w:p>
      <w:pPr>
        <w:rPr>
          <w:szCs w:val="21"/>
        </w:rPr>
      </w:pPr>
      <w:r>
        <w:rPr>
          <w:szCs w:val="21"/>
        </w:rPr>
        <w:t>III.</w:t>
      </w:r>
      <w:r>
        <w:rPr>
          <w:rFonts w:hint="eastAsia"/>
          <w:szCs w:val="21"/>
        </w:rPr>
        <w:t>传导关系：</w:t>
      </w:r>
      <w:r>
        <w:rPr>
          <w:szCs w:val="21"/>
        </w:rPr>
        <w:t xml:space="preserve"> r ↑——F ↓——NX↓——Y ↑</w:t>
      </w:r>
    </w:p>
    <w:p>
      <w:pPr>
        <w:rPr>
          <w:szCs w:val="21"/>
        </w:rPr>
      </w:pPr>
      <w:r>
        <w:rPr>
          <w:szCs w:val="21"/>
        </w:rPr>
        <w:t>IV.</w:t>
      </w:r>
      <w:r>
        <w:t xml:space="preserve"> </w:t>
      </w:r>
      <w:r>
        <w:rPr>
          <w:szCs w:val="21"/>
        </w:rPr>
        <w:t>BP曲线上的任何一点都满足NX=F，实现对外均衡。不在BP曲线上的任何一点都没有实现对外均衡。在BP曲线左上区域的点均为NX&gt;F，即国际收支盈余。在BP曲线右下区域的点均为NX &lt; F，即国际收支赤字。</w:t>
      </w:r>
    </w:p>
    <w:p>
      <w:pPr>
        <w:rPr>
          <w:szCs w:val="21"/>
        </w:rPr>
      </w:pPr>
      <w:r>
        <w:rPr>
          <w:rFonts w:hint="eastAsia"/>
          <w:szCs w:val="21"/>
        </w:rPr>
        <w:t>⑦</w:t>
      </w:r>
      <w:r>
        <w:rPr>
          <w:szCs w:val="21"/>
        </w:rPr>
        <w:t>BP曲线的斜率</w:t>
      </w:r>
      <w:r>
        <w:rPr>
          <w:rFonts w:hint="eastAsia"/>
          <w:szCs w:val="21"/>
        </w:rPr>
        <w:t>：从</w:t>
      </w:r>
      <w:r>
        <w:rPr>
          <w:szCs w:val="21"/>
        </w:rPr>
        <w:t>BP曲线的推导可知，资本净流出曲线的斜率和净出口曲线的斜率将会影响BP曲线的斜率。根据资本流动性的不同假设，BP曲线会呈现出三种形状：</w:t>
      </w:r>
    </w:p>
    <w:p>
      <w:pPr>
        <w:rPr>
          <w:szCs w:val="21"/>
        </w:rPr>
      </w:pPr>
      <w:r>
        <w:rPr>
          <w:szCs w:val="21"/>
        </w:rPr>
        <w:t>I.</w:t>
      </w:r>
      <w:r>
        <w:rPr>
          <w:szCs w:val="21"/>
        </w:rPr>
        <w:drawing>
          <wp:inline distT="0" distB="0" distL="0" distR="0">
            <wp:extent cx="2895600" cy="1831340"/>
            <wp:effectExtent l="0" t="0" r="0" b="0"/>
            <wp:docPr id="245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911400" cy="1841716"/>
                    </a:xfrm>
                    <a:prstGeom prst="rect">
                      <a:avLst/>
                    </a:prstGeom>
                    <a:noFill/>
                    <a:ln>
                      <a:noFill/>
                    </a:ln>
                  </pic:spPr>
                </pic:pic>
              </a:graphicData>
            </a:graphic>
          </wp:inline>
        </w:drawing>
      </w:r>
    </w:p>
    <w:p>
      <w:pPr>
        <w:rPr>
          <w:szCs w:val="21"/>
        </w:rPr>
      </w:pPr>
      <w:r>
        <w:rPr>
          <w:szCs w:val="21"/>
        </w:rPr>
        <w:t>II.</w:t>
      </w:r>
      <w:r>
        <w:t xml:space="preserve"> </w:t>
      </w:r>
      <w:r>
        <w:drawing>
          <wp:inline distT="0" distB="0" distL="0" distR="0">
            <wp:extent cx="2324100" cy="25330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2337784" cy="2548513"/>
                    </a:xfrm>
                    <a:prstGeom prst="rect">
                      <a:avLst/>
                    </a:prstGeom>
                  </pic:spPr>
                </pic:pic>
              </a:graphicData>
            </a:graphic>
          </wp:inline>
        </w:drawing>
      </w:r>
    </w:p>
    <w:p>
      <w:pPr>
        <w:rPr>
          <w:szCs w:val="21"/>
        </w:rPr>
      </w:pPr>
      <w:r>
        <w:rPr>
          <w:szCs w:val="21"/>
        </w:rPr>
        <w:t>III.</w:t>
      </w:r>
      <w:r>
        <w:t xml:space="preserve"> </w:t>
      </w:r>
      <w:r>
        <w:drawing>
          <wp:inline distT="0" distB="0" distL="0" distR="0">
            <wp:extent cx="2149475" cy="2567940"/>
            <wp:effectExtent l="0" t="0" r="317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2"/>
                    <a:stretch>
                      <a:fillRect/>
                    </a:stretch>
                  </pic:blipFill>
                  <pic:spPr>
                    <a:xfrm>
                      <a:off x="0" y="0"/>
                      <a:ext cx="2157384" cy="2576876"/>
                    </a:xfrm>
                    <a:prstGeom prst="rect">
                      <a:avLst/>
                    </a:prstGeom>
                  </pic:spPr>
                </pic:pic>
              </a:graphicData>
            </a:graphic>
          </wp:inline>
        </w:drawing>
      </w:r>
    </w:p>
    <w:p>
      <w:pPr>
        <w:rPr>
          <w:szCs w:val="21"/>
        </w:rPr>
      </w:pPr>
      <w:r>
        <w:rPr>
          <w:rFonts w:hint="eastAsia"/>
          <w:szCs w:val="21"/>
        </w:rPr>
        <w:t>⑧</w:t>
      </w:r>
      <w:r>
        <w:rPr>
          <w:szCs w:val="21"/>
        </w:rPr>
        <w:t>BP</w:t>
      </w:r>
      <w:r>
        <w:rPr>
          <w:rFonts w:hint="eastAsia"/>
          <w:szCs w:val="21"/>
        </w:rPr>
        <w:t>曲线的移动：所有影响净出口、净资本流出变动的因素都会使</w:t>
      </w:r>
      <w:r>
        <w:rPr>
          <w:szCs w:val="21"/>
        </w:rPr>
        <w:t>BP曲线移动。包括国际收支状况、rw变化、n变化和价格水平变动等。</w:t>
      </w:r>
    </w:p>
    <w:p>
      <w:pPr>
        <w:rPr>
          <w:color w:val="0070C0"/>
          <w:szCs w:val="21"/>
        </w:rPr>
      </w:pPr>
      <w:r>
        <w:rPr>
          <w:rFonts w:hint="eastAsia"/>
          <w:color w:val="0070C0"/>
          <w:szCs w:val="21"/>
        </w:rPr>
        <w:t>例如：</w:t>
      </w:r>
      <w:r>
        <w:rPr>
          <w:color w:val="0070C0"/>
          <w:szCs w:val="21"/>
        </w:rPr>
        <w:t xml:space="preserve">P↑- </w:t>
      </w:r>
      <w:bookmarkStart w:id="0" w:name="_Hlk10484625"/>
      <w:r>
        <w:rPr>
          <w:color w:val="0070C0"/>
          <w:szCs w:val="21"/>
        </w:rPr>
        <w:t>ε</w:t>
      </w:r>
      <w:bookmarkEnd w:id="0"/>
      <w:r>
        <w:rPr>
          <w:color w:val="0070C0"/>
          <w:szCs w:val="21"/>
        </w:rPr>
        <w:t>↑- BP曲线左移</w:t>
      </w:r>
    </w:p>
    <w:p>
      <w:pPr>
        <w:rPr>
          <w:color w:val="00B050"/>
          <w:szCs w:val="21"/>
        </w:rPr>
      </w:pPr>
      <w:r>
        <w:rPr>
          <w:color w:val="00B050"/>
          <w:szCs w:val="21"/>
        </w:rPr>
        <w:t>#有了描述国际收支平衡的BP曲线，结合国内市场均衡分析的IS-LM模型，就可以分析包括国内均衡和国外均衡的开放经济中国内外均衡问题。</w:t>
      </w:r>
    </w:p>
    <w:p>
      <w:pPr>
        <w:rPr>
          <w:szCs w:val="21"/>
        </w:rPr>
      </w:pPr>
    </w:p>
    <w:p>
      <w:pPr>
        <w:rPr>
          <w:b/>
          <w:bCs/>
          <w:sz w:val="28"/>
          <w:szCs w:val="28"/>
        </w:rPr>
      </w:pPr>
      <w:r>
        <w:rPr>
          <w:rFonts w:hint="eastAsia"/>
          <w:b/>
          <w:bCs/>
          <w:sz w:val="28"/>
          <w:szCs w:val="28"/>
        </w:rPr>
        <w:t>第二节</w:t>
      </w:r>
      <w:r>
        <w:rPr>
          <w:b/>
          <w:bCs/>
          <w:sz w:val="28"/>
          <w:szCs w:val="28"/>
        </w:rPr>
        <w:t xml:space="preserve"> </w:t>
      </w:r>
      <w:r>
        <w:rPr>
          <w:rFonts w:hint="eastAsia"/>
          <w:b/>
          <w:bCs/>
          <w:sz w:val="28"/>
          <w:szCs w:val="28"/>
        </w:rPr>
        <w:t>蒙代尔－弗莱明模型</w:t>
      </w:r>
    </w:p>
    <w:p>
      <w:pPr>
        <w:rPr>
          <w:b/>
          <w:bCs/>
          <w:szCs w:val="21"/>
        </w:rPr>
      </w:pPr>
      <w:r>
        <w:rPr>
          <w:rFonts w:hint="eastAsia"/>
          <w:b/>
          <w:bCs/>
          <w:szCs w:val="21"/>
        </w:rPr>
        <w:t>一、价格不变的蒙代尔</w:t>
      </w:r>
      <w:r>
        <w:rPr>
          <w:b/>
          <w:bCs/>
          <w:szCs w:val="21"/>
        </w:rPr>
        <w:t>-弗莱明模型</w:t>
      </w:r>
    </w:p>
    <w:p>
      <w:pPr>
        <w:rPr>
          <w:szCs w:val="21"/>
        </w:rPr>
      </w:pPr>
      <w:r>
        <w:rPr>
          <w:szCs w:val="21"/>
        </w:rPr>
        <w:t>1.假设：</w:t>
      </w:r>
    </w:p>
    <w:p>
      <w:pPr>
        <w:rPr>
          <w:szCs w:val="21"/>
        </w:rPr>
      </w:pPr>
      <w:r>
        <w:rPr>
          <w:rFonts w:hint="eastAsia"/>
          <w:szCs w:val="21"/>
        </w:rPr>
        <w:t>①价格在短期内是不变的，经济中的产出完全由有效需求决定；</w:t>
      </w:r>
    </w:p>
    <w:p>
      <w:pPr>
        <w:rPr>
          <w:color w:val="00B050"/>
          <w:szCs w:val="21"/>
        </w:rPr>
      </w:pPr>
      <w:r>
        <w:rPr>
          <w:color w:val="00B050"/>
          <w:szCs w:val="21"/>
        </w:rPr>
        <w:t>#即供给过剩</w:t>
      </w:r>
    </w:p>
    <w:p>
      <w:pPr>
        <w:rPr>
          <w:szCs w:val="21"/>
        </w:rPr>
      </w:pPr>
      <w:r>
        <w:rPr>
          <w:rFonts w:hint="eastAsia"/>
          <w:szCs w:val="21"/>
        </w:rPr>
        <w:t>②</w:t>
      </w:r>
      <w:r>
        <w:rPr>
          <w:szCs w:val="21"/>
        </w:rPr>
        <w:t>实际货币需求与收入正相关，与实际利率负相关；(L=KY-hr)</w:t>
      </w:r>
    </w:p>
    <w:p>
      <w:pPr>
        <w:rPr>
          <w:szCs w:val="21"/>
        </w:rPr>
      </w:pPr>
      <w:r>
        <w:rPr>
          <w:rFonts w:hint="eastAsia"/>
          <w:szCs w:val="21"/>
        </w:rPr>
        <w:t>③</w:t>
      </w:r>
      <w:r>
        <w:rPr>
          <w:szCs w:val="21"/>
        </w:rPr>
        <w:t>商品和资本可以在国际上完全自由流动，因此，国内市场的利率和世界市场的利率是一致的。(r=r</w:t>
      </w:r>
      <w:r>
        <w:rPr>
          <w:szCs w:val="21"/>
          <w:vertAlign w:val="subscript"/>
        </w:rPr>
        <w:t>w</w:t>
      </w:r>
      <w:r>
        <w:rPr>
          <w:szCs w:val="21"/>
        </w:rPr>
        <w:t xml:space="preserve">，利率是外生给定的，适用小国经济) </w:t>
      </w:r>
    </w:p>
    <w:p>
      <w:pPr>
        <w:rPr>
          <w:szCs w:val="21"/>
        </w:rPr>
      </w:pPr>
      <w:r>
        <w:rPr>
          <w:szCs w:val="21"/>
        </w:rPr>
        <w:t>2.</w:t>
      </w:r>
      <w:r>
        <w:t xml:space="preserve"> </w:t>
      </w:r>
      <w:r>
        <w:rPr>
          <w:rFonts w:hint="eastAsia"/>
          <w:szCs w:val="21"/>
        </w:rPr>
        <w:t>开放经济下的</w:t>
      </w:r>
      <w:r>
        <w:rPr>
          <w:szCs w:val="21"/>
        </w:rPr>
        <w:t>IS曲线</w:t>
      </w:r>
      <w:r>
        <w:rPr>
          <w:rFonts w:hint="eastAsia"/>
          <w:szCs w:val="21"/>
        </w:rPr>
        <w:t>：</w:t>
      </w:r>
    </w:p>
    <w:p>
      <w:pPr>
        <w:rPr>
          <w:szCs w:val="21"/>
        </w:rPr>
      </w:pPr>
      <w:r>
        <w:rPr>
          <w:rFonts w:hint="eastAsia"/>
          <w:szCs w:val="21"/>
        </w:rPr>
        <w:t>①公式：</w:t>
      </w:r>
      <w:r>
        <w:rPr>
          <w:szCs w:val="21"/>
          <w:highlight w:val="yellow"/>
        </w:rPr>
        <w:t>r=(α+e</w:t>
      </w:r>
      <w:r>
        <w:rPr>
          <w:szCs w:val="21"/>
          <w:highlight w:val="yellow"/>
          <w:vertAlign w:val="subscript"/>
        </w:rPr>
        <w:t>0</w:t>
      </w:r>
      <w:r>
        <w:rPr>
          <w:szCs w:val="21"/>
          <w:highlight w:val="yellow"/>
        </w:rPr>
        <w:t>)/d-(1-β+γ)Y/d+(G-βT+ q-neP/P</w:t>
      </w:r>
      <w:r>
        <w:rPr>
          <w:szCs w:val="21"/>
          <w:highlight w:val="yellow"/>
          <w:vertAlign w:val="subscript"/>
        </w:rPr>
        <w:t>f</w:t>
      </w:r>
      <w:r>
        <w:rPr>
          <w:szCs w:val="21"/>
          <w:highlight w:val="yellow"/>
        </w:rPr>
        <w:t>)/d</w:t>
      </w:r>
    </w:p>
    <w:p>
      <w:pPr>
        <w:rPr>
          <w:szCs w:val="21"/>
        </w:rPr>
      </w:pPr>
      <w:r>
        <w:rPr>
          <w:rFonts w:hint="eastAsia"/>
          <w:szCs w:val="21"/>
        </w:rPr>
        <w:t>②推导：由国内市场的利率和世界市场的利率一致这一假设，得：</w:t>
      </w:r>
    </w:p>
    <w:p>
      <w:pPr>
        <w:rPr>
          <w:szCs w:val="21"/>
        </w:rPr>
      </w:pPr>
      <w:r>
        <w:rPr>
          <w:szCs w:val="21"/>
        </w:rPr>
        <w:t>r=r*</w:t>
      </w:r>
    </w:p>
    <w:p>
      <w:pPr>
        <w:rPr>
          <w:szCs w:val="21"/>
        </w:rPr>
      </w:pPr>
      <w:r>
        <w:rPr>
          <w:rFonts w:hint="eastAsia"/>
          <w:szCs w:val="21"/>
        </w:rPr>
        <w:t>在</w:t>
      </w:r>
      <w:r>
        <w:rPr>
          <w:rFonts w:hint="eastAsia"/>
          <w:color w:val="FF0000"/>
          <w:szCs w:val="21"/>
        </w:rPr>
        <w:t>短期</w:t>
      </w:r>
      <w:r>
        <w:rPr>
          <w:rFonts w:hint="eastAsia"/>
          <w:szCs w:val="21"/>
        </w:rPr>
        <w:t>中，假设净出口是名义汇率的函数，则开放经济条件下（即四部门经济）的国民收入为：</w:t>
      </w:r>
    </w:p>
    <w:p>
      <w:pPr>
        <w:rPr>
          <w:szCs w:val="21"/>
        </w:rPr>
      </w:pPr>
      <w:r>
        <w:rPr>
          <w:szCs w:val="21"/>
        </w:rPr>
        <w:t>Y=C(Y-T)+I(r*)+G+NX(e)</w:t>
      </w:r>
    </w:p>
    <w:p>
      <w:pPr>
        <w:rPr>
          <w:szCs w:val="21"/>
        </w:rPr>
      </w:pPr>
      <w:r>
        <w:rPr>
          <w:rFonts w:hint="eastAsia"/>
          <w:szCs w:val="21"/>
        </w:rPr>
        <w:t>即</w:t>
      </w:r>
      <w:r>
        <w:rPr>
          <w:szCs w:val="21"/>
        </w:rPr>
        <w:t>Y=α+β(Y-T)+e</w:t>
      </w:r>
      <w:r>
        <w:rPr>
          <w:szCs w:val="21"/>
          <w:vertAlign w:val="subscript"/>
        </w:rPr>
        <w:t>0</w:t>
      </w:r>
      <w:r>
        <w:rPr>
          <w:szCs w:val="21"/>
        </w:rPr>
        <w:t>-dr+G+q-γY-neP/Pf</w:t>
      </w:r>
    </w:p>
    <w:p>
      <w:pPr>
        <w:rPr>
          <w:szCs w:val="21"/>
        </w:rPr>
      </w:pPr>
      <w:r>
        <w:rPr>
          <w:rFonts w:hint="eastAsia"/>
          <w:szCs w:val="21"/>
        </w:rPr>
        <w:t>即</w:t>
      </w:r>
      <w:r>
        <w:rPr>
          <w:color w:val="FF0000"/>
          <w:szCs w:val="21"/>
        </w:rPr>
        <w:t>r</w:t>
      </w:r>
      <w:r>
        <w:rPr>
          <w:szCs w:val="21"/>
        </w:rPr>
        <w:t>=(α+e</w:t>
      </w:r>
      <w:r>
        <w:rPr>
          <w:szCs w:val="21"/>
          <w:vertAlign w:val="subscript"/>
        </w:rPr>
        <w:t>0</w:t>
      </w:r>
      <w:r>
        <w:rPr>
          <w:szCs w:val="21"/>
        </w:rPr>
        <w:t>)/d-(1-β+γ)</w:t>
      </w:r>
      <w:r>
        <w:rPr>
          <w:color w:val="FF0000"/>
          <w:szCs w:val="21"/>
        </w:rPr>
        <w:t>Y</w:t>
      </w:r>
      <w:r>
        <w:rPr>
          <w:szCs w:val="21"/>
        </w:rPr>
        <w:t>/d+(G-βT+ q-neP/P</w:t>
      </w:r>
      <w:r>
        <w:rPr>
          <w:szCs w:val="21"/>
          <w:vertAlign w:val="subscript"/>
        </w:rPr>
        <w:t>f</w:t>
      </w:r>
      <w:r>
        <w:rPr>
          <w:szCs w:val="21"/>
        </w:rPr>
        <w:t>)/d</w:t>
      </w:r>
    </w:p>
    <w:p>
      <w:pPr>
        <w:rPr>
          <w:szCs w:val="21"/>
        </w:rPr>
      </w:pPr>
      <w:r>
        <w:rPr>
          <w:rFonts w:hint="eastAsia"/>
          <w:szCs w:val="21"/>
        </w:rPr>
        <w:t>③经济含义：</w:t>
      </w:r>
    </w:p>
    <w:p>
      <w:pPr>
        <w:rPr>
          <w:szCs w:val="21"/>
        </w:rPr>
      </w:pPr>
      <w:r>
        <w:rPr>
          <w:szCs w:val="21"/>
        </w:rPr>
        <w:t>I.</w:t>
      </w:r>
      <w:r>
        <w:rPr>
          <w:rFonts w:hint="eastAsia"/>
          <w:szCs w:val="21"/>
        </w:rPr>
        <w:t>利率</w:t>
      </w:r>
      <w:r>
        <w:rPr>
          <w:szCs w:val="21"/>
        </w:rPr>
        <w:t>r与总产出Y是反方向变化的关系。</w:t>
      </w:r>
      <w:r>
        <w:rPr>
          <w:rFonts w:hint="eastAsia"/>
          <w:szCs w:val="21"/>
        </w:rPr>
        <w:t>只是</w:t>
      </w:r>
      <w:r>
        <w:rPr>
          <w:szCs w:val="21"/>
        </w:rPr>
        <w:t>IS曲线的斜率更大，因为有边际进口倾向γ。</w:t>
      </w:r>
    </w:p>
    <w:p>
      <w:pPr>
        <w:rPr>
          <w:szCs w:val="21"/>
        </w:rPr>
      </w:pPr>
      <w:r>
        <w:rPr>
          <w:szCs w:val="21"/>
        </w:rPr>
        <w:t>II.</w:t>
      </w:r>
      <w:r>
        <w:t xml:space="preserve"> </w:t>
      </w:r>
      <w:r>
        <w:rPr>
          <w:rFonts w:hint="eastAsia"/>
          <w:szCs w:val="21"/>
        </w:rPr>
        <w:t>同理，名义汇率</w:t>
      </w:r>
      <w:r>
        <w:rPr>
          <w:szCs w:val="21"/>
        </w:rPr>
        <w:t>e与总产出Y是反方向变化的关系</w:t>
      </w:r>
      <w:r>
        <w:rPr>
          <w:rFonts w:hint="eastAsia"/>
          <w:szCs w:val="21"/>
        </w:rPr>
        <w:t>。即：</w:t>
      </w:r>
    </w:p>
    <w:p>
      <w:pPr>
        <w:rPr>
          <w:szCs w:val="21"/>
        </w:rPr>
      </w:pPr>
      <w:bookmarkStart w:id="1" w:name="_Hlk10484609"/>
      <w:r>
        <w:rPr>
          <w:color w:val="FF0000"/>
          <w:szCs w:val="21"/>
        </w:rPr>
        <w:t>e</w:t>
      </w:r>
      <w:bookmarkEnd w:id="1"/>
      <w:r>
        <w:rPr>
          <w:szCs w:val="21"/>
        </w:rPr>
        <w:t>=(α+ e</w:t>
      </w:r>
      <w:r>
        <w:rPr>
          <w:szCs w:val="21"/>
          <w:vertAlign w:val="subscript"/>
        </w:rPr>
        <w:t>0</w:t>
      </w:r>
      <w:r>
        <w:rPr>
          <w:szCs w:val="21"/>
        </w:rPr>
        <w:t>) P</w:t>
      </w:r>
      <w:r>
        <w:rPr>
          <w:szCs w:val="21"/>
          <w:vertAlign w:val="subscript"/>
        </w:rPr>
        <w:t>f</w:t>
      </w:r>
      <w:r>
        <w:rPr>
          <w:szCs w:val="21"/>
        </w:rPr>
        <w:t xml:space="preserve"> / nP -(1-β+γ)</w:t>
      </w:r>
      <w:r>
        <w:rPr>
          <w:color w:val="FF0000"/>
          <w:szCs w:val="21"/>
        </w:rPr>
        <w:t>Y</w:t>
      </w:r>
      <w:r>
        <w:rPr>
          <w:szCs w:val="21"/>
        </w:rPr>
        <w:t>P</w:t>
      </w:r>
      <w:r>
        <w:rPr>
          <w:szCs w:val="21"/>
          <w:vertAlign w:val="subscript"/>
        </w:rPr>
        <w:t>f</w:t>
      </w:r>
      <w:r>
        <w:rPr>
          <w:szCs w:val="21"/>
        </w:rPr>
        <w:t xml:space="preserve"> / nP +(G-βT+ q- dr*)P</w:t>
      </w:r>
      <w:r>
        <w:rPr>
          <w:szCs w:val="21"/>
          <w:vertAlign w:val="subscript"/>
        </w:rPr>
        <w:t>f</w:t>
      </w:r>
      <w:r>
        <w:rPr>
          <w:szCs w:val="21"/>
        </w:rPr>
        <w:t xml:space="preserve"> / nP</w:t>
      </w:r>
    </w:p>
    <w:p>
      <w:pPr>
        <w:rPr>
          <w:color w:val="00B050"/>
          <w:szCs w:val="21"/>
        </w:rPr>
      </w:pPr>
      <w:r>
        <w:rPr>
          <w:color w:val="00B050"/>
          <w:szCs w:val="21"/>
        </w:rPr>
        <w:t>#假设价格不变，导致名义汇率和实际汇率</w:t>
      </w:r>
      <w:r>
        <w:rPr>
          <w:rFonts w:hint="eastAsia"/>
          <w:color w:val="00B050"/>
          <w:szCs w:val="21"/>
        </w:rPr>
        <w:t>是比例变化的，可以看做一回事。</w:t>
      </w:r>
    </w:p>
    <w:p>
      <w:pPr>
        <w:rPr>
          <w:szCs w:val="21"/>
        </w:rPr>
      </w:pPr>
      <w:r>
        <w:rPr>
          <w:rFonts w:hint="eastAsia"/>
          <w:szCs w:val="21"/>
        </w:rPr>
        <w:t>④图示：</w:t>
      </w:r>
    </w:p>
    <w:p>
      <w:pPr>
        <w:rPr>
          <w:szCs w:val="21"/>
        </w:rPr>
      </w:pPr>
      <w:r>
        <w:rPr>
          <w:szCs w:val="21"/>
        </w:rPr>
        <w:t>I.</w:t>
      </w:r>
      <w:r>
        <w:rPr>
          <w:szCs w:val="21"/>
        </w:rPr>
        <w:drawing>
          <wp:inline distT="0" distB="0" distL="0" distR="0">
            <wp:extent cx="3070860" cy="2292985"/>
            <wp:effectExtent l="0" t="0" r="0" b="0"/>
            <wp:docPr id="31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6"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086001" cy="2304284"/>
                    </a:xfrm>
                    <a:prstGeom prst="rect">
                      <a:avLst/>
                    </a:prstGeom>
                    <a:noFill/>
                    <a:ln>
                      <a:noFill/>
                    </a:ln>
                  </pic:spPr>
                </pic:pic>
              </a:graphicData>
            </a:graphic>
          </wp:inline>
        </w:drawing>
      </w:r>
    </w:p>
    <w:p>
      <w:pPr>
        <w:rPr>
          <w:szCs w:val="21"/>
        </w:rPr>
      </w:pPr>
      <w:r>
        <w:rPr>
          <w:szCs w:val="21"/>
        </w:rPr>
        <w:t>II.</w:t>
      </w:r>
      <w:r>
        <w:rPr>
          <w:szCs w:val="21"/>
        </w:rPr>
        <w:drawing>
          <wp:inline distT="0" distB="0" distL="0" distR="0">
            <wp:extent cx="2538730" cy="2063750"/>
            <wp:effectExtent l="0" t="0" r="0" b="0"/>
            <wp:docPr id="32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550196" cy="2073071"/>
                    </a:xfrm>
                    <a:prstGeom prst="rect">
                      <a:avLst/>
                    </a:prstGeom>
                    <a:noFill/>
                    <a:ln>
                      <a:noFill/>
                    </a:ln>
                  </pic:spPr>
                </pic:pic>
              </a:graphicData>
            </a:graphic>
          </wp:inline>
        </w:drawing>
      </w:r>
    </w:p>
    <w:p>
      <w:pPr>
        <w:rPr>
          <w:szCs w:val="21"/>
        </w:rPr>
      </w:pPr>
      <w:r>
        <w:rPr>
          <w:szCs w:val="21"/>
        </w:rPr>
        <w:t>3.</w:t>
      </w:r>
      <w:r>
        <w:t xml:space="preserve"> </w:t>
      </w:r>
      <w:r>
        <w:rPr>
          <w:rFonts w:hint="eastAsia"/>
          <w:szCs w:val="21"/>
        </w:rPr>
        <w:t>开放经济下的</w:t>
      </w:r>
      <w:r>
        <w:rPr>
          <w:szCs w:val="21"/>
        </w:rPr>
        <w:t>LM曲线</w:t>
      </w:r>
      <w:r>
        <w:rPr>
          <w:rFonts w:hint="eastAsia"/>
          <w:szCs w:val="21"/>
        </w:rPr>
        <w:t>：</w:t>
      </w:r>
    </w:p>
    <w:p>
      <w:pPr>
        <w:rPr>
          <w:szCs w:val="21"/>
        </w:rPr>
      </w:pPr>
      <w:r>
        <w:rPr>
          <w:rFonts w:hint="eastAsia"/>
          <w:szCs w:val="21"/>
        </w:rPr>
        <w:t>①公式：</w:t>
      </w:r>
      <w:r>
        <w:rPr>
          <w:szCs w:val="21"/>
          <w:highlight w:val="yellow"/>
        </w:rPr>
        <w:t>M=L=KY-hr*</w:t>
      </w:r>
    </w:p>
    <w:p>
      <w:pPr>
        <w:rPr>
          <w:szCs w:val="21"/>
        </w:rPr>
      </w:pPr>
      <w:r>
        <w:rPr>
          <w:rFonts w:hint="eastAsia"/>
          <w:szCs w:val="21"/>
        </w:rPr>
        <w:t>②推导：</w:t>
      </w:r>
    </w:p>
    <w:p>
      <w:pPr>
        <w:rPr>
          <w:szCs w:val="21"/>
        </w:rPr>
      </w:pPr>
      <w:r>
        <w:rPr>
          <w:rFonts w:hint="eastAsia"/>
          <w:szCs w:val="21"/>
        </w:rPr>
        <w:t>货币市场均衡：</w:t>
      </w:r>
      <w:r>
        <w:rPr>
          <w:szCs w:val="21"/>
        </w:rPr>
        <w:t xml:space="preserve"> </w:t>
      </w:r>
    </w:p>
    <w:p>
      <w:pPr>
        <w:rPr>
          <w:szCs w:val="21"/>
        </w:rPr>
      </w:pPr>
      <w:r>
        <w:rPr>
          <w:szCs w:val="21"/>
          <w:shd w:val="pct10" w:color="auto" w:fill="FFFFFF"/>
        </w:rPr>
        <w:object>
          <v:shape id="_x0000_i1029" o:spt="75" type="#_x0000_t75" style="height:25.8pt;width:93.6pt;" o:ole="t" filled="f" o:preferrelative="t" stroked="f" coordsize="21600,21600">
            <v:path/>
            <v:fill on="f" focussize="0,0"/>
            <v:stroke on="f" joinstyle="miter"/>
            <v:imagedata r:id="rId26" o:title=""/>
            <o:lock v:ext="edit" aspectratio="t"/>
            <w10:wrap type="none"/>
            <w10:anchorlock/>
          </v:shape>
          <o:OLEObject Type="Embed" ProgID="Unknown" ShapeID="_x0000_i1029" DrawAspect="Content" ObjectID="_1468075729" r:id="rId25">
            <o:LockedField>false</o:LockedField>
          </o:OLEObject>
        </w:object>
      </w:r>
    </w:p>
    <w:p>
      <w:pPr>
        <w:rPr>
          <w:szCs w:val="21"/>
        </w:rPr>
      </w:pPr>
      <w:r>
        <w:rPr>
          <w:rFonts w:hint="eastAsia"/>
          <w:szCs w:val="21"/>
        </w:rPr>
        <w:t>即</w:t>
      </w:r>
    </w:p>
    <w:p>
      <w:pPr>
        <w:rPr>
          <w:szCs w:val="21"/>
        </w:rPr>
      </w:pPr>
      <w:r>
        <w:rPr>
          <w:szCs w:val="21"/>
        </w:rPr>
        <w:t>M=L=KY-hr*</w:t>
      </w:r>
    </w:p>
    <w:p>
      <w:pPr>
        <w:rPr>
          <w:szCs w:val="21"/>
        </w:rPr>
      </w:pPr>
      <w:r>
        <w:rPr>
          <w:rFonts w:hint="eastAsia"/>
          <w:szCs w:val="21"/>
        </w:rPr>
        <w:t>③图示：</w:t>
      </w:r>
    </w:p>
    <w:p>
      <w:pPr>
        <w:rPr>
          <w:szCs w:val="21"/>
        </w:rPr>
      </w:pPr>
      <w:r>
        <w:rPr>
          <w:szCs w:val="21"/>
        </w:rPr>
        <w:t>I.</w:t>
      </w:r>
      <w:r>
        <w:t xml:space="preserve"> </w:t>
      </w:r>
      <w:r>
        <w:rPr>
          <w:szCs w:val="21"/>
        </w:rPr>
        <w:drawing>
          <wp:inline distT="0" distB="0" distL="0" distR="0">
            <wp:extent cx="2405380" cy="1943100"/>
            <wp:effectExtent l="0" t="0" r="0" b="0"/>
            <wp:docPr id="337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415261" cy="1951000"/>
                    </a:xfrm>
                    <a:prstGeom prst="rect">
                      <a:avLst/>
                    </a:prstGeom>
                    <a:noFill/>
                    <a:ln>
                      <a:noFill/>
                    </a:ln>
                  </pic:spPr>
                </pic:pic>
              </a:graphicData>
            </a:graphic>
          </wp:inline>
        </w:drawing>
      </w:r>
    </w:p>
    <w:p>
      <w:pPr>
        <w:rPr>
          <w:szCs w:val="21"/>
        </w:rPr>
      </w:pPr>
      <w:r>
        <w:rPr>
          <w:szCs w:val="21"/>
        </w:rPr>
        <w:t>II.</w:t>
      </w:r>
      <w:r>
        <w:t xml:space="preserve"> </w:t>
      </w:r>
      <w:r>
        <w:rPr>
          <w:szCs w:val="21"/>
        </w:rPr>
        <w:drawing>
          <wp:inline distT="0" distB="0" distL="0" distR="0">
            <wp:extent cx="2272665" cy="2011680"/>
            <wp:effectExtent l="0" t="0" r="0" b="7620"/>
            <wp:docPr id="337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7"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290608" cy="2027497"/>
                    </a:xfrm>
                    <a:prstGeom prst="rect">
                      <a:avLst/>
                    </a:prstGeom>
                    <a:noFill/>
                    <a:ln>
                      <a:noFill/>
                    </a:ln>
                  </pic:spPr>
                </pic:pic>
              </a:graphicData>
            </a:graphic>
          </wp:inline>
        </w:drawing>
      </w:r>
    </w:p>
    <w:p>
      <w:pPr>
        <w:rPr>
          <w:szCs w:val="21"/>
        </w:rPr>
      </w:pPr>
      <w:r>
        <w:rPr>
          <w:szCs w:val="21"/>
        </w:rPr>
        <w:t>4.</w:t>
      </w:r>
      <w:r>
        <w:t xml:space="preserve"> 蒙</w:t>
      </w:r>
      <w:r>
        <w:rPr>
          <w:rFonts w:hint="eastAsia"/>
          <w:szCs w:val="21"/>
        </w:rPr>
        <w:t>代尔</w:t>
      </w:r>
      <w:r>
        <w:rPr>
          <w:szCs w:val="21"/>
        </w:rPr>
        <w:t>-弗莱明模型</w:t>
      </w:r>
      <w:r>
        <w:rPr>
          <w:rFonts w:hint="eastAsia"/>
          <w:szCs w:val="21"/>
        </w:rPr>
        <w:t>：</w:t>
      </w:r>
    </w:p>
    <w:p>
      <w:pPr>
        <w:rPr>
          <w:szCs w:val="21"/>
        </w:rPr>
      </w:pPr>
      <w:r>
        <w:rPr>
          <w:rFonts w:hint="eastAsia"/>
          <w:szCs w:val="21"/>
        </w:rPr>
        <w:t>①推导：将上述开放经济下的</w:t>
      </w:r>
      <w:r>
        <w:rPr>
          <w:szCs w:val="21"/>
        </w:rPr>
        <w:t>IS和LM方程联立起来，可以解得两个市场均衡时的名义汇率和收入水平：</w:t>
      </w:r>
    </w:p>
    <w:p>
      <w:pPr>
        <w:rPr>
          <w:szCs w:val="21"/>
          <w:highlight w:val="yellow"/>
        </w:rPr>
      </w:pPr>
      <w:r>
        <w:rPr>
          <w:szCs w:val="21"/>
          <w:highlight w:val="yellow"/>
        </w:rPr>
        <w:t>IS*</w:t>
      </w:r>
      <w:r>
        <w:rPr>
          <w:rFonts w:hint="eastAsia"/>
          <w:szCs w:val="21"/>
          <w:highlight w:val="yellow"/>
        </w:rPr>
        <w:t>：</w:t>
      </w:r>
      <w:r>
        <w:rPr>
          <w:szCs w:val="21"/>
          <w:highlight w:val="yellow"/>
          <w:shd w:val="pct10" w:color="auto" w:fill="FFFFFF"/>
        </w:rPr>
        <w:object>
          <v:shape id="_x0000_i1030" o:spt="75" type="#_x0000_t75" style="height:29.4pt;width:270.6pt;" o:ole="t" filled="f" o:preferrelative="t" stroked="f" coordsize="21600,21600">
            <v:path/>
            <v:fill on="f" focussize="0,0"/>
            <v:stroke on="f" joinstyle="miter"/>
            <v:imagedata r:id="rId30" o:title=""/>
            <o:lock v:ext="edit" aspectratio="t"/>
            <w10:wrap type="none"/>
            <w10:anchorlock/>
          </v:shape>
          <o:OLEObject Type="Embed" ProgID="Unknown" ShapeID="_x0000_i1030" DrawAspect="Content" ObjectID="_1468075730" r:id="rId29">
            <o:LockedField>false</o:LockedField>
          </o:OLEObject>
        </w:object>
      </w:r>
    </w:p>
    <w:p>
      <w:pPr>
        <w:rPr>
          <w:szCs w:val="21"/>
        </w:rPr>
      </w:pPr>
      <w:r>
        <w:rPr>
          <w:szCs w:val="21"/>
          <w:highlight w:val="yellow"/>
        </w:rPr>
        <w:t>LM*</w:t>
      </w:r>
      <w:r>
        <w:rPr>
          <w:rFonts w:hint="eastAsia"/>
          <w:szCs w:val="21"/>
          <w:highlight w:val="yellow"/>
        </w:rPr>
        <w:t>：</w:t>
      </w:r>
      <w:r>
        <w:rPr>
          <w:szCs w:val="21"/>
          <w:highlight w:val="yellow"/>
          <w:shd w:val="pct10" w:color="auto" w:fill="FFFFFF"/>
        </w:rPr>
        <w:object>
          <v:shape id="_x0000_i1031" o:spt="75" type="#_x0000_t75" style="height:27pt;width:97.8pt;" o:ole="t" filled="f" o:preferrelative="t" stroked="f" coordsize="21600,21600">
            <v:path/>
            <v:fill on="f" focussize="0,0"/>
            <v:stroke on="f" joinstyle="miter"/>
            <v:imagedata r:id="rId32" o:title=""/>
            <o:lock v:ext="edit" aspectratio="t"/>
            <w10:wrap type="none"/>
            <w10:anchorlock/>
          </v:shape>
          <o:OLEObject Type="Embed" ProgID="Unknown" ShapeID="_x0000_i1031" DrawAspect="Content" ObjectID="_1468075731" r:id="rId31">
            <o:LockedField>false</o:LockedField>
          </o:OLEObject>
        </w:object>
      </w:r>
    </w:p>
    <w:p>
      <w:pPr>
        <w:rPr>
          <w:szCs w:val="21"/>
        </w:rPr>
      </w:pPr>
      <w:r>
        <w:rPr>
          <w:rFonts w:hint="eastAsia"/>
          <w:szCs w:val="21"/>
        </w:rPr>
        <w:t>②图示：</w:t>
      </w:r>
      <w:r>
        <w:rPr>
          <w:szCs w:val="21"/>
        </w:rPr>
        <w:drawing>
          <wp:inline distT="0" distB="0" distL="0" distR="0">
            <wp:extent cx="3360420" cy="2453640"/>
            <wp:effectExtent l="0" t="0" r="0" b="3810"/>
            <wp:docPr id="358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2"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387609" cy="2473615"/>
                    </a:xfrm>
                    <a:prstGeom prst="rect">
                      <a:avLst/>
                    </a:prstGeom>
                    <a:noFill/>
                    <a:ln>
                      <a:noFill/>
                    </a:ln>
                  </pic:spPr>
                </pic:pic>
              </a:graphicData>
            </a:graphic>
          </wp:inline>
        </w:drawing>
      </w:r>
    </w:p>
    <w:p>
      <w:pPr>
        <w:rPr>
          <w:szCs w:val="21"/>
        </w:rPr>
      </w:pPr>
    </w:p>
    <w:p>
      <w:pPr>
        <w:rPr>
          <w:b/>
          <w:bCs/>
          <w:szCs w:val="21"/>
        </w:rPr>
      </w:pPr>
      <w:r>
        <w:rPr>
          <w:rFonts w:hint="eastAsia"/>
          <w:b/>
          <w:bCs/>
          <w:szCs w:val="21"/>
        </w:rPr>
        <w:t>二、价格变动的蒙代尔－弗莱明模型</w:t>
      </w:r>
    </w:p>
    <w:p>
      <w:pPr>
        <w:rPr>
          <w:szCs w:val="21"/>
        </w:rPr>
      </w:pPr>
      <w:r>
        <w:rPr>
          <w:szCs w:val="21"/>
        </w:rPr>
        <w:t>1.价格的变动：在</w:t>
      </w:r>
      <w:r>
        <w:rPr>
          <w:rFonts w:hint="eastAsia"/>
          <w:color w:val="FF0000"/>
          <w:szCs w:val="21"/>
        </w:rPr>
        <w:t>长期</w:t>
      </w:r>
      <w:r>
        <w:rPr>
          <w:rFonts w:hint="eastAsia"/>
          <w:szCs w:val="21"/>
        </w:rPr>
        <w:t>中，物价水平会产生变动。在价格变动下，实际汇率与名义汇率的固定比例就不成立了。这样，商品市场均衡的方程中的净出口就不再是名义汇率的函数。</w:t>
      </w:r>
    </w:p>
    <w:p>
      <w:pPr>
        <w:rPr>
          <w:color w:val="00B050"/>
          <w:szCs w:val="21"/>
        </w:rPr>
      </w:pPr>
      <w:r>
        <w:rPr>
          <w:color w:val="00B050"/>
          <w:szCs w:val="21"/>
        </w:rPr>
        <w:t>#在宏观经济学中遇到r（利率），P</w:t>
      </w:r>
      <w:r>
        <w:rPr>
          <w:rFonts w:hint="eastAsia"/>
          <w:color w:val="00B050"/>
          <w:szCs w:val="21"/>
        </w:rPr>
        <w:t>（价格指数），</w:t>
      </w:r>
      <w:r>
        <w:rPr>
          <w:color w:val="00B050"/>
          <w:szCs w:val="21"/>
        </w:rPr>
        <w:t>e</w:t>
      </w:r>
      <w:r>
        <w:rPr>
          <w:rFonts w:hint="eastAsia"/>
          <w:color w:val="00B050"/>
          <w:szCs w:val="21"/>
        </w:rPr>
        <w:t>和ε（名义汇率和实际汇率）时，横纵坐标倒置。</w:t>
      </w:r>
    </w:p>
    <w:p>
      <w:pPr>
        <w:rPr>
          <w:szCs w:val="21"/>
        </w:rPr>
      </w:pPr>
      <w:r>
        <w:rPr>
          <w:szCs w:val="21"/>
        </w:rPr>
        <w:t>2.价格变动的蒙代尔－弗莱明模型：</w:t>
      </w:r>
    </w:p>
    <w:p>
      <w:pPr>
        <w:rPr>
          <w:szCs w:val="21"/>
          <w:highlight w:val="yellow"/>
        </w:rPr>
      </w:pPr>
      <w:r>
        <w:rPr>
          <w:szCs w:val="21"/>
          <w:highlight w:val="yellow"/>
        </w:rPr>
        <w:t>IS*：</w:t>
      </w:r>
      <w:r>
        <w:rPr>
          <w:szCs w:val="21"/>
          <w:highlight w:val="yellow"/>
          <w:shd w:val="pct10" w:color="auto" w:fill="FFFFFF"/>
        </w:rPr>
        <w:object>
          <v:shape id="_x0000_i1032" o:spt="75" type="#_x0000_t75" style="height:31.2pt;width:285pt;" o:ole="t" filled="f" o:preferrelative="t" stroked="f" coordsize="21600,21600">
            <v:path/>
            <v:fill on="f" focussize="0,0"/>
            <v:stroke on="f" joinstyle="miter"/>
            <v:imagedata r:id="rId35" o:title=""/>
            <o:lock v:ext="edit" aspectratio="t"/>
            <w10:wrap type="none"/>
            <w10:anchorlock/>
          </v:shape>
          <o:OLEObject Type="Embed" ProgID="Unknown" ShapeID="_x0000_i1032" DrawAspect="Content" ObjectID="_1468075732" r:id="rId34">
            <o:LockedField>false</o:LockedField>
          </o:OLEObject>
        </w:object>
      </w:r>
    </w:p>
    <w:p>
      <w:pPr>
        <w:rPr>
          <w:szCs w:val="21"/>
        </w:rPr>
      </w:pPr>
      <w:r>
        <w:rPr>
          <w:szCs w:val="21"/>
          <w:highlight w:val="yellow"/>
        </w:rPr>
        <w:t>LM*：</w:t>
      </w:r>
      <w:r>
        <w:rPr>
          <w:szCs w:val="21"/>
          <w:highlight w:val="yellow"/>
          <w:shd w:val="pct10" w:color="auto" w:fill="FFFFFF"/>
        </w:rPr>
        <w:object>
          <v:shape id="_x0000_i1033" o:spt="75" type="#_x0000_t75" style="height:31.2pt;width:114.6pt;" o:ole="t" filled="f" o:preferrelative="t" stroked="f" coordsize="21600,21600">
            <v:path/>
            <v:fill on="f" focussize="0,0"/>
            <v:stroke on="f" joinstyle="miter"/>
            <v:imagedata r:id="rId37" o:title=""/>
            <o:lock v:ext="edit" aspectratio="t"/>
            <w10:wrap type="none"/>
            <w10:anchorlock/>
          </v:shape>
          <o:OLEObject Type="Embed" ProgID="Unknown" ShapeID="_x0000_i1033" DrawAspect="Content" ObjectID="_1468075733" r:id="rId36">
            <o:LockedField>false</o:LockedField>
          </o:OLEObject>
        </w:object>
      </w:r>
    </w:p>
    <w:p>
      <w:pPr>
        <w:rPr>
          <w:szCs w:val="21"/>
        </w:rPr>
      </w:pPr>
      <w:r>
        <w:rPr>
          <w:szCs w:val="21"/>
        </w:rPr>
        <w:t>3.图示：</w:t>
      </w:r>
    </w:p>
    <w:p>
      <w:pPr>
        <w:rPr>
          <w:szCs w:val="21"/>
        </w:rPr>
      </w:pPr>
      <w:r>
        <w:rPr>
          <w:szCs w:val="21"/>
        </w:rPr>
        <w:drawing>
          <wp:inline distT="0" distB="0" distL="0" distR="0">
            <wp:extent cx="4747260" cy="3668395"/>
            <wp:effectExtent l="0" t="0" r="0" b="8255"/>
            <wp:docPr id="378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783295" cy="3696601"/>
                    </a:xfrm>
                    <a:prstGeom prst="rect">
                      <a:avLst/>
                    </a:prstGeom>
                    <a:noFill/>
                    <a:ln>
                      <a:noFill/>
                    </a:ln>
                  </pic:spPr>
                </pic:pic>
              </a:graphicData>
            </a:graphic>
          </wp:inline>
        </w:drawing>
      </w:r>
    </w:p>
    <w:p>
      <w:pPr>
        <w:rPr>
          <w:color w:val="00B050"/>
          <w:szCs w:val="21"/>
        </w:rPr>
      </w:pPr>
      <w:r>
        <w:rPr>
          <w:color w:val="00B050"/>
          <w:szCs w:val="21"/>
        </w:rPr>
        <w:t>#物价下跌的过程相当于货币供给上升</w:t>
      </w:r>
    </w:p>
    <w:p>
      <w:pPr>
        <w:rPr>
          <w:szCs w:val="21"/>
        </w:rPr>
      </w:pPr>
      <w:r>
        <w:rPr>
          <w:szCs w:val="21"/>
        </w:rPr>
        <w:t>4.图形形状：从蒙代尔-弗莱明模型得出的开放经济下的总需求曲线与封闭经济下的总需求曲线是一样的，</w:t>
      </w:r>
      <w:r>
        <w:rPr>
          <w:color w:val="FF0000"/>
          <w:szCs w:val="21"/>
        </w:rPr>
        <w:t>都是一条向右下方倾斜的曲线</w:t>
      </w:r>
      <w:r>
        <w:rPr>
          <w:szCs w:val="21"/>
        </w:rPr>
        <w:t>。</w:t>
      </w:r>
    </w:p>
    <w:p>
      <w:pPr>
        <w:rPr>
          <w:szCs w:val="21"/>
        </w:rPr>
      </w:pPr>
      <w:r>
        <w:rPr>
          <w:szCs w:val="21"/>
        </w:rPr>
        <w:t>5.作用：利用蒙代尔-弗莱明模型，结合长期均衡分析方法，能够分析小国开放经济的短期与长期均衡关系以及政策效应。</w:t>
      </w:r>
    </w:p>
    <w:p>
      <w:pPr>
        <w:rPr>
          <w:szCs w:val="21"/>
        </w:rPr>
      </w:pPr>
    </w:p>
    <w:p>
      <w:pPr>
        <w:rPr>
          <w:b/>
          <w:bCs/>
          <w:sz w:val="28"/>
          <w:szCs w:val="28"/>
        </w:rPr>
      </w:pPr>
      <w:r>
        <w:rPr>
          <w:rFonts w:hint="eastAsia"/>
          <w:b/>
          <w:bCs/>
          <w:sz w:val="28"/>
          <w:szCs w:val="28"/>
        </w:rPr>
        <w:t>第三节 国际收支调整</w:t>
      </w:r>
    </w:p>
    <w:p>
      <w:pPr>
        <w:rPr>
          <w:b/>
          <w:bCs/>
          <w:szCs w:val="21"/>
        </w:rPr>
      </w:pPr>
      <w:r>
        <w:rPr>
          <w:rFonts w:hint="eastAsia"/>
          <w:b/>
          <w:bCs/>
          <w:szCs w:val="21"/>
        </w:rPr>
        <w:t>一、固定汇率制下的国际收支调整</w:t>
      </w:r>
    </w:p>
    <w:p>
      <w:pPr>
        <w:rPr>
          <w:szCs w:val="21"/>
        </w:rPr>
      </w:pPr>
      <w:r>
        <w:rPr>
          <w:szCs w:val="21"/>
        </w:rPr>
        <w:t>1</w:t>
      </w:r>
      <w:r>
        <w:rPr>
          <w:rFonts w:hint="eastAsia"/>
          <w:szCs w:val="21"/>
        </w:rPr>
        <w:t>.</w:t>
      </w:r>
      <w:r>
        <w:rPr>
          <w:rFonts w:hint="eastAsia"/>
        </w:rPr>
        <w:t xml:space="preserve"> </w:t>
      </w:r>
      <w:r>
        <w:rPr>
          <w:rFonts w:hint="eastAsia"/>
          <w:szCs w:val="21"/>
        </w:rPr>
        <w:t>固定汇率制下的财政政策：</w:t>
      </w:r>
    </w:p>
    <w:p>
      <w:pPr>
        <w:rPr>
          <w:szCs w:val="21"/>
        </w:rPr>
      </w:pPr>
      <w:r>
        <w:rPr>
          <w:rFonts w:hint="eastAsia"/>
          <w:szCs w:val="21"/>
        </w:rPr>
        <w:t>①内容：在资本完全流动下，</w:t>
      </w:r>
      <w:r>
        <w:rPr>
          <w:szCs w:val="21"/>
        </w:rPr>
        <w:t>BP曲线是一条水平线。如果政府采取扩张性财政政策，比如增加政府支出或者减少税收，那么将引起总需求的扩大，结果使IS曲线向右移动。</w:t>
      </w:r>
      <w:r>
        <w:rPr>
          <w:rFonts w:hint="eastAsia"/>
          <w:color w:val="FF0000"/>
          <w:szCs w:val="21"/>
        </w:rPr>
        <w:t>即财政政策有效。</w:t>
      </w:r>
    </w:p>
    <w:p>
      <w:pPr>
        <w:rPr>
          <w:szCs w:val="21"/>
        </w:rPr>
      </w:pPr>
      <w:r>
        <w:rPr>
          <w:rFonts w:hint="eastAsia"/>
          <w:szCs w:val="21"/>
        </w:rPr>
        <w:t>②变化：α↑（扩张财政政策）</w:t>
      </w:r>
      <w:r>
        <w:rPr>
          <w:szCs w:val="21"/>
        </w:rPr>
        <w:t>-</w:t>
      </w:r>
      <w:r>
        <w:rPr>
          <w:rFonts w:hint="eastAsia"/>
          <w:szCs w:val="21"/>
        </w:rPr>
        <w:t>【I</w:t>
      </w:r>
      <w:r>
        <w:rPr>
          <w:szCs w:val="21"/>
        </w:rPr>
        <w:t>S</w:t>
      </w:r>
      <w:r>
        <w:rPr>
          <w:rFonts w:hint="eastAsia"/>
          <w:szCs w:val="21"/>
        </w:rPr>
        <w:t>曲线右移】-</w:t>
      </w:r>
      <w:r>
        <w:rPr>
          <w:szCs w:val="21"/>
        </w:rPr>
        <w:t>e↑-M↑(</w:t>
      </w:r>
      <w:r>
        <w:rPr>
          <w:rFonts w:hint="eastAsia"/>
          <w:szCs w:val="21"/>
        </w:rPr>
        <w:t>政府</w:t>
      </w:r>
      <w:r>
        <w:rPr>
          <w:szCs w:val="21"/>
        </w:rPr>
        <w:t>购进外币)-</w:t>
      </w:r>
      <w:r>
        <w:rPr>
          <w:rFonts w:hint="eastAsia"/>
          <w:szCs w:val="21"/>
        </w:rPr>
        <w:t>【L</w:t>
      </w:r>
      <w:r>
        <w:rPr>
          <w:szCs w:val="21"/>
        </w:rPr>
        <w:t>M</w:t>
      </w:r>
      <w:r>
        <w:rPr>
          <w:rFonts w:hint="eastAsia"/>
          <w:szCs w:val="21"/>
        </w:rPr>
        <w:t>曲线右移】-归于</w:t>
      </w:r>
      <w:r>
        <w:rPr>
          <w:szCs w:val="21"/>
        </w:rPr>
        <w:t>e*</w:t>
      </w:r>
      <w:r>
        <w:rPr>
          <w:rFonts w:hint="eastAsia"/>
          <w:szCs w:val="21"/>
        </w:rPr>
        <w:t>均衡</w:t>
      </w:r>
    </w:p>
    <w:p>
      <w:pPr>
        <w:rPr>
          <w:szCs w:val="21"/>
        </w:rPr>
      </w:pPr>
      <w:r>
        <w:rPr>
          <w:rFonts w:hint="eastAsia"/>
          <w:szCs w:val="21"/>
        </w:rPr>
        <w:t>③图示：</w:t>
      </w:r>
      <w:r>
        <w:rPr>
          <w:szCs w:val="21"/>
        </w:rPr>
        <w:drawing>
          <wp:inline distT="0" distB="0" distL="0" distR="0">
            <wp:extent cx="3375660" cy="2461895"/>
            <wp:effectExtent l="0" t="0" r="0" b="0"/>
            <wp:docPr id="419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7"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3385051" cy="2468894"/>
                    </a:xfrm>
                    <a:prstGeom prst="rect">
                      <a:avLst/>
                    </a:prstGeom>
                    <a:noFill/>
                    <a:ln>
                      <a:noFill/>
                    </a:ln>
                  </pic:spPr>
                </pic:pic>
              </a:graphicData>
            </a:graphic>
          </wp:inline>
        </w:drawing>
      </w:r>
    </w:p>
    <w:p>
      <w:pPr>
        <w:rPr>
          <w:szCs w:val="21"/>
        </w:rPr>
      </w:pPr>
      <w:r>
        <w:rPr>
          <w:rFonts w:hint="eastAsia"/>
          <w:szCs w:val="21"/>
        </w:rPr>
        <w:t>2.固定汇率制下的货币政策：</w:t>
      </w:r>
    </w:p>
    <w:p>
      <w:pPr>
        <w:rPr>
          <w:szCs w:val="21"/>
        </w:rPr>
      </w:pPr>
      <w:r>
        <w:rPr>
          <w:rFonts w:hint="eastAsia"/>
          <w:szCs w:val="21"/>
        </w:rPr>
        <w:t>①说明：假设中央银行试图实施扩张性的货币政策，如通过购买公众的债券以增加货币供给，从而使得</w:t>
      </w:r>
      <w:r>
        <w:rPr>
          <w:szCs w:val="21"/>
        </w:rPr>
        <w:t>LM</w:t>
      </w:r>
      <w:r>
        <w:rPr>
          <w:szCs w:val="21"/>
          <w:vertAlign w:val="subscript"/>
        </w:rPr>
        <w:t>1</w:t>
      </w:r>
      <w:r>
        <w:rPr>
          <w:szCs w:val="21"/>
        </w:rPr>
        <w:t>曲线向右移动到LM</w:t>
      </w:r>
      <w:r>
        <w:rPr>
          <w:szCs w:val="21"/>
          <w:vertAlign w:val="subscript"/>
        </w:rPr>
        <w:t>2</w:t>
      </w:r>
      <w:r>
        <w:rPr>
          <w:szCs w:val="21"/>
        </w:rPr>
        <w:t>。</w:t>
      </w:r>
    </w:p>
    <w:p>
      <w:pPr>
        <w:rPr>
          <w:szCs w:val="21"/>
        </w:rPr>
      </w:pPr>
      <w:r>
        <w:rPr>
          <w:rFonts w:hint="eastAsia"/>
          <w:szCs w:val="21"/>
        </w:rPr>
        <w:t>②变化：</w:t>
      </w:r>
      <w:r>
        <w:rPr>
          <w:szCs w:val="21"/>
        </w:rPr>
        <w:t>M↑-</w:t>
      </w:r>
      <w:r>
        <w:rPr>
          <w:rFonts w:hint="eastAsia"/>
          <w:szCs w:val="21"/>
        </w:rPr>
        <w:t>【L</w:t>
      </w:r>
      <w:r>
        <w:rPr>
          <w:szCs w:val="21"/>
        </w:rPr>
        <w:t>M</w:t>
      </w:r>
      <w:r>
        <w:rPr>
          <w:rFonts w:hint="eastAsia"/>
          <w:szCs w:val="21"/>
        </w:rPr>
        <w:t>曲线右移】-</w:t>
      </w:r>
      <w:r>
        <w:rPr>
          <w:szCs w:val="21"/>
        </w:rPr>
        <w:t>r↓-e↓(只能抛售外币</w:t>
      </w:r>
      <w:r>
        <w:rPr>
          <w:rFonts w:hint="eastAsia"/>
          <w:szCs w:val="21"/>
        </w:rPr>
        <w:t>？</w:t>
      </w:r>
      <w:r>
        <w:rPr>
          <w:szCs w:val="21"/>
        </w:rPr>
        <w:t>，减少M)-</w:t>
      </w:r>
      <w:r>
        <w:rPr>
          <w:rFonts w:hint="eastAsia"/>
          <w:szCs w:val="21"/>
        </w:rPr>
        <w:t>【</w:t>
      </w:r>
      <w:r>
        <w:rPr>
          <w:szCs w:val="21"/>
        </w:rPr>
        <w:t>LM</w:t>
      </w:r>
      <w:r>
        <w:rPr>
          <w:rFonts w:hint="eastAsia"/>
          <w:szCs w:val="21"/>
        </w:rPr>
        <w:t>曲线左移】-</w:t>
      </w:r>
      <w:r>
        <w:rPr>
          <w:szCs w:val="21"/>
        </w:rPr>
        <w:t>e*</w:t>
      </w:r>
    </w:p>
    <w:p>
      <w:pPr>
        <w:rPr>
          <w:szCs w:val="21"/>
        </w:rPr>
      </w:pPr>
      <w:r>
        <w:rPr>
          <w:rFonts w:hint="eastAsia"/>
          <w:szCs w:val="21"/>
        </w:rPr>
        <w:t>③限制：</w:t>
      </w:r>
      <w:r>
        <w:rPr>
          <w:rFonts w:hint="eastAsia"/>
          <w:color w:val="FF0000"/>
          <w:szCs w:val="21"/>
        </w:rPr>
        <w:t>在固定汇率、资本完全流动下货币政策无效。</w:t>
      </w:r>
    </w:p>
    <w:p>
      <w:pPr>
        <w:rPr>
          <w:szCs w:val="21"/>
        </w:rPr>
      </w:pPr>
      <w:r>
        <w:rPr>
          <w:rFonts w:hint="eastAsia"/>
          <w:szCs w:val="21"/>
        </w:rPr>
        <w:t>④图示：</w:t>
      </w:r>
    </w:p>
    <w:p>
      <w:pPr>
        <w:rPr>
          <w:szCs w:val="21"/>
        </w:rPr>
      </w:pPr>
      <w:r>
        <w:rPr>
          <w:szCs w:val="21"/>
        </w:rPr>
        <w:drawing>
          <wp:inline distT="0" distB="0" distL="0" distR="0">
            <wp:extent cx="2980690" cy="2321560"/>
            <wp:effectExtent l="0" t="0" r="0" b="2540"/>
            <wp:docPr id="440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5"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2994592" cy="2332652"/>
                    </a:xfrm>
                    <a:prstGeom prst="rect">
                      <a:avLst/>
                    </a:prstGeom>
                    <a:noFill/>
                    <a:ln>
                      <a:noFill/>
                    </a:ln>
                  </pic:spPr>
                </pic:pic>
              </a:graphicData>
            </a:graphic>
          </wp:inline>
        </w:drawing>
      </w:r>
    </w:p>
    <w:p>
      <w:pPr>
        <w:rPr>
          <w:szCs w:val="21"/>
        </w:rPr>
      </w:pPr>
      <w:r>
        <w:rPr>
          <w:rFonts w:hint="eastAsia"/>
          <w:szCs w:val="21"/>
        </w:rPr>
        <w:t>3</w:t>
      </w:r>
      <w:r>
        <w:rPr>
          <w:szCs w:val="21"/>
        </w:rPr>
        <w:t>.</w:t>
      </w:r>
      <w:r>
        <w:rPr>
          <w:rFonts w:hint="eastAsia"/>
          <w:szCs w:val="21"/>
        </w:rPr>
        <w:t>固定汇率制下的贸易政策：</w:t>
      </w:r>
    </w:p>
    <w:p>
      <w:pPr>
        <w:rPr>
          <w:szCs w:val="21"/>
        </w:rPr>
      </w:pPr>
      <w:r>
        <w:rPr>
          <w:rFonts w:hint="eastAsia"/>
          <w:szCs w:val="21"/>
        </w:rPr>
        <w:t>①说明：假如政府通过关税或者非关税贸易壁垒的措施来减少进口，其影响的参数是净出口</w:t>
      </w:r>
      <w:r>
        <w:rPr>
          <w:szCs w:val="21"/>
        </w:rPr>
        <w:t>NX</w:t>
      </w:r>
      <w:r>
        <w:rPr>
          <w:rFonts w:hint="eastAsia"/>
          <w:szCs w:val="21"/>
        </w:rPr>
        <w:t>（e）</w:t>
      </w:r>
      <w:r>
        <w:rPr>
          <w:szCs w:val="21"/>
        </w:rPr>
        <w:t>，即减少进口而增加净出口，这样净出口曲线NX就会向右移动，从而IS曲线向右移动。</w:t>
      </w:r>
      <w:r>
        <w:rPr>
          <w:rFonts w:hint="eastAsia"/>
          <w:color w:val="FF0000"/>
          <w:szCs w:val="21"/>
        </w:rPr>
        <w:t>在固定汇率，限制进口贸易政策有效。</w:t>
      </w:r>
    </w:p>
    <w:p>
      <w:pPr>
        <w:rPr>
          <w:szCs w:val="21"/>
        </w:rPr>
      </w:pPr>
      <w:r>
        <w:rPr>
          <w:rFonts w:hint="eastAsia"/>
          <w:szCs w:val="21"/>
        </w:rPr>
        <w:t>②图示：</w:t>
      </w:r>
    </w:p>
    <w:p>
      <w:pPr>
        <w:rPr>
          <w:szCs w:val="21"/>
        </w:rPr>
      </w:pPr>
      <w:r>
        <w:rPr>
          <w:szCs w:val="21"/>
        </w:rPr>
        <w:drawing>
          <wp:inline distT="0" distB="0" distL="0" distR="0">
            <wp:extent cx="2938780" cy="2193925"/>
            <wp:effectExtent l="0" t="0" r="0" b="0"/>
            <wp:docPr id="460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2"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2950383" cy="2203019"/>
                    </a:xfrm>
                    <a:prstGeom prst="rect">
                      <a:avLst/>
                    </a:prstGeom>
                    <a:noFill/>
                    <a:ln>
                      <a:noFill/>
                    </a:ln>
                  </pic:spPr>
                </pic:pic>
              </a:graphicData>
            </a:graphic>
          </wp:inline>
        </w:drawing>
      </w:r>
    </w:p>
    <w:p>
      <w:pPr>
        <w:rPr>
          <w:szCs w:val="21"/>
        </w:rPr>
      </w:pPr>
    </w:p>
    <w:p>
      <w:pPr>
        <w:rPr>
          <w:b/>
          <w:bCs/>
          <w:szCs w:val="21"/>
        </w:rPr>
      </w:pPr>
      <w:r>
        <w:rPr>
          <w:rFonts w:hint="eastAsia"/>
          <w:b/>
          <w:bCs/>
          <w:szCs w:val="21"/>
        </w:rPr>
        <w:t>二、浮动汇率制下的国际收支调整</w:t>
      </w:r>
    </w:p>
    <w:p>
      <w:pPr>
        <w:rPr>
          <w:szCs w:val="21"/>
        </w:rPr>
      </w:pPr>
      <w:r>
        <w:rPr>
          <w:szCs w:val="21"/>
        </w:rPr>
        <w:t>1</w:t>
      </w:r>
      <w:r>
        <w:rPr>
          <w:rFonts w:hint="eastAsia"/>
          <w:szCs w:val="21"/>
        </w:rPr>
        <w:t>.</w:t>
      </w:r>
      <w:r>
        <w:rPr>
          <w:rFonts w:hint="eastAsia"/>
        </w:rPr>
        <w:t xml:space="preserve"> </w:t>
      </w:r>
      <w:r>
        <w:rPr>
          <w:rFonts w:hint="eastAsia"/>
          <w:szCs w:val="21"/>
        </w:rPr>
        <w:t>浮动汇率制下的财政政策：</w:t>
      </w:r>
    </w:p>
    <w:p>
      <w:pPr>
        <w:rPr>
          <w:szCs w:val="21"/>
        </w:rPr>
      </w:pPr>
      <w:r>
        <w:rPr>
          <w:rFonts w:hint="eastAsia"/>
          <w:szCs w:val="21"/>
        </w:rPr>
        <w:t>①说明：在资本完全流动的条件下，假如其他条件不变，政府采取扩张性财政政策。</w:t>
      </w:r>
    </w:p>
    <w:p>
      <w:pPr>
        <w:rPr>
          <w:szCs w:val="21"/>
        </w:rPr>
      </w:pPr>
      <w:r>
        <w:rPr>
          <w:rFonts w:hint="eastAsia"/>
          <w:szCs w:val="21"/>
        </w:rPr>
        <w:t>②变化：</w:t>
      </w:r>
      <w:r>
        <w:rPr>
          <w:szCs w:val="21"/>
        </w:rPr>
        <w:t>α↑（扩张性财政政策）-e↑-NX↓</w:t>
      </w:r>
    </w:p>
    <w:p>
      <w:pPr>
        <w:rPr>
          <w:szCs w:val="21"/>
        </w:rPr>
      </w:pPr>
      <w:r>
        <w:rPr>
          <w:rFonts w:hint="eastAsia"/>
          <w:szCs w:val="21"/>
        </w:rPr>
        <w:t>③限制：</w:t>
      </w:r>
      <w:r>
        <w:rPr>
          <w:rFonts w:hint="eastAsia"/>
          <w:color w:val="FF0000"/>
          <w:szCs w:val="21"/>
        </w:rPr>
        <w:t>财政政策无效</w:t>
      </w:r>
    </w:p>
    <w:p>
      <w:pPr>
        <w:rPr>
          <w:szCs w:val="21"/>
        </w:rPr>
      </w:pPr>
      <w:r>
        <w:rPr>
          <w:rFonts w:hint="eastAsia"/>
          <w:szCs w:val="21"/>
        </w:rPr>
        <w:t>④图示：</w:t>
      </w:r>
    </w:p>
    <w:p>
      <w:pPr>
        <w:rPr>
          <w:szCs w:val="21"/>
        </w:rPr>
      </w:pPr>
      <w:r>
        <w:rPr>
          <w:szCs w:val="21"/>
        </w:rPr>
        <w:drawing>
          <wp:inline distT="0" distB="0" distL="0" distR="0">
            <wp:extent cx="3038475" cy="2148840"/>
            <wp:effectExtent l="0" t="0" r="9525" b="3810"/>
            <wp:docPr id="49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4"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3051158" cy="2157411"/>
                    </a:xfrm>
                    <a:prstGeom prst="rect">
                      <a:avLst/>
                    </a:prstGeom>
                    <a:noFill/>
                    <a:ln>
                      <a:noFill/>
                    </a:ln>
                  </pic:spPr>
                </pic:pic>
              </a:graphicData>
            </a:graphic>
          </wp:inline>
        </w:drawing>
      </w:r>
    </w:p>
    <w:p>
      <w:pPr>
        <w:rPr>
          <w:szCs w:val="21"/>
        </w:rPr>
      </w:pPr>
      <w:r>
        <w:rPr>
          <w:rFonts w:hint="eastAsia"/>
          <w:szCs w:val="21"/>
        </w:rPr>
        <w:t>2.</w:t>
      </w:r>
      <w:r>
        <w:rPr>
          <w:rFonts w:hint="eastAsia"/>
        </w:rPr>
        <w:t xml:space="preserve"> </w:t>
      </w:r>
      <w:r>
        <w:rPr>
          <w:rFonts w:hint="eastAsia"/>
          <w:szCs w:val="21"/>
        </w:rPr>
        <w:t>浮动汇率制下的货币政策：</w:t>
      </w:r>
    </w:p>
    <w:p>
      <w:pPr>
        <w:rPr>
          <w:color w:val="FF0000"/>
          <w:szCs w:val="21"/>
        </w:rPr>
      </w:pPr>
      <w:r>
        <w:rPr>
          <w:rFonts w:hint="eastAsia"/>
          <w:szCs w:val="21"/>
        </w:rPr>
        <w:t>①说明：在资本完全流动的条件下，当政府采取扩张性的货币政策时，</w:t>
      </w:r>
      <w:r>
        <w:rPr>
          <w:szCs w:val="21"/>
        </w:rPr>
        <w:t>LM曲线右移</w:t>
      </w:r>
      <w:r>
        <w:rPr>
          <w:rFonts w:hint="eastAsia"/>
          <w:szCs w:val="21"/>
        </w:rPr>
        <w:t>。</w:t>
      </w:r>
      <w:r>
        <w:rPr>
          <w:rFonts w:hint="eastAsia"/>
          <w:color w:val="FF0000"/>
          <w:szCs w:val="21"/>
        </w:rPr>
        <w:t>浮动汇率下货币政策有效。</w:t>
      </w:r>
    </w:p>
    <w:p>
      <w:pPr>
        <w:rPr>
          <w:szCs w:val="21"/>
        </w:rPr>
      </w:pPr>
      <w:r>
        <w:rPr>
          <w:rFonts w:hint="eastAsia"/>
          <w:szCs w:val="21"/>
        </w:rPr>
        <w:t>②变化：</w:t>
      </w:r>
      <w:r>
        <w:rPr>
          <w:szCs w:val="21"/>
        </w:rPr>
        <w:t>M↑-r↓-r</w:t>
      </w:r>
      <w:r>
        <w:rPr>
          <w:szCs w:val="21"/>
          <w:vertAlign w:val="subscript"/>
        </w:rPr>
        <w:t>w</w:t>
      </w:r>
      <w:r>
        <w:rPr>
          <w:szCs w:val="21"/>
        </w:rPr>
        <w:t>资本流出-e↓-</w:t>
      </w:r>
      <w:r>
        <w:rPr>
          <w:rFonts w:hint="eastAsia"/>
          <w:szCs w:val="21"/>
        </w:rPr>
        <w:t>【</w:t>
      </w:r>
      <w:r>
        <w:rPr>
          <w:szCs w:val="21"/>
        </w:rPr>
        <w:t>LM</w:t>
      </w:r>
      <w:r>
        <w:rPr>
          <w:rFonts w:hint="eastAsia"/>
          <w:szCs w:val="21"/>
        </w:rPr>
        <w:t>曲线右移】-</w:t>
      </w:r>
      <w:r>
        <w:rPr>
          <w:szCs w:val="21"/>
        </w:rPr>
        <w:t>NX↑-Y↑</w:t>
      </w:r>
    </w:p>
    <w:p>
      <w:pPr>
        <w:rPr>
          <w:szCs w:val="21"/>
        </w:rPr>
      </w:pPr>
      <w:r>
        <w:rPr>
          <w:rFonts w:hint="eastAsia"/>
          <w:szCs w:val="21"/>
        </w:rPr>
        <w:t>③图示：</w:t>
      </w:r>
      <w:r>
        <w:rPr>
          <w:szCs w:val="21"/>
        </w:rPr>
        <w:drawing>
          <wp:inline distT="0" distB="0" distL="0" distR="0">
            <wp:extent cx="3552190" cy="1845945"/>
            <wp:effectExtent l="0" t="0" r="0" b="1905"/>
            <wp:docPr id="501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9"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3557447" cy="1848964"/>
                    </a:xfrm>
                    <a:prstGeom prst="rect">
                      <a:avLst/>
                    </a:prstGeom>
                    <a:noFill/>
                    <a:ln>
                      <a:noFill/>
                    </a:ln>
                  </pic:spPr>
                </pic:pic>
              </a:graphicData>
            </a:graphic>
          </wp:inline>
        </w:drawing>
      </w:r>
    </w:p>
    <w:p>
      <w:pPr>
        <w:rPr>
          <w:szCs w:val="21"/>
        </w:rPr>
      </w:pPr>
      <w:r>
        <w:rPr>
          <w:rFonts w:hint="eastAsia"/>
          <w:szCs w:val="21"/>
        </w:rPr>
        <w:t>3.</w:t>
      </w:r>
      <w:r>
        <w:rPr>
          <w:rFonts w:hint="eastAsia"/>
        </w:rPr>
        <w:t xml:space="preserve"> </w:t>
      </w:r>
      <w:r>
        <w:rPr>
          <w:rFonts w:hint="eastAsia"/>
          <w:szCs w:val="21"/>
        </w:rPr>
        <w:t>浮动汇率制下的贸易政策：</w:t>
      </w:r>
    </w:p>
    <w:p>
      <w:pPr>
        <w:rPr>
          <w:szCs w:val="21"/>
        </w:rPr>
      </w:pPr>
      <w:r>
        <w:rPr>
          <w:rFonts w:hint="eastAsia"/>
          <w:szCs w:val="21"/>
        </w:rPr>
        <w:t>①说明：如果政府通过关税或者非关税贸易壁垒的措施来限制进口，将使得</w:t>
      </w:r>
      <w:r>
        <w:rPr>
          <w:szCs w:val="21"/>
        </w:rPr>
        <w:t>IS曲线向右移动。净出口曲线的右移同时使得IS曲线向右移动。</w:t>
      </w:r>
      <w:r>
        <w:rPr>
          <w:rFonts w:hint="eastAsia"/>
          <w:color w:val="FF0000"/>
          <w:szCs w:val="21"/>
        </w:rPr>
        <w:t>限制进口贸易政策无效。</w:t>
      </w:r>
    </w:p>
    <w:p>
      <w:pPr>
        <w:rPr>
          <w:szCs w:val="21"/>
        </w:rPr>
      </w:pPr>
      <w:r>
        <w:rPr>
          <w:rFonts w:hint="eastAsia"/>
          <w:szCs w:val="21"/>
        </w:rPr>
        <w:t>②变化：</w:t>
      </w:r>
      <w:r>
        <w:rPr>
          <w:szCs w:val="21"/>
        </w:rPr>
        <w:t>NX↑-e↑-NX↓</w:t>
      </w:r>
    </w:p>
    <w:p>
      <w:pPr>
        <w:rPr>
          <w:szCs w:val="21"/>
        </w:rPr>
      </w:pPr>
      <w:r>
        <w:rPr>
          <w:rFonts w:hint="eastAsia"/>
          <w:szCs w:val="21"/>
        </w:rPr>
        <w:t>③图示：</w:t>
      </w:r>
      <w:r>
        <w:rPr>
          <w:szCs w:val="21"/>
        </w:rPr>
        <w:drawing>
          <wp:inline distT="0" distB="0" distL="0" distR="0">
            <wp:extent cx="4131310" cy="1770380"/>
            <wp:effectExtent l="0" t="0" r="2540" b="1270"/>
            <wp:docPr id="51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4"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4140969" cy="1774844"/>
                    </a:xfrm>
                    <a:prstGeom prst="rect">
                      <a:avLst/>
                    </a:prstGeom>
                    <a:noFill/>
                    <a:ln>
                      <a:noFill/>
                    </a:ln>
                  </pic:spPr>
                </pic:pic>
              </a:graphicData>
            </a:graphic>
          </wp:inline>
        </w:drawing>
      </w:r>
    </w:p>
    <w:p>
      <w:pPr>
        <w:rPr>
          <w:szCs w:val="21"/>
        </w:rPr>
      </w:pPr>
    </w:p>
    <w:p>
      <w:pPr>
        <w:rPr>
          <w:b/>
          <w:bCs/>
          <w:szCs w:val="21"/>
        </w:rPr>
      </w:pPr>
      <w:r>
        <w:rPr>
          <w:rFonts w:hint="eastAsia"/>
          <w:b/>
          <w:bCs/>
          <w:szCs w:val="21"/>
        </w:rPr>
        <w:t>三、蒙代尔－弗莱明模型下的小国开放经济的政策效果</w:t>
      </w:r>
    </w:p>
    <w:p>
      <w:pPr>
        <w:rPr>
          <w:szCs w:val="21"/>
        </w:rPr>
      </w:pPr>
      <w:r>
        <w:rPr>
          <w:szCs w:val="21"/>
        </w:rPr>
        <w:drawing>
          <wp:inline distT="0" distB="0" distL="0" distR="0">
            <wp:extent cx="4688205" cy="2430780"/>
            <wp:effectExtent l="0" t="0" r="0" b="7620"/>
            <wp:docPr id="52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7"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4705129" cy="2439235"/>
                    </a:xfrm>
                    <a:prstGeom prst="rect">
                      <a:avLst/>
                    </a:prstGeom>
                    <a:noFill/>
                    <a:ln>
                      <a:noFill/>
                    </a:ln>
                  </pic:spPr>
                </pic:pic>
              </a:graphicData>
            </a:graphic>
          </wp:inline>
        </w:drawing>
      </w:r>
    </w:p>
    <w:p>
      <w:pPr>
        <w:rPr>
          <w:color w:val="00B050"/>
          <w:szCs w:val="21"/>
        </w:rPr>
      </w:pPr>
      <w:r>
        <w:rPr>
          <w:rFonts w:hint="eastAsia"/>
          <w:color w:val="00B050"/>
          <w:szCs w:val="21"/>
        </w:rPr>
        <w:t>#凯恩斯主义开放宏观经济理论的局限性：</w:t>
      </w:r>
    </w:p>
    <w:p>
      <w:pPr>
        <w:ind w:firstLine="420" w:firstLineChars="200"/>
        <w:rPr>
          <w:color w:val="00B050"/>
          <w:szCs w:val="21"/>
        </w:rPr>
      </w:pPr>
      <w:r>
        <w:rPr>
          <w:rFonts w:hint="eastAsia"/>
          <w:color w:val="00B050"/>
          <w:szCs w:val="21"/>
        </w:rPr>
        <w:t>封闭宏观经济理论延伸到国际经济范围就是开放经济的宏观经济理论，或者称国际宏观经济学，它是宏观经济学理论体系的重要组成部分。</w:t>
      </w:r>
      <w:r>
        <w:rPr>
          <w:color w:val="00B050"/>
          <w:szCs w:val="21"/>
        </w:rPr>
        <w:t xml:space="preserve"> </w:t>
      </w:r>
      <w:bookmarkStart w:id="2" w:name="_GoBack"/>
      <w:bookmarkEnd w:id="2"/>
    </w:p>
    <w:p>
      <w:pPr>
        <w:ind w:firstLine="420" w:firstLineChars="200"/>
        <w:rPr>
          <w:color w:val="00B050"/>
          <w:szCs w:val="21"/>
        </w:rPr>
      </w:pPr>
      <w:r>
        <w:rPr>
          <w:rFonts w:hint="eastAsia"/>
          <w:color w:val="00B050"/>
          <w:szCs w:val="21"/>
        </w:rPr>
        <w:t>蒙代尔—弗莱明模型因严格的条件限制使得该模型不可避免存在局限性</w:t>
      </w:r>
      <w:r>
        <w:rPr>
          <w:color w:val="00B050"/>
          <w:szCs w:val="21"/>
        </w:rPr>
        <w:t>。</w:t>
      </w:r>
    </w:p>
    <w:p>
      <w:pPr>
        <w:rPr>
          <w:color w:val="00B050"/>
          <w:szCs w:val="21"/>
        </w:rPr>
      </w:pPr>
      <w:r>
        <w:rPr>
          <w:rFonts w:hint="eastAsia"/>
          <w:color w:val="00B050"/>
          <w:szCs w:val="21"/>
        </w:rPr>
        <w:t>#开放宏观经济理论与政策的借鉴：我国仍处于并将长期处于社会主义初级阶段的基本国情没有变，仍属于发展中国家的定位没有变。因此，就蒙代尔—弗莱明模型说明的经济政策的选择和运用来看，它所要求的条件和我国的实际情况还存在差距。</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F19"/>
    <w:rsid w:val="000257A0"/>
    <w:rsid w:val="00034ED7"/>
    <w:rsid w:val="000428D8"/>
    <w:rsid w:val="00050D63"/>
    <w:rsid w:val="000565DC"/>
    <w:rsid w:val="00081362"/>
    <w:rsid w:val="000B220B"/>
    <w:rsid w:val="000C6C4C"/>
    <w:rsid w:val="000D2ED1"/>
    <w:rsid w:val="001043A8"/>
    <w:rsid w:val="0010614F"/>
    <w:rsid w:val="0011719D"/>
    <w:rsid w:val="00122F19"/>
    <w:rsid w:val="00124735"/>
    <w:rsid w:val="00147160"/>
    <w:rsid w:val="00154A36"/>
    <w:rsid w:val="00171790"/>
    <w:rsid w:val="00182508"/>
    <w:rsid w:val="00191D92"/>
    <w:rsid w:val="001A77BA"/>
    <w:rsid w:val="001B7639"/>
    <w:rsid w:val="001C39CF"/>
    <w:rsid w:val="001D5547"/>
    <w:rsid w:val="001F186F"/>
    <w:rsid w:val="001F2276"/>
    <w:rsid w:val="001F3EEC"/>
    <w:rsid w:val="00211529"/>
    <w:rsid w:val="00220AE9"/>
    <w:rsid w:val="00221B6C"/>
    <w:rsid w:val="00226E20"/>
    <w:rsid w:val="00230972"/>
    <w:rsid w:val="002333B7"/>
    <w:rsid w:val="002837B6"/>
    <w:rsid w:val="00291862"/>
    <w:rsid w:val="002921EA"/>
    <w:rsid w:val="00292BFA"/>
    <w:rsid w:val="002A0189"/>
    <w:rsid w:val="002A6ADF"/>
    <w:rsid w:val="002C0104"/>
    <w:rsid w:val="002C20D5"/>
    <w:rsid w:val="002D35F9"/>
    <w:rsid w:val="003226A6"/>
    <w:rsid w:val="00341F6F"/>
    <w:rsid w:val="00354A30"/>
    <w:rsid w:val="003603FC"/>
    <w:rsid w:val="00361362"/>
    <w:rsid w:val="00380263"/>
    <w:rsid w:val="00383C8F"/>
    <w:rsid w:val="003842D7"/>
    <w:rsid w:val="003B0B09"/>
    <w:rsid w:val="003C3692"/>
    <w:rsid w:val="003F3774"/>
    <w:rsid w:val="00403B95"/>
    <w:rsid w:val="00421B43"/>
    <w:rsid w:val="0042627F"/>
    <w:rsid w:val="0042774A"/>
    <w:rsid w:val="00430F22"/>
    <w:rsid w:val="00446B60"/>
    <w:rsid w:val="00487D40"/>
    <w:rsid w:val="004B0D5D"/>
    <w:rsid w:val="004B1983"/>
    <w:rsid w:val="004C1072"/>
    <w:rsid w:val="004C5616"/>
    <w:rsid w:val="004C681F"/>
    <w:rsid w:val="004C71D4"/>
    <w:rsid w:val="004F1CAA"/>
    <w:rsid w:val="004F5D47"/>
    <w:rsid w:val="00512037"/>
    <w:rsid w:val="00526E9F"/>
    <w:rsid w:val="0055610E"/>
    <w:rsid w:val="005815AA"/>
    <w:rsid w:val="005A70DF"/>
    <w:rsid w:val="005B5215"/>
    <w:rsid w:val="005C4BA7"/>
    <w:rsid w:val="0063393F"/>
    <w:rsid w:val="00653210"/>
    <w:rsid w:val="006668E5"/>
    <w:rsid w:val="00683265"/>
    <w:rsid w:val="00684028"/>
    <w:rsid w:val="006A5C8F"/>
    <w:rsid w:val="006B4229"/>
    <w:rsid w:val="006C03B0"/>
    <w:rsid w:val="006E2AB3"/>
    <w:rsid w:val="00700ABF"/>
    <w:rsid w:val="00742534"/>
    <w:rsid w:val="0075490B"/>
    <w:rsid w:val="00765809"/>
    <w:rsid w:val="007749D0"/>
    <w:rsid w:val="007824CE"/>
    <w:rsid w:val="00785422"/>
    <w:rsid w:val="007D225E"/>
    <w:rsid w:val="007D6F4B"/>
    <w:rsid w:val="007E17FE"/>
    <w:rsid w:val="007E200E"/>
    <w:rsid w:val="007E261E"/>
    <w:rsid w:val="007F02A9"/>
    <w:rsid w:val="00804FCC"/>
    <w:rsid w:val="00807CB9"/>
    <w:rsid w:val="00820D3C"/>
    <w:rsid w:val="00821568"/>
    <w:rsid w:val="00826BFE"/>
    <w:rsid w:val="008566CB"/>
    <w:rsid w:val="008570A7"/>
    <w:rsid w:val="00860A97"/>
    <w:rsid w:val="00861C2B"/>
    <w:rsid w:val="00865E0D"/>
    <w:rsid w:val="00880062"/>
    <w:rsid w:val="00884645"/>
    <w:rsid w:val="008879CB"/>
    <w:rsid w:val="00893562"/>
    <w:rsid w:val="008A5C07"/>
    <w:rsid w:val="008C6382"/>
    <w:rsid w:val="008D751F"/>
    <w:rsid w:val="008D7661"/>
    <w:rsid w:val="008E6377"/>
    <w:rsid w:val="008F7912"/>
    <w:rsid w:val="009749D3"/>
    <w:rsid w:val="00985F93"/>
    <w:rsid w:val="009A2508"/>
    <w:rsid w:val="009B4EF8"/>
    <w:rsid w:val="009C3793"/>
    <w:rsid w:val="009E5EFE"/>
    <w:rsid w:val="009F47F6"/>
    <w:rsid w:val="00A07394"/>
    <w:rsid w:val="00A27991"/>
    <w:rsid w:val="00A343B7"/>
    <w:rsid w:val="00A5133B"/>
    <w:rsid w:val="00A62E85"/>
    <w:rsid w:val="00A64CA2"/>
    <w:rsid w:val="00A74989"/>
    <w:rsid w:val="00A80CD5"/>
    <w:rsid w:val="00A81B62"/>
    <w:rsid w:val="00A85D97"/>
    <w:rsid w:val="00A979E6"/>
    <w:rsid w:val="00AA0790"/>
    <w:rsid w:val="00AC1CDD"/>
    <w:rsid w:val="00AC31BC"/>
    <w:rsid w:val="00AF4348"/>
    <w:rsid w:val="00AF4C85"/>
    <w:rsid w:val="00AF7E25"/>
    <w:rsid w:val="00B1356C"/>
    <w:rsid w:val="00B20485"/>
    <w:rsid w:val="00B2266F"/>
    <w:rsid w:val="00B36006"/>
    <w:rsid w:val="00B765C0"/>
    <w:rsid w:val="00B90C77"/>
    <w:rsid w:val="00BC3328"/>
    <w:rsid w:val="00C0677F"/>
    <w:rsid w:val="00C12100"/>
    <w:rsid w:val="00C13168"/>
    <w:rsid w:val="00C1495F"/>
    <w:rsid w:val="00C21183"/>
    <w:rsid w:val="00C211CD"/>
    <w:rsid w:val="00C30FFF"/>
    <w:rsid w:val="00C61A6A"/>
    <w:rsid w:val="00C678E6"/>
    <w:rsid w:val="00C70259"/>
    <w:rsid w:val="00C7288F"/>
    <w:rsid w:val="00C9262D"/>
    <w:rsid w:val="00C95033"/>
    <w:rsid w:val="00CA5ED6"/>
    <w:rsid w:val="00CD71BD"/>
    <w:rsid w:val="00CD76A0"/>
    <w:rsid w:val="00CE643E"/>
    <w:rsid w:val="00CE7342"/>
    <w:rsid w:val="00D23247"/>
    <w:rsid w:val="00D27733"/>
    <w:rsid w:val="00D4441D"/>
    <w:rsid w:val="00D45BA3"/>
    <w:rsid w:val="00D47D3D"/>
    <w:rsid w:val="00D73FBA"/>
    <w:rsid w:val="00D744F8"/>
    <w:rsid w:val="00D93B74"/>
    <w:rsid w:val="00DA0CBF"/>
    <w:rsid w:val="00DA4A68"/>
    <w:rsid w:val="00DD33CB"/>
    <w:rsid w:val="00DD5C52"/>
    <w:rsid w:val="00DD78CF"/>
    <w:rsid w:val="00E15880"/>
    <w:rsid w:val="00E20F32"/>
    <w:rsid w:val="00E3499B"/>
    <w:rsid w:val="00E600A3"/>
    <w:rsid w:val="00E76C3E"/>
    <w:rsid w:val="00E76EAB"/>
    <w:rsid w:val="00E956CF"/>
    <w:rsid w:val="00EA10B0"/>
    <w:rsid w:val="00EB35C2"/>
    <w:rsid w:val="00ED4FB4"/>
    <w:rsid w:val="00EF1729"/>
    <w:rsid w:val="00EF1BC4"/>
    <w:rsid w:val="00EF2253"/>
    <w:rsid w:val="00F00FCF"/>
    <w:rsid w:val="00F03FD1"/>
    <w:rsid w:val="00F04847"/>
    <w:rsid w:val="00F06D5E"/>
    <w:rsid w:val="00F178C4"/>
    <w:rsid w:val="00F244AF"/>
    <w:rsid w:val="00F3756F"/>
    <w:rsid w:val="00F41E07"/>
    <w:rsid w:val="00F527BD"/>
    <w:rsid w:val="00F53CAE"/>
    <w:rsid w:val="00F55C69"/>
    <w:rsid w:val="00F70203"/>
    <w:rsid w:val="00F715D7"/>
    <w:rsid w:val="00FB728E"/>
    <w:rsid w:val="00FD0AC7"/>
    <w:rsid w:val="00FD76E7"/>
    <w:rsid w:val="00FE4BF2"/>
    <w:rsid w:val="4C1E349F"/>
    <w:rsid w:val="54B93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字符"/>
    <w:basedOn w:val="5"/>
    <w:link w:val="2"/>
    <w:semiHidden/>
    <w:uiPriority w:val="99"/>
    <w:rPr>
      <w:sz w:val="18"/>
      <w:szCs w:val="18"/>
    </w:rPr>
  </w:style>
  <w:style w:type="character" w:customStyle="1" w:styleId="8">
    <w:name w:val="页眉 字符"/>
    <w:basedOn w:val="5"/>
    <w:link w:val="4"/>
    <w:qFormat/>
    <w:uiPriority w:val="99"/>
    <w:rPr>
      <w:sz w:val="18"/>
      <w:szCs w:val="18"/>
    </w:rPr>
  </w:style>
  <w:style w:type="character" w:customStyle="1" w:styleId="9">
    <w:name w:val="页脚 字符"/>
    <w:basedOn w:val="5"/>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8" Type="http://schemas.openxmlformats.org/officeDocument/2006/relationships/fontTable" Target="fontTable.xml"/><Relationship Id="rId47" Type="http://schemas.openxmlformats.org/officeDocument/2006/relationships/customXml" Target="../customXml/item2.xml"/><Relationship Id="rId46" Type="http://schemas.openxmlformats.org/officeDocument/2006/relationships/customXml" Target="../customXml/item1.xml"/><Relationship Id="rId45" Type="http://schemas.openxmlformats.org/officeDocument/2006/relationships/image" Target="media/image33.png"/><Relationship Id="rId44" Type="http://schemas.openxmlformats.org/officeDocument/2006/relationships/image" Target="media/image32.png"/><Relationship Id="rId43" Type="http://schemas.openxmlformats.org/officeDocument/2006/relationships/image" Target="media/image31.png"/><Relationship Id="rId42" Type="http://schemas.openxmlformats.org/officeDocument/2006/relationships/image" Target="media/image30.png"/><Relationship Id="rId41" Type="http://schemas.openxmlformats.org/officeDocument/2006/relationships/image" Target="media/image29.png"/><Relationship Id="rId40" Type="http://schemas.openxmlformats.org/officeDocument/2006/relationships/image" Target="media/image28.png"/><Relationship Id="rId4" Type="http://schemas.openxmlformats.org/officeDocument/2006/relationships/oleObject" Target="embeddings/oleObject1.bin"/><Relationship Id="rId39" Type="http://schemas.openxmlformats.org/officeDocument/2006/relationships/image" Target="media/image27.png"/><Relationship Id="rId38" Type="http://schemas.openxmlformats.org/officeDocument/2006/relationships/image" Target="media/image26.png"/><Relationship Id="rId37" Type="http://schemas.openxmlformats.org/officeDocument/2006/relationships/image" Target="media/image25.emf"/><Relationship Id="rId36" Type="http://schemas.openxmlformats.org/officeDocument/2006/relationships/oleObject" Target="embeddings/oleObject9.bin"/><Relationship Id="rId35" Type="http://schemas.openxmlformats.org/officeDocument/2006/relationships/image" Target="media/image24.emf"/><Relationship Id="rId34" Type="http://schemas.openxmlformats.org/officeDocument/2006/relationships/oleObject" Target="embeddings/oleObject8.bin"/><Relationship Id="rId33" Type="http://schemas.openxmlformats.org/officeDocument/2006/relationships/image" Target="media/image23.png"/><Relationship Id="rId32" Type="http://schemas.openxmlformats.org/officeDocument/2006/relationships/image" Target="media/image22.emf"/><Relationship Id="rId31" Type="http://schemas.openxmlformats.org/officeDocument/2006/relationships/oleObject" Target="embeddings/oleObject7.bin"/><Relationship Id="rId30" Type="http://schemas.openxmlformats.org/officeDocument/2006/relationships/image" Target="media/image21.emf"/><Relationship Id="rId3" Type="http://schemas.openxmlformats.org/officeDocument/2006/relationships/theme" Target="theme/theme1.xml"/><Relationship Id="rId29" Type="http://schemas.openxmlformats.org/officeDocument/2006/relationships/oleObject" Target="embeddings/oleObject6.bin"/><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emf"/><Relationship Id="rId25" Type="http://schemas.openxmlformats.org/officeDocument/2006/relationships/oleObject" Target="embeddings/oleObject5.bin"/><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emf"/><Relationship Id="rId15" Type="http://schemas.openxmlformats.org/officeDocument/2006/relationships/oleObject" Target="embeddings/oleObject4.bin"/><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oleObject" Target="embeddings/oleObject3.bin"/><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D9A38D-4E62-4833-B62A-44E6561E0650}">
  <ds:schemaRefs/>
</ds:datastoreItem>
</file>

<file path=docProps/app.xml><?xml version="1.0" encoding="utf-8"?>
<Properties xmlns="http://schemas.openxmlformats.org/officeDocument/2006/extended-properties" xmlns:vt="http://schemas.openxmlformats.org/officeDocument/2006/docPropsVTypes">
  <Template>Normal.dotm</Template>
  <Pages>13</Pages>
  <Words>757</Words>
  <Characters>4319</Characters>
  <Lines>35</Lines>
  <Paragraphs>10</Paragraphs>
  <TotalTime>315</TotalTime>
  <ScaleCrop>false</ScaleCrop>
  <LinksUpToDate>false</LinksUpToDate>
  <CharactersWithSpaces>5066</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2019-06-02T02:43:00Z</dcterms:created>
  <dc:creator>jiuming Lin</dc:creator>
  <cp:lastModifiedBy>MsClown</cp:lastModifiedBy>
  <dcterms:modified xsi:type="dcterms:W3CDTF">2019-11-14T03:52:28Z</dcterms:modified>
  <cp:revision>214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2052-10.1.0.7698</vt:lpwstr>
  </property>
</Properties>
</file>