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bCs/>
          <w:sz w:val="28"/>
          <w:szCs w:val="28"/>
        </w:rPr>
      </w:pPr>
      <w:r>
        <w:rPr>
          <w:rFonts w:hint="eastAsia"/>
          <w:b/>
          <w:bCs/>
          <w:sz w:val="28"/>
          <w:szCs w:val="28"/>
        </w:rPr>
        <w:t>第一节</w:t>
      </w:r>
      <w:r>
        <w:rPr>
          <w:b/>
          <w:bCs/>
          <w:sz w:val="28"/>
          <w:szCs w:val="28"/>
        </w:rPr>
        <w:t xml:space="preserve"> </w:t>
      </w:r>
      <w:r>
        <w:rPr>
          <w:rFonts w:hint="eastAsia"/>
          <w:b/>
          <w:bCs/>
          <w:sz w:val="28"/>
          <w:szCs w:val="28"/>
        </w:rPr>
        <w:t>宏观经济政策</w:t>
      </w:r>
    </w:p>
    <w:p>
      <w:pPr>
        <w:rPr>
          <w:b/>
          <w:bCs/>
        </w:rPr>
      </w:pPr>
      <w:r>
        <w:rPr>
          <w:rFonts w:hint="eastAsia"/>
          <w:b/>
          <w:bCs/>
        </w:rPr>
        <w:t>一、宏观经济政策的目标</w:t>
      </w:r>
    </w:p>
    <w:p>
      <w:r>
        <w:rPr>
          <w:rFonts w:hint="eastAsia"/>
        </w:rPr>
        <w:t>1. 宏观经济政策目标体系：</w:t>
      </w:r>
    </w:p>
    <w:p>
      <w:r>
        <w:rPr>
          <w:rFonts w:hint="eastAsia"/>
        </w:rPr>
        <w:t>①（首要目标）充分就业</w:t>
      </w:r>
    </w:p>
    <w:p>
      <w:pPr>
        <w:rPr>
          <w:color w:val="00B050"/>
        </w:rPr>
      </w:pPr>
      <w:r>
        <w:rPr>
          <w:rFonts w:hint="eastAsia"/>
          <w:color w:val="00B050"/>
        </w:rPr>
        <w:t>#凯恩斯认为，充分就业是不存在“非自愿”失业。</w:t>
      </w:r>
    </w:p>
    <w:p>
      <w:pPr>
        <w:rPr>
          <w:color w:val="00B050"/>
        </w:rPr>
      </w:pPr>
      <w:r>
        <w:rPr>
          <w:rFonts w:hint="eastAsia"/>
          <w:color w:val="00B050"/>
        </w:rPr>
        <w:t>#现代货币学派认为，充分就业是</w:t>
      </w:r>
      <w:r>
        <w:rPr>
          <w:color w:val="00B050"/>
        </w:rPr>
        <w:t>总失业率等于自然失业</w:t>
      </w:r>
      <w:r>
        <w:rPr>
          <w:rFonts w:hint="eastAsia"/>
          <w:color w:val="00B050"/>
        </w:rPr>
        <w:t>率。</w:t>
      </w:r>
    </w:p>
    <w:p>
      <w:r>
        <w:rPr>
          <w:rFonts w:hint="eastAsia"/>
        </w:rPr>
        <w:t>I</w:t>
      </w:r>
      <w:r>
        <w:t>.</w:t>
      </w:r>
      <w:r>
        <w:rPr>
          <w:rFonts w:hint="eastAsia"/>
        </w:rPr>
        <w:t>广义的充分就业：指一切生产要素都有机会以自己愿意的报酬参加生产状态，即劳动力和生产设备都达到充分利用的状态。</w:t>
      </w:r>
    </w:p>
    <w:p>
      <w:r>
        <w:t>II.</w:t>
      </w:r>
      <w:r>
        <w:rPr>
          <w:rFonts w:hint="eastAsia"/>
        </w:rPr>
        <w:t>狭义的充分就业：总失业率等于自然失业率的状态。</w:t>
      </w:r>
    </w:p>
    <w:p>
      <w:r>
        <w:rPr>
          <w:rFonts w:hint="eastAsia"/>
        </w:rPr>
        <w:t>②稳定物价：指通过宏观经济政策使某一时期内的一般物价水平保持相对的稳定。</w:t>
      </w:r>
    </w:p>
    <w:p>
      <w:pPr>
        <w:rPr>
          <w:color w:val="00B050"/>
        </w:rPr>
      </w:pPr>
      <w:r>
        <w:rPr>
          <w:rFonts w:hint="eastAsia"/>
          <w:color w:val="00B050"/>
        </w:rPr>
        <w:t>#</w:t>
      </w:r>
      <w:r>
        <w:rPr>
          <w:color w:val="00B050"/>
        </w:rPr>
        <w:t>2</w:t>
      </w:r>
      <w:r>
        <w:rPr>
          <w:rFonts w:hint="eastAsia"/>
          <w:color w:val="00B050"/>
        </w:rPr>
        <w:t>%以内的物价上涨率通常认为比较稳定。</w:t>
      </w:r>
    </w:p>
    <w:p>
      <w:r>
        <w:rPr>
          <w:rFonts w:hint="eastAsia"/>
        </w:rPr>
        <w:t>③经济增长：指在一个较长时间跨度内一国人均产出（或人均收入）水平的持续增加。</w:t>
      </w:r>
    </w:p>
    <w:p>
      <w:r>
        <w:rPr>
          <w:rFonts w:hint="eastAsia"/>
        </w:rPr>
        <w:t>④国际收支平衡：指采取各种措施纠正国际收支差额，使其趋于平衡。</w:t>
      </w:r>
    </w:p>
    <w:p>
      <w:r>
        <w:rPr>
          <w:rFonts w:hint="eastAsia"/>
          <w:color w:val="00B050"/>
        </w:rPr>
        <w:t>#国际收支长期顺差会导致通货膨胀。</w:t>
      </w:r>
    </w:p>
    <w:p>
      <w:r>
        <w:rPr>
          <w:rFonts w:hint="eastAsia"/>
        </w:rPr>
        <w:t>2. 宏观经济政策目标的一致性和互补性：</w:t>
      </w:r>
    </w:p>
    <w:p>
      <w:r>
        <w:rPr>
          <w:rFonts w:hint="eastAsia"/>
        </w:rPr>
        <w:t>①顺差过大</w:t>
      </w:r>
      <w:r>
        <w:t>~物价上升</w:t>
      </w:r>
      <w:r>
        <w:rPr>
          <w:rFonts w:hint="eastAsia"/>
        </w:rPr>
        <w:t>：顺差过大→国际收支失衡→发行货币，平衡</w:t>
      </w:r>
      <w:r>
        <w:t>国际收支</w:t>
      </w:r>
      <w:r>
        <w:rPr>
          <w:rFonts w:hint="eastAsia"/>
        </w:rPr>
        <w:t>→国内货币供应量增加→物价上升</w:t>
      </w:r>
    </w:p>
    <w:p>
      <w:r>
        <w:rPr>
          <w:rFonts w:hint="eastAsia"/>
        </w:rPr>
        <w:t>②逆差过大</w:t>
      </w:r>
      <w:r>
        <w:t>~失业增加</w:t>
      </w:r>
      <w:r>
        <w:rPr>
          <w:rFonts w:hint="eastAsia"/>
        </w:rPr>
        <w:t>：逆差过大→通货紧缩→经济增长放慢→失业增加</w:t>
      </w:r>
    </w:p>
    <w:p>
      <w:r>
        <w:t>3</w:t>
      </w:r>
      <w:r>
        <w:rPr>
          <w:rFonts w:hint="eastAsia"/>
        </w:rPr>
        <w:t>. 宏观经济政策目标的矛盾与冲突：</w:t>
      </w:r>
    </w:p>
    <w:p>
      <w:pPr>
        <w:rPr>
          <w:color w:val="FF0000"/>
        </w:rPr>
      </w:pPr>
      <w:r>
        <w:rPr>
          <w:rFonts w:hint="eastAsia"/>
          <w:color w:val="FF0000"/>
        </w:rPr>
        <w:t>①米德冲突：在许多情况下，单独使用财政政策或货币政策而同时追求内、外均衡两种目标的实现，将会导致一国内部均衡与外部均衡之间冲突。</w:t>
      </w:r>
    </w:p>
    <w:p>
      <w:r>
        <w:rPr>
          <w:rFonts w:hint="eastAsia"/>
        </w:rPr>
        <w:t>例：国际收支逆差与国内经济疲软的冲突（国际收支逆差要求紧缩政策，国内经济疲软要求扩张政策）；国际收支顺差与国内通货膨胀的冲突（国际收支顺差要求扩张政策，国内通货膨胀要求紧缩政策）。</w:t>
      </w:r>
    </w:p>
    <w:p>
      <w:r>
        <w:rPr>
          <w:rFonts w:hint="eastAsia"/>
        </w:rPr>
        <w:t>②稳定物价与充分就业之间的冲突</w:t>
      </w:r>
    </w:p>
    <w:p>
      <w:r>
        <w:rPr>
          <w:rFonts w:hint="eastAsia"/>
        </w:rPr>
        <w:t>4. 宏观经济政策目标的抉择的不同主张</w:t>
      </w:r>
    </w:p>
    <w:p>
      <w:r>
        <w:rPr>
          <w:rFonts w:hint="eastAsia"/>
        </w:rPr>
        <w:t>①</w:t>
      </w:r>
      <w:r>
        <w:t>凯恩斯主义：短期稳定</w:t>
      </w:r>
    </w:p>
    <w:p>
      <w:r>
        <w:rPr>
          <w:rFonts w:hint="eastAsia"/>
        </w:rPr>
        <w:t>②</w:t>
      </w:r>
      <w:r>
        <w:t>现代货币主义：保持长期价格稳定</w:t>
      </w:r>
    </w:p>
    <w:p>
      <w:r>
        <w:t>5</w:t>
      </w:r>
      <w:r>
        <w:rPr>
          <w:rFonts w:hint="eastAsia"/>
        </w:rPr>
        <w:t>. 宏观经济政策目标抉择考虑的因素：宏观经济政策目标的选择必须考虑经济运行周期的特征和社会所面临的主要问题。</w:t>
      </w:r>
    </w:p>
    <w:p>
      <w:r>
        <w:rPr>
          <w:rFonts w:hint="eastAsia"/>
        </w:rPr>
        <w:t>例如，经济过热，通货膨胀：稳定物价</w:t>
      </w:r>
    </w:p>
    <w:p>
      <w:r>
        <w:rPr>
          <w:rFonts w:hint="eastAsia"/>
        </w:rPr>
        <w:t>再如，经济衰退，失业增加：促进增长，增加就业</w:t>
      </w:r>
    </w:p>
    <w:p>
      <w:r>
        <w:rPr>
          <w:rFonts w:hint="eastAsia"/>
        </w:rPr>
        <w:t>6. 宏观经济政策的内容：</w:t>
      </w:r>
    </w:p>
    <w:p>
      <w:r>
        <w:rPr>
          <w:rFonts w:hint="eastAsia"/>
        </w:rPr>
        <w:t>①基本内容：财政政策、货币政策。</w:t>
      </w:r>
    </w:p>
    <w:p>
      <w:r>
        <w:rPr>
          <w:rFonts w:hint="eastAsia"/>
        </w:rPr>
        <w:t>②广义内容：产业政策、收入分配政策、人口政策。</w:t>
      </w:r>
    </w:p>
    <w:p>
      <w:r>
        <w:t>7</w:t>
      </w:r>
      <w:r>
        <w:rPr>
          <w:rFonts w:hint="eastAsia"/>
        </w:rPr>
        <w:t>. 宏观经济政策的调节手段：</w:t>
      </w:r>
    </w:p>
    <w:p>
      <w:r>
        <w:rPr>
          <w:rFonts w:hint="eastAsia"/>
        </w:rPr>
        <w:t>①经济手段（间接调控）</w:t>
      </w:r>
    </w:p>
    <w:p>
      <w:r>
        <w:rPr>
          <w:rFonts w:hint="eastAsia"/>
        </w:rPr>
        <w:t>②</w:t>
      </w:r>
      <w:r>
        <w:t>行政手段（直接调控）</w:t>
      </w:r>
    </w:p>
    <w:p>
      <w:r>
        <w:rPr>
          <w:rFonts w:hint="eastAsia"/>
        </w:rPr>
        <w:t>③</w:t>
      </w:r>
      <w:r>
        <w:t>法律手段（强制调控）</w:t>
      </w:r>
    </w:p>
    <w:p/>
    <w:p>
      <w:pPr>
        <w:rPr>
          <w:b/>
          <w:bCs/>
        </w:rPr>
      </w:pPr>
      <w:r>
        <w:rPr>
          <w:rFonts w:hint="eastAsia"/>
          <w:b/>
          <w:bCs/>
        </w:rPr>
        <w:t>二、财政政策</w:t>
      </w:r>
    </w:p>
    <w:p>
      <w:r>
        <w:rPr>
          <w:rFonts w:hint="eastAsia"/>
        </w:rPr>
        <w:t>1.财政政策工具：</w:t>
      </w:r>
    </w:p>
    <w:p>
      <w:r>
        <w:rPr>
          <w:rFonts w:hint="eastAsia"/>
        </w:rPr>
        <w:t>①政府购买（政府消费与政府投资）</w:t>
      </w:r>
    </w:p>
    <w:p>
      <w:pPr>
        <w:rPr>
          <w:color w:val="00B050"/>
        </w:rPr>
      </w:pPr>
      <w:r>
        <w:rPr>
          <w:rFonts w:hint="eastAsia"/>
          <w:color w:val="00B050"/>
        </w:rPr>
        <w:t>#政府投资好于政府消费</w:t>
      </w:r>
    </w:p>
    <w:p>
      <w:r>
        <w:rPr>
          <w:rFonts w:hint="eastAsia"/>
        </w:rPr>
        <w:t>②</w:t>
      </w:r>
      <w:r>
        <w:t>财政转移支付</w:t>
      </w:r>
    </w:p>
    <w:p>
      <w:r>
        <w:rPr>
          <w:rFonts w:hint="eastAsia"/>
        </w:rPr>
        <w:t>③</w:t>
      </w:r>
      <w:r>
        <w:t>税收</w:t>
      </w:r>
    </w:p>
    <w:p>
      <w:pPr>
        <w:rPr>
          <w:color w:val="00B050"/>
        </w:rPr>
      </w:pPr>
      <w:r>
        <w:rPr>
          <w:rFonts w:hint="eastAsia"/>
          <w:color w:val="00B050"/>
        </w:rPr>
        <w:t>#加税是紧缩的财政政策，减税是扩张的财政政策。</w:t>
      </w:r>
      <w:bookmarkStart w:id="0" w:name="_GoBack"/>
      <w:bookmarkEnd w:id="0"/>
    </w:p>
    <w:p>
      <w:r>
        <w:rPr>
          <w:rFonts w:hint="eastAsia"/>
        </w:rPr>
        <w:t>④</w:t>
      </w:r>
      <w:r>
        <w:t>公债</w:t>
      </w:r>
      <w:r>
        <w:rPr>
          <w:rFonts w:hint="eastAsia"/>
        </w:rPr>
        <w:t>（国债）</w:t>
      </w:r>
    </w:p>
    <w:p>
      <w:pPr>
        <w:rPr>
          <w:color w:val="00B050"/>
        </w:rPr>
      </w:pPr>
      <w:r>
        <w:rPr>
          <w:rFonts w:hint="eastAsia"/>
          <w:color w:val="00B050"/>
        </w:rPr>
        <w:t>#公债既是财政政策，又是货币政策。</w:t>
      </w:r>
    </w:p>
    <w:p>
      <w:pPr>
        <w:rPr>
          <w:color w:val="00B050"/>
        </w:rPr>
      </w:pPr>
      <w:r>
        <w:rPr>
          <w:rFonts w:hint="eastAsia"/>
          <w:color w:val="00B050"/>
        </w:rPr>
        <w:t>#发行公债是紧缩政策，但是通常用于扩张政策（如用借的公债修桥）</w:t>
      </w:r>
    </w:p>
    <w:p>
      <w:r>
        <w:rPr>
          <w:rFonts w:hint="eastAsia"/>
        </w:rPr>
        <w:t>2.自动稳定器：</w:t>
      </w:r>
    </w:p>
    <w:p>
      <w:r>
        <w:rPr>
          <w:rFonts w:hint="eastAsia"/>
        </w:rPr>
        <w:t>①概念：系统本身存在减少对国民收入冲击和干扰的机制。</w:t>
      </w:r>
    </w:p>
    <w:p>
      <w:r>
        <w:rPr>
          <w:rFonts w:hint="eastAsia"/>
        </w:rPr>
        <w:t>②内容：</w:t>
      </w:r>
    </w:p>
    <w:p>
      <w:r>
        <w:rPr>
          <w:rFonts w:hint="eastAsia"/>
        </w:rPr>
        <w:t>I</w:t>
      </w:r>
      <w:r>
        <w:t>.</w:t>
      </w:r>
      <w:r>
        <w:rPr>
          <w:rFonts w:hint="eastAsia"/>
        </w:rPr>
        <w:t xml:space="preserve"> 失业保障机制</w:t>
      </w:r>
    </w:p>
    <w:p>
      <w:r>
        <w:rPr>
          <w:rFonts w:hint="eastAsia"/>
        </w:rPr>
        <w:t>I</w:t>
      </w:r>
      <w:r>
        <w:t>I.</w:t>
      </w:r>
      <w:r>
        <w:rPr>
          <w:rFonts w:hint="eastAsia"/>
        </w:rPr>
        <w:t xml:space="preserve"> 农产品价格维持制度</w:t>
      </w:r>
    </w:p>
    <w:p>
      <w:r>
        <w:rPr>
          <w:rFonts w:hint="eastAsia"/>
        </w:rPr>
        <w:t>I</w:t>
      </w:r>
      <w:r>
        <w:t>II.</w:t>
      </w:r>
      <w:r>
        <w:rPr>
          <w:rFonts w:hint="eastAsia"/>
        </w:rPr>
        <w:t xml:space="preserve"> 所得税税收体系：</w:t>
      </w:r>
      <w:r>
        <w:t>Y</w:t>
      </w:r>
      <w:r>
        <w:rPr>
          <w:rFonts w:hint="eastAsia"/>
        </w:rPr>
        <w:t>增长过快，则T快速增长，抑制Y增长的速度，从而起到自动稳定的作用。</w:t>
      </w:r>
    </w:p>
    <w:p>
      <w:r>
        <w:t>3</w:t>
      </w:r>
      <w:r>
        <w:rPr>
          <w:rFonts w:hint="eastAsia"/>
        </w:rPr>
        <w:t>. 相机抉择的财政政策</w:t>
      </w:r>
    </w:p>
    <w:p>
      <w:r>
        <w:rPr>
          <w:rFonts w:hint="eastAsia"/>
        </w:rPr>
        <w:t>①概念：政府根据宏观经济指标分析宏观经济行驶后，斟酌使用的经济政策，可简单归结为“逆经济风向”行事。</w:t>
      </w:r>
    </w:p>
    <w:p>
      <w:r>
        <w:rPr>
          <w:rFonts w:hint="eastAsia"/>
        </w:rPr>
        <w:t>②分类I：扩张的财政政策、平衡的财政政策、紧缩的财政政策</w:t>
      </w:r>
    </w:p>
    <w:p>
      <w:r>
        <w:rPr>
          <w:rFonts w:hint="eastAsia"/>
        </w:rPr>
        <w:t>③分类I</w:t>
      </w:r>
      <w:r>
        <w:t>I</w:t>
      </w:r>
      <w:r>
        <w:rPr>
          <w:rFonts w:hint="eastAsia"/>
        </w:rPr>
        <w:t>：积极的财政政策、稳健的财政政策、平衡的财政政策、适度从紧的财政政策、从紧的财政政策</w:t>
      </w:r>
      <w:r>
        <w:br w:type="textWrapping"/>
      </w:r>
      <w:r>
        <w:rPr>
          <w:rFonts w:hint="eastAsia"/>
        </w:rPr>
        <w:t>④功能财政：相机抉择财政政策</w:t>
      </w:r>
    </w:p>
    <w:p>
      <w:r>
        <w:rPr>
          <w:rFonts w:hint="eastAsia"/>
        </w:rPr>
        <w:t>⑤衡量财政政策方向测度指标：充分就业预算</w:t>
      </w:r>
    </w:p>
    <w:p>
      <w:r>
        <w:rPr>
          <w:rFonts w:hint="eastAsia"/>
        </w:rPr>
        <w:t>4.政府借债的种类：向央行借债、向公众借债</w:t>
      </w:r>
    </w:p>
    <w:p>
      <w:r>
        <w:rPr>
          <w:rFonts w:hint="eastAsia"/>
        </w:rPr>
        <w:t>5.财政政策效应：</w:t>
      </w:r>
    </w:p>
    <w:p>
      <w:r>
        <w:rPr>
          <w:rFonts w:hint="eastAsia"/>
        </w:rPr>
        <w:t>①概念：财政政策效应即</w:t>
      </w:r>
      <w:r>
        <w:t>IS曲线移动对国民收入变动的影响</w:t>
      </w:r>
      <w:r>
        <w:rPr>
          <w:rFonts w:hint="eastAsia"/>
        </w:rPr>
        <w:t>。</w:t>
      </w:r>
    </w:p>
    <w:p>
      <w:r>
        <w:rPr>
          <w:rFonts w:hint="eastAsia"/>
        </w:rPr>
        <w:t>②财政政策的产出效应：</w:t>
      </w:r>
      <w:r>
        <w:t>财政政策工具引起一个国家总产出水平或总收入水平的变化，也可称财政政策的收入效应。</w:t>
      </w:r>
    </w:p>
    <w:p>
      <w:r>
        <w:rPr>
          <w:rFonts w:hint="eastAsia"/>
        </w:rPr>
        <w:t>③财政政策的挤出效应：</w:t>
      </w:r>
      <w:r>
        <w:t>由于政府支出（包括政府的公务性购买、政府投资和转移支付）的增加使</w:t>
      </w:r>
      <w:r>
        <w:rPr>
          <w:rFonts w:hint="eastAsia"/>
        </w:rPr>
        <w:t>（产品和服务市场的）</w:t>
      </w:r>
      <w:r>
        <w:t>利率水平上升，从而抑制（挤出）了部分社会（私人）投资的现象。</w:t>
      </w:r>
    </w:p>
    <w:p>
      <w:pPr>
        <w:rPr>
          <w:color w:val="0070C0"/>
        </w:rPr>
      </w:pPr>
      <w:r>
        <w:rPr>
          <w:rFonts w:hint="eastAsia"/>
          <w:color w:val="0070C0"/>
        </w:rPr>
        <w:t>举例：</w:t>
      </w:r>
    </w:p>
    <w:p>
      <w:pPr>
        <w:rPr>
          <w:color w:val="0070C0"/>
        </w:rPr>
      </w:pPr>
      <w:r>
        <w:rPr>
          <w:rFonts w:hint="eastAsia"/>
          <w:color w:val="0070C0"/>
        </w:rPr>
        <w:t>设</w:t>
      </w:r>
      <w:r>
        <w:rPr>
          <w:color w:val="0070C0"/>
        </w:rPr>
        <w:t>C=1000+0.8Y，I=2000-10r,L=0.3Y-5r，M=2200；若政府投资增加100亿，分别用有效需求决定模型和IS-LM模型计算总产出的增加，并比较它们的差别。</w:t>
      </w:r>
    </w:p>
    <w:p>
      <w:pPr>
        <w:rPr>
          <w:color w:val="0070C0"/>
        </w:rPr>
      </w:pPr>
      <w:r>
        <w:rPr>
          <w:color w:val="0070C0"/>
        </w:rPr>
        <w:t xml:space="preserve"> 解：用有效需求决定模型计算,政府购买乘数为KG=1/(1-0.8)=5, 若政府投资增加100亿，则产出增加为100亿×5=500亿。</w:t>
      </w:r>
    </w:p>
    <w:p>
      <w:pPr>
        <w:rPr>
          <w:color w:val="0070C0"/>
        </w:rPr>
      </w:pPr>
      <w:r>
        <w:rPr>
          <w:color w:val="0070C0"/>
        </w:rPr>
        <w:t xml:space="preserve"> 用IS-LM模型计算, 政府投资增加前后的IS曲线方程分别为r=300-0.02Y,r′=310-0.02Y；LM曲线方程为r=-440+0.06Y；分别解政府投资增加前后的IS-LM模型:</w:t>
      </w:r>
    </w:p>
    <w:p>
      <w:pPr>
        <w:rPr>
          <w:color w:val="0070C0"/>
        </w:rPr>
      </w:pPr>
      <w:r>
        <w:rPr>
          <w:color w:val="0070C0"/>
        </w:rPr>
        <w:t xml:space="preserve"> Y=9250，Y′=9375；ΔY=9375-9250=125，即总产出增加125亿元。用不同方法计算的产出增加差距为375亿元。</w:t>
      </w:r>
    </w:p>
    <w:p>
      <w:pPr>
        <w:rPr>
          <w:color w:val="0070C0"/>
        </w:rPr>
      </w:pPr>
      <w:r>
        <w:rPr>
          <w:rFonts w:hint="eastAsia"/>
          <w:color w:val="0070C0"/>
        </w:rPr>
        <w:t>是什么原因造成上述差距呢？通过分析可以发现，在</w:t>
      </w:r>
      <w:r>
        <w:rPr>
          <w:color w:val="0070C0"/>
        </w:rPr>
        <w:t>IS-LM模型中，政府投资增加前后该社会的利率水平是不同的，它们分别为r=115（可视作11.5%），r′=122.5（可视作12.25%），即政府增加投资后利率水平上升了0.75个百分点。而一般的社会投资（私人投资）与利率水平成反比，利率水平的上升将抑制或排挤了原有的社会投资，从而部分抵消了政府投资的产出效应。</w:t>
      </w:r>
    </w:p>
    <w:p>
      <w:pPr>
        <w:rPr>
          <w:rFonts w:hint="eastAsia"/>
          <w:color w:val="0070C0"/>
        </w:rPr>
      </w:pPr>
      <w:r>
        <w:rPr>
          <w:rFonts w:hint="eastAsia"/>
          <w:color w:val="0070C0"/>
        </w:rPr>
        <w:t>如果假设利率水平不发生变化，即</w:t>
      </w:r>
      <w:r>
        <w:rPr>
          <w:color w:val="0070C0"/>
        </w:rPr>
        <w:t>r=115，代入r′=310-0.02Y得Y′=9750，即政府投资增加后总产出水平可上升至9750亿，与9250亿相比，增加500个亿。这一结果与不考虑利率水平的乘数效应完全一致。</w:t>
      </w:r>
    </w:p>
    <w:p>
      <w:pPr>
        <w:rPr>
          <w:color w:val="0070C0"/>
        </w:rPr>
      </w:pPr>
      <w:r>
        <w:rPr>
          <w:rFonts w:hint="eastAsia"/>
          <w:color w:val="0070C0"/>
        </w:rPr>
        <w:t>如图所示：</w:t>
      </w:r>
    </w:p>
    <w:p>
      <w:r>
        <w:drawing>
          <wp:inline distT="0" distB="0" distL="0" distR="0">
            <wp:extent cx="2533650" cy="17240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533650" cy="1724025"/>
                    </a:xfrm>
                    <a:prstGeom prst="rect">
                      <a:avLst/>
                    </a:prstGeom>
                  </pic:spPr>
                </pic:pic>
              </a:graphicData>
            </a:graphic>
          </wp:inline>
        </w:drawing>
      </w:r>
    </w:p>
    <w:p>
      <w:r>
        <w:rPr>
          <w:rFonts w:hint="eastAsia"/>
        </w:rPr>
        <w:t>④</w:t>
      </w:r>
      <w:r>
        <w:t>LM曲线斜率对财政政策效应的影响</w:t>
      </w:r>
      <w:r>
        <w:rPr>
          <w:rFonts w:hint="eastAsia"/>
        </w:rPr>
        <w:t>：</w:t>
      </w:r>
    </w:p>
    <w:p>
      <w:r>
        <w:rPr>
          <w:rFonts w:hint="eastAsia"/>
        </w:rPr>
        <w:t>I</w:t>
      </w:r>
      <w:r>
        <w:t>. LM曲线的斜率越小，财政政策效果越明显（产出效应越大，挤出效应越小）</w:t>
      </w:r>
      <w:r>
        <w:rPr>
          <w:rFonts w:hint="eastAsia"/>
        </w:rPr>
        <w:t>。</w:t>
      </w:r>
    </w:p>
    <w:p>
      <w:r>
        <w:t>II. LM曲线的斜率越大，财政政策效果越不明显（产出效应越小，挤出效应越大）。</w:t>
      </w:r>
    </w:p>
    <w:p>
      <w:pPr>
        <w:rPr>
          <w:color w:val="00B050"/>
        </w:rPr>
      </w:pPr>
      <w:r>
        <w:rPr>
          <w:rFonts w:hint="eastAsia"/>
          <w:color w:val="00B050"/>
        </w:rPr>
        <w:t>#记忆方法：对财政政策和货币政策，自己的斜率越大越好（越有用），对方的斜率越小越好（越有用）</w:t>
      </w:r>
    </w:p>
    <w:p>
      <w:pPr>
        <w:rPr>
          <w:color w:val="0070C0"/>
        </w:rPr>
      </w:pPr>
      <w:r>
        <w:rPr>
          <w:rFonts w:hint="eastAsia"/>
          <w:color w:val="0070C0"/>
        </w:rPr>
        <w:t>图示：</w:t>
      </w:r>
    </w:p>
    <w:p>
      <w:r>
        <w:drawing>
          <wp:inline distT="0" distB="0" distL="0" distR="0">
            <wp:extent cx="3023235" cy="1935480"/>
            <wp:effectExtent l="0" t="0" r="571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3033864" cy="1942587"/>
                    </a:xfrm>
                    <a:prstGeom prst="rect">
                      <a:avLst/>
                    </a:prstGeom>
                  </pic:spPr>
                </pic:pic>
              </a:graphicData>
            </a:graphic>
          </wp:inline>
        </w:drawing>
      </w:r>
    </w:p>
    <w:p>
      <w:r>
        <w:rPr>
          <w:rFonts w:hint="eastAsia"/>
        </w:rPr>
        <w:t>⑤</w:t>
      </w:r>
      <w:r>
        <w:t>IS曲线斜率对财政政策效应的影响</w:t>
      </w:r>
      <w:r>
        <w:rPr>
          <w:rFonts w:hint="eastAsia"/>
        </w:rPr>
        <w:t>：</w:t>
      </w:r>
    </w:p>
    <w:p>
      <w:r>
        <w:t>I.IS曲线的斜率越小，财政政策效果越不明显（产出效应越小，挤出效应越大）</w:t>
      </w:r>
    </w:p>
    <w:p>
      <w:r>
        <w:t>II. IS曲线的斜率越大，财政政策效果越明显（产出效应越大，挤出效应越小）</w:t>
      </w:r>
    </w:p>
    <w:p>
      <w:pPr>
        <w:rPr>
          <w:color w:val="0070C0"/>
        </w:rPr>
      </w:pPr>
      <w:r>
        <w:rPr>
          <w:rFonts w:hint="eastAsia"/>
          <w:color w:val="0070C0"/>
        </w:rPr>
        <w:t>图示：</w:t>
      </w:r>
    </w:p>
    <w:p>
      <w:r>
        <w:drawing>
          <wp:inline distT="0" distB="0" distL="0" distR="0">
            <wp:extent cx="2998470" cy="17983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
                    <a:stretch>
                      <a:fillRect/>
                    </a:stretch>
                  </pic:blipFill>
                  <pic:spPr>
                    <a:xfrm>
                      <a:off x="0" y="0"/>
                      <a:ext cx="3004333" cy="1801470"/>
                    </a:xfrm>
                    <a:prstGeom prst="rect">
                      <a:avLst/>
                    </a:prstGeom>
                  </pic:spPr>
                </pic:pic>
              </a:graphicData>
            </a:graphic>
          </wp:inline>
        </w:drawing>
      </w:r>
    </w:p>
    <w:p>
      <w:pPr>
        <w:rPr>
          <w:color w:val="00B050"/>
        </w:rPr>
      </w:pPr>
      <w:r>
        <w:rPr>
          <w:rFonts w:hint="eastAsia"/>
          <w:color w:val="00B050"/>
        </w:rPr>
        <w:t>#绿色的线挤出效应小，但是r增长的多，是因为</w:t>
      </w:r>
      <w:r>
        <w:rPr>
          <w:color w:val="00B050"/>
        </w:rPr>
        <w:t>IS</w:t>
      </w:r>
      <w:r>
        <w:rPr>
          <w:rFonts w:hint="eastAsia"/>
          <w:color w:val="00B050"/>
        </w:rPr>
        <w:t>曲线导出的投资系数d较小。</w:t>
      </w:r>
    </w:p>
    <w:p/>
    <w:p>
      <w:pPr>
        <w:rPr>
          <w:b/>
          <w:bCs/>
        </w:rPr>
      </w:pPr>
      <w:r>
        <w:rPr>
          <w:rFonts w:hint="eastAsia"/>
          <w:b/>
          <w:bCs/>
        </w:rPr>
        <w:t>三、货币政策</w:t>
      </w:r>
    </w:p>
    <w:p>
      <w:r>
        <w:rPr>
          <w:rFonts w:hint="eastAsia"/>
        </w:rPr>
        <w:t>1. 货币政策工具：</w:t>
      </w:r>
    </w:p>
    <w:p>
      <w:r>
        <w:rPr>
          <w:rFonts w:hint="eastAsia"/>
        </w:rPr>
        <w:t>公开市场业务、法定准备金率、利率与再贴现率被称为中央银行的“三大法宝”。</w:t>
      </w:r>
    </w:p>
    <w:p>
      <w:r>
        <w:rPr>
          <w:rFonts w:hint="eastAsia"/>
        </w:rPr>
        <w:t>①公开市场业务：央行通过公开市场（公债、外汇等）吞吐基础货币的业务。</w:t>
      </w:r>
    </w:p>
    <w:p>
      <w:r>
        <w:rPr>
          <w:rFonts w:hint="eastAsia"/>
        </w:rPr>
        <w:t>I</w:t>
      </w:r>
      <w:r>
        <w:t>.</w:t>
      </w:r>
      <w:r>
        <w:rPr>
          <w:rFonts w:hint="eastAsia"/>
        </w:rPr>
        <w:t>主动使用：改变准备金水平和基础货币。</w:t>
      </w:r>
    </w:p>
    <w:p>
      <w:r>
        <w:rPr>
          <w:rFonts w:hint="eastAsia"/>
        </w:rPr>
        <w:t>I</w:t>
      </w:r>
      <w:r>
        <w:t>I.</w:t>
      </w:r>
      <w:r>
        <w:rPr>
          <w:rFonts w:hint="eastAsia"/>
        </w:rPr>
        <w:t>被动使用：抵消影响基础货币的其他因素的变动带来影响。</w:t>
      </w:r>
    </w:p>
    <w:p>
      <w:pPr>
        <w:rPr>
          <w:color w:val="00B050"/>
        </w:rPr>
      </w:pPr>
      <w:r>
        <w:rPr>
          <w:rFonts w:hint="eastAsia"/>
          <w:color w:val="00B050"/>
        </w:rPr>
        <w:t>#公开市场业务包括</w:t>
      </w:r>
      <w:r>
        <w:rPr>
          <w:color w:val="00B050"/>
        </w:rPr>
        <w:t>SLF</w:t>
      </w:r>
      <w:r>
        <w:rPr>
          <w:rFonts w:hint="eastAsia"/>
          <w:color w:val="00B050"/>
        </w:rPr>
        <w:t>（常备借贷便利、酸辣粉）【增加市场流动性】、</w:t>
      </w:r>
      <w:r>
        <w:rPr>
          <w:color w:val="00B050"/>
        </w:rPr>
        <w:t>MLF</w:t>
      </w:r>
      <w:r>
        <w:rPr>
          <w:rFonts w:hint="eastAsia"/>
          <w:color w:val="00B050"/>
        </w:rPr>
        <w:t>（中期借贷便利、麻辣粉）【增加市场流动性】、T</w:t>
      </w:r>
      <w:r>
        <w:rPr>
          <w:color w:val="00B050"/>
        </w:rPr>
        <w:t>LF</w:t>
      </w:r>
      <w:r>
        <w:rPr>
          <w:rFonts w:hint="eastAsia"/>
          <w:color w:val="00B050"/>
        </w:rPr>
        <w:t>（特辣粉）、逆回购【增加市场流动性】、回购业务【减少市场流动性】等</w:t>
      </w:r>
    </w:p>
    <w:p>
      <w:r>
        <w:rPr>
          <w:rFonts w:hint="eastAsia"/>
        </w:rPr>
        <w:t>②法定准备金率（效用非常剧烈）</w:t>
      </w:r>
    </w:p>
    <w:p>
      <w:r>
        <w:rPr>
          <w:rFonts w:hint="eastAsia"/>
        </w:rPr>
        <w:t>③利率与再贴现率</w:t>
      </w:r>
    </w:p>
    <w:p>
      <w:pPr>
        <w:rPr>
          <w:color w:val="00B050"/>
        </w:rPr>
      </w:pPr>
      <w:r>
        <w:rPr>
          <w:rFonts w:hint="eastAsia"/>
          <w:color w:val="00B050"/>
        </w:rPr>
        <w:t>#这里的利率指</w:t>
      </w:r>
      <w:r>
        <w:rPr>
          <w:rFonts w:hint="eastAsia"/>
          <w:color w:val="FF0000"/>
        </w:rPr>
        <w:t>再贷款</w:t>
      </w:r>
      <w:r>
        <w:rPr>
          <w:rFonts w:hint="eastAsia"/>
          <w:color w:val="00B050"/>
        </w:rPr>
        <w:t>的利率。</w:t>
      </w:r>
    </w:p>
    <w:p>
      <w:pPr>
        <w:rPr>
          <w:color w:val="00B050"/>
        </w:rPr>
      </w:pPr>
      <w:r>
        <w:rPr>
          <w:rFonts w:hint="eastAsia"/>
          <w:color w:val="00B050"/>
        </w:rPr>
        <w:t>#再贷款：商业银行找央行贷款的利率。</w:t>
      </w:r>
    </w:p>
    <w:p>
      <w:pPr>
        <w:rPr>
          <w:color w:val="00B050"/>
        </w:rPr>
      </w:pPr>
      <w:r>
        <w:rPr>
          <w:rFonts w:hint="eastAsia"/>
          <w:color w:val="00B050"/>
        </w:rPr>
        <w:t>#贴现：用他企业的票据到银行换取资金的业务。</w:t>
      </w:r>
    </w:p>
    <w:p>
      <w:pPr>
        <w:rPr>
          <w:color w:val="00B050"/>
        </w:rPr>
      </w:pPr>
      <w:r>
        <w:rPr>
          <w:rFonts w:hint="eastAsia"/>
          <w:color w:val="00B050"/>
        </w:rPr>
        <w:t>#再贴现：银行用他企业的票据到央行换取资金的业务。</w:t>
      </w:r>
    </w:p>
    <w:p>
      <w:r>
        <w:rPr>
          <w:rFonts w:hint="eastAsia"/>
        </w:rPr>
        <w:t>④辅助性措施：如</w:t>
      </w:r>
      <w:r>
        <w:t>信用控制</w:t>
      </w:r>
      <w:r>
        <w:rPr>
          <w:rFonts w:hint="eastAsia"/>
        </w:rPr>
        <w:t>：</w:t>
      </w:r>
      <w:r>
        <w:t>道义劝告和窗口指导</w:t>
      </w:r>
      <w:r>
        <w:rPr>
          <w:rFonts w:hint="eastAsia"/>
        </w:rPr>
        <w:t>。</w:t>
      </w:r>
    </w:p>
    <w:p>
      <w:r>
        <w:rPr>
          <w:rFonts w:hint="eastAsia"/>
        </w:rPr>
        <w:t>2. 货币政策效应：</w:t>
      </w:r>
    </w:p>
    <w:p>
      <w:r>
        <w:rPr>
          <w:rFonts w:hint="eastAsia"/>
        </w:rPr>
        <w:t>①决定因素：货币政策效应的大小取决于</w:t>
      </w:r>
      <w:r>
        <w:t>IS曲线和LM曲线的斜率</w:t>
      </w:r>
      <w:r>
        <w:rPr>
          <w:rFonts w:hint="eastAsia"/>
        </w:rPr>
        <w:t>。</w:t>
      </w:r>
    </w:p>
    <w:p>
      <w:r>
        <w:rPr>
          <w:rFonts w:hint="eastAsia"/>
        </w:rPr>
        <w:t>②反映：货币政策的扩张性或者收缩性的变动可以反映在</w:t>
      </w:r>
      <w:r>
        <w:t>LM曲线的移动上。</w:t>
      </w:r>
    </w:p>
    <w:p>
      <w:r>
        <w:rPr>
          <w:rFonts w:hint="eastAsia"/>
        </w:rPr>
        <w:t>③货币政策的产出效应：</w:t>
      </w:r>
      <w:r>
        <w:t>货币政策工具引起一个国家总产出水平或总收入水平的变化，也可称货币政策的收入效应。</w:t>
      </w:r>
    </w:p>
    <w:p>
      <w:r>
        <w:rPr>
          <w:rFonts w:hint="eastAsia"/>
        </w:rPr>
        <w:t>④货币政策的挤出效应：</w:t>
      </w:r>
      <w:r>
        <w:t>由于政府增加货币供应（包括增加基础货币，降低准备金率、再贴现率和再贷款利率），致使</w:t>
      </w:r>
      <w:r>
        <w:rPr>
          <w:rFonts w:hint="eastAsia"/>
        </w:rPr>
        <w:t>（货币市场的）</w:t>
      </w:r>
      <w:r>
        <w:t>利率水平下降，从而使一部分资金流向投机市场的现象。</w:t>
      </w:r>
    </w:p>
    <w:p>
      <w:pPr>
        <w:rPr>
          <w:color w:val="0070C0"/>
        </w:rPr>
      </w:pPr>
      <w:r>
        <w:rPr>
          <w:rFonts w:hint="eastAsia"/>
          <w:color w:val="0070C0"/>
        </w:rPr>
        <w:t>举例：</w:t>
      </w:r>
    </w:p>
    <w:p>
      <w:pPr>
        <w:rPr>
          <w:color w:val="0070C0"/>
        </w:rPr>
      </w:pPr>
      <w:r>
        <w:rPr>
          <w:rFonts w:hint="eastAsia"/>
          <w:color w:val="0070C0"/>
        </w:rPr>
        <w:t>设</w:t>
      </w:r>
      <w:r>
        <w:rPr>
          <w:color w:val="0070C0"/>
        </w:rPr>
        <w:t>C=1000+0.8Y，I=2000-10r，L=0.3Y-5r，M=2200；若货币供应增加100亿，计算该政策的产出效应和挤出效应。</w:t>
      </w:r>
    </w:p>
    <w:p>
      <w:pPr>
        <w:rPr>
          <w:color w:val="0070C0"/>
        </w:rPr>
      </w:pPr>
      <w:r>
        <w:rPr>
          <w:color w:val="0070C0"/>
        </w:rPr>
        <w:t xml:space="preserve">    解：货币供应增加前后的LM曲线方程分别为： r=-440+0.06Y，r′=-460+0.06Y；IS曲线方程为：r=300-0.02Y；分别解货币供应增加前后的IS-LM模型，有Y = 9250，Y′= 9500，ΔY = 9500 - 9250 = 250，即政府货币扩张政策的产出效应为250亿。</w:t>
      </w:r>
    </w:p>
    <w:p>
      <w:pPr>
        <w:rPr>
          <w:color w:val="0070C0"/>
        </w:rPr>
      </w:pPr>
      <w:r>
        <w:rPr>
          <w:color w:val="0070C0"/>
        </w:rPr>
        <w:t xml:space="preserve">    但由于货币供应增加前后的利率水平是不同的，它们分别为r = 115（可视作11.5%），r′= 110（可视作11.0%）；也就是说，在政府增加货币供应后利率水平下降了0.5个百分点，从而使一部分货币资金流入了投机市场，抑制或排挤了生产性的社会投资，部分抵消了政府货币政策的产出效应。</w:t>
      </w:r>
    </w:p>
    <w:p>
      <w:pPr>
        <w:rPr>
          <w:rFonts w:hint="eastAsia"/>
          <w:color w:val="0070C0"/>
        </w:rPr>
      </w:pPr>
      <w:r>
        <w:rPr>
          <w:color w:val="0070C0"/>
        </w:rPr>
        <w:t xml:space="preserve">    </w:t>
      </w:r>
      <w:r>
        <w:rPr>
          <w:color w:val="0070C0"/>
        </w:rPr>
        <w:t>如果利率水平不发生变化，仍维持11.5%的水平，政府增加货币供应100个亿，可使总产出水平由原来的9250亿扩张至9583.3亿的水平（将r = 115代入r′= -460 + 0.06Y求得），产出效应为333.3亿</w:t>
      </w:r>
      <w:r>
        <w:rPr>
          <w:rFonts w:hint="eastAsia"/>
          <w:color w:val="0070C0"/>
        </w:rPr>
        <w:t>。如图所示</w:t>
      </w:r>
    </w:p>
    <w:p>
      <w:r>
        <w:drawing>
          <wp:inline distT="0" distB="0" distL="0" distR="0">
            <wp:extent cx="3324225" cy="20955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a:stretch>
                      <a:fillRect/>
                    </a:stretch>
                  </pic:blipFill>
                  <pic:spPr>
                    <a:xfrm>
                      <a:off x="0" y="0"/>
                      <a:ext cx="3324225" cy="2095500"/>
                    </a:xfrm>
                    <a:prstGeom prst="rect">
                      <a:avLst/>
                    </a:prstGeom>
                  </pic:spPr>
                </pic:pic>
              </a:graphicData>
            </a:graphic>
          </wp:inline>
        </w:drawing>
      </w:r>
    </w:p>
    <w:p>
      <w:r>
        <w:rPr>
          <w:rFonts w:hint="eastAsia"/>
        </w:rPr>
        <w:t>⑤</w:t>
      </w:r>
      <w:r>
        <w:t>IS曲线斜率对货币政策效应的影响</w:t>
      </w:r>
      <w:r>
        <w:rPr>
          <w:rFonts w:hint="eastAsia"/>
        </w:rPr>
        <w:t>：</w:t>
      </w:r>
    </w:p>
    <w:p>
      <w:r>
        <w:t>I.IS曲线的斜率越小，货币政策效果越明显（产出效应越大，挤出效应越小）</w:t>
      </w:r>
      <w:r>
        <w:br w:type="textWrapping"/>
      </w:r>
      <w:r>
        <w:t>II.IS曲线的斜率越大，货币政策效果越不明显（产出效应越小，挤出效应越大）。</w:t>
      </w:r>
    </w:p>
    <w:p>
      <w:r>
        <w:rPr>
          <w:rFonts w:hint="eastAsia"/>
          <w:color w:val="0070C0"/>
        </w:rPr>
        <w:t>图示：</w:t>
      </w:r>
      <w:r>
        <w:br w:type="textWrapping"/>
      </w:r>
      <w:r>
        <w:drawing>
          <wp:inline distT="0" distB="0" distL="0" distR="0">
            <wp:extent cx="3748405" cy="2133600"/>
            <wp:effectExtent l="0" t="0" r="444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
                    <a:stretch>
                      <a:fillRect/>
                    </a:stretch>
                  </pic:blipFill>
                  <pic:spPr>
                    <a:xfrm>
                      <a:off x="0" y="0"/>
                      <a:ext cx="3765939" cy="2143221"/>
                    </a:xfrm>
                    <a:prstGeom prst="rect">
                      <a:avLst/>
                    </a:prstGeom>
                  </pic:spPr>
                </pic:pic>
              </a:graphicData>
            </a:graphic>
          </wp:inline>
        </w:drawing>
      </w:r>
    </w:p>
    <w:p>
      <w:r>
        <w:rPr>
          <w:rFonts w:hint="eastAsia"/>
        </w:rPr>
        <w:t>⑥</w:t>
      </w:r>
      <w:r>
        <w:t>LM曲线斜率对货币政策效应的影响</w:t>
      </w:r>
      <w:r>
        <w:rPr>
          <w:rFonts w:hint="eastAsia"/>
        </w:rPr>
        <w:t>：</w:t>
      </w:r>
    </w:p>
    <w:p>
      <w:r>
        <w:t>I.LM曲线的斜率越小，货币政策效果越不明显（产出效应越小，挤出效应越大） ；</w:t>
      </w:r>
      <w:r>
        <w:br w:type="textWrapping"/>
      </w:r>
      <w:r>
        <w:t>II.LM曲线的斜率越大，货币政策效果越明显（产出效应越大，挤出效应越小） 。</w:t>
      </w:r>
    </w:p>
    <w:p>
      <w:pPr>
        <w:rPr>
          <w:color w:val="0070C0"/>
        </w:rPr>
      </w:pPr>
      <w:r>
        <w:rPr>
          <w:rFonts w:hint="eastAsia"/>
          <w:color w:val="0070C0"/>
        </w:rPr>
        <w:t>如图所示：</w:t>
      </w:r>
    </w:p>
    <w:p>
      <w:r>
        <w:drawing>
          <wp:inline distT="0" distB="0" distL="0" distR="0">
            <wp:extent cx="4131310" cy="260604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4139553" cy="2611517"/>
                    </a:xfrm>
                    <a:prstGeom prst="rect">
                      <a:avLst/>
                    </a:prstGeom>
                  </pic:spPr>
                </pic:pic>
              </a:graphicData>
            </a:graphic>
          </wp:inline>
        </w:drawing>
      </w:r>
    </w:p>
    <w:p>
      <w:r>
        <w:rPr>
          <w:rFonts w:hint="eastAsia"/>
        </w:rPr>
        <w:t>⑦小结：</w:t>
      </w:r>
    </w:p>
    <w:p>
      <w:r>
        <w:rPr>
          <w:rFonts w:hint="eastAsia"/>
        </w:rPr>
        <w:t>I</w:t>
      </w:r>
      <w:r>
        <w:t>.</w:t>
      </w:r>
      <w:r>
        <w:rPr>
          <w:rFonts w:hint="eastAsia"/>
        </w:rPr>
        <w:t>财政政策的调控效应与</w:t>
      </w:r>
      <w:r>
        <w:t>LM曲线的斜率成反比，与IS曲线的斜率成正比；</w:t>
      </w:r>
    </w:p>
    <w:p>
      <w:r>
        <w:rPr>
          <w:rFonts w:hint="eastAsia"/>
        </w:rPr>
        <w:t>I</w:t>
      </w:r>
      <w:r>
        <w:t>I.</w:t>
      </w:r>
      <w:r>
        <w:rPr>
          <w:rFonts w:hint="eastAsia"/>
        </w:rPr>
        <w:t>特别地，当</w:t>
      </w:r>
      <w:r>
        <w:t>LM曲线为水平线、IS曲线为垂直线时，财政政策的产出效应最大，挤出效应为零；当LM曲线为垂直线、IS曲线为水平线时，财政政策的产出效应为零，挤出效应最大。</w:t>
      </w:r>
    </w:p>
    <w:p>
      <w:r>
        <w:rPr>
          <w:rFonts w:hint="eastAsia"/>
        </w:rPr>
        <w:t>I</w:t>
      </w:r>
      <w:r>
        <w:t>II.</w:t>
      </w:r>
      <w:r>
        <w:rPr>
          <w:rFonts w:hint="eastAsia"/>
        </w:rPr>
        <w:t>货币政策的调控效应与</w:t>
      </w:r>
      <w:r>
        <w:t>LM曲线的斜率成正比，与IS曲线的斜率成反比；</w:t>
      </w:r>
    </w:p>
    <w:p>
      <w:r>
        <w:rPr>
          <w:rFonts w:hint="eastAsia"/>
        </w:rPr>
        <w:t>I</w:t>
      </w:r>
      <w:r>
        <w:t>V.</w:t>
      </w:r>
      <w:r>
        <w:rPr>
          <w:rFonts w:hint="eastAsia"/>
        </w:rPr>
        <w:t>特别地，当</w:t>
      </w:r>
      <w:r>
        <w:t>LM曲线为水平线、IS曲线为垂直线时，货币政策的产出效应为零，挤出效应最大；当LM曲线为垂直线、IS曲线为水平线时，货币政策的产出效应最大，挤出效应为零。</w:t>
      </w:r>
    </w:p>
    <w:p>
      <w:pPr>
        <w:rPr>
          <w:color w:val="0070C0"/>
        </w:rPr>
      </w:pPr>
      <w:r>
        <w:rPr>
          <w:rFonts w:hint="eastAsia"/>
          <w:color w:val="0070C0"/>
        </w:rPr>
        <w:t>图示：</w:t>
      </w:r>
    </w:p>
    <w:p>
      <w:pPr>
        <w:rPr>
          <w:color w:val="0070C0"/>
        </w:rPr>
      </w:pPr>
      <w:r>
        <w:rPr>
          <w:color w:val="0070C0"/>
        </w:rPr>
        <w:t>A:凯恩斯主义区域</w:t>
      </w:r>
      <w:r>
        <w:rPr>
          <w:rFonts w:hint="eastAsia"/>
          <w:color w:val="0070C0"/>
        </w:rPr>
        <w:t>：</w:t>
      </w:r>
    </w:p>
    <w:p>
      <w:pPr>
        <w:rPr>
          <w:color w:val="0070C0"/>
        </w:rPr>
      </w:pPr>
      <w:r>
        <w:rPr>
          <w:color w:val="0070C0"/>
        </w:rPr>
        <w:t>财政政策有效</w:t>
      </w:r>
    </w:p>
    <w:p>
      <w:pPr>
        <w:rPr>
          <w:color w:val="0070C0"/>
        </w:rPr>
      </w:pPr>
      <w:r>
        <w:rPr>
          <w:color w:val="0070C0"/>
        </w:rPr>
        <w:t>货币政策无效</w:t>
      </w:r>
    </w:p>
    <w:p>
      <w:pPr>
        <w:rPr>
          <w:color w:val="0070C0"/>
        </w:rPr>
      </w:pPr>
      <w:r>
        <w:rPr>
          <w:color w:val="0070C0"/>
        </w:rPr>
        <w:t>B:中间区域</w:t>
      </w:r>
      <w:r>
        <w:rPr>
          <w:rFonts w:hint="eastAsia"/>
          <w:color w:val="0070C0"/>
        </w:rPr>
        <w:t>：</w:t>
      </w:r>
    </w:p>
    <w:p>
      <w:pPr>
        <w:rPr>
          <w:color w:val="0070C0"/>
        </w:rPr>
      </w:pPr>
      <w:r>
        <w:rPr>
          <w:color w:val="0070C0"/>
        </w:rPr>
        <w:t>财政政策有效</w:t>
      </w:r>
    </w:p>
    <w:p>
      <w:pPr>
        <w:rPr>
          <w:color w:val="0070C0"/>
        </w:rPr>
      </w:pPr>
      <w:r>
        <w:rPr>
          <w:color w:val="0070C0"/>
        </w:rPr>
        <w:t>货币政策有效</w:t>
      </w:r>
    </w:p>
    <w:p>
      <w:pPr>
        <w:rPr>
          <w:color w:val="0070C0"/>
        </w:rPr>
      </w:pPr>
      <w:r>
        <w:rPr>
          <w:color w:val="0070C0"/>
        </w:rPr>
        <w:t>C:货币主义区域</w:t>
      </w:r>
      <w:r>
        <w:rPr>
          <w:rFonts w:hint="eastAsia"/>
          <w:color w:val="0070C0"/>
        </w:rPr>
        <w:t>（古典区域）：</w:t>
      </w:r>
    </w:p>
    <w:p>
      <w:pPr>
        <w:rPr>
          <w:color w:val="0070C0"/>
        </w:rPr>
      </w:pPr>
      <w:r>
        <w:rPr>
          <w:color w:val="0070C0"/>
        </w:rPr>
        <w:t>货币政策有效</w:t>
      </w:r>
    </w:p>
    <w:p>
      <w:pPr>
        <w:rPr>
          <w:color w:val="0070C0"/>
        </w:rPr>
      </w:pPr>
      <w:r>
        <w:rPr>
          <w:color w:val="0070C0"/>
        </w:rPr>
        <w:t>财政政策无效</w:t>
      </w:r>
    </w:p>
    <w:p>
      <w:r>
        <w:drawing>
          <wp:inline distT="0" distB="0" distL="0" distR="0">
            <wp:extent cx="4533900" cy="32861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0"/>
                    <a:stretch>
                      <a:fillRect/>
                    </a:stretch>
                  </pic:blipFill>
                  <pic:spPr>
                    <a:xfrm>
                      <a:off x="0" y="0"/>
                      <a:ext cx="4533900" cy="3286125"/>
                    </a:xfrm>
                    <a:prstGeom prst="rect">
                      <a:avLst/>
                    </a:prstGeom>
                  </pic:spPr>
                </pic:pic>
              </a:graphicData>
            </a:graphic>
          </wp:inline>
        </w:drawing>
      </w:r>
    </w:p>
    <w:p>
      <w:pPr>
        <w:rPr>
          <w:color w:val="00B050"/>
        </w:rPr>
      </w:pPr>
      <w:r>
        <w:rPr>
          <w:rFonts w:hint="eastAsia"/>
          <w:color w:val="00B050"/>
        </w:rPr>
        <w:t>#</w:t>
      </w:r>
      <w:r>
        <w:rPr>
          <w:color w:val="00B050"/>
        </w:rPr>
        <w:t>LM</w:t>
      </w:r>
      <w:r>
        <w:rPr>
          <w:rFonts w:hint="eastAsia"/>
          <w:color w:val="00B050"/>
        </w:rPr>
        <w:t>曲线由于流动性陷阱，因此水平段的高度不会发生变动。</w:t>
      </w:r>
    </w:p>
    <w:p>
      <w:r>
        <w:rPr>
          <w:rFonts w:hint="eastAsia"/>
        </w:rPr>
        <w:t>8. “相机抉择”和“规则”之争：</w:t>
      </w:r>
    </w:p>
    <w:p>
      <w:r>
        <w:rPr>
          <w:rFonts w:hint="eastAsia"/>
        </w:rPr>
        <w:t>①矛盾：“相机抉择”和“单一货币规则”之间的矛盾。</w:t>
      </w:r>
    </w:p>
    <w:p>
      <w:r>
        <w:rPr>
          <w:rFonts w:hint="eastAsia"/>
        </w:rPr>
        <w:t>②弗里德曼的观点：按照事先制定好的、有固定规则的政策实施调控，</w:t>
      </w:r>
      <w:r>
        <w:t xml:space="preserve"> 如固定货币增长率。</w:t>
      </w:r>
    </w:p>
    <w:p>
      <w:r>
        <w:rPr>
          <w:rFonts w:hint="eastAsia"/>
        </w:rPr>
        <w:t>③泰勒规则：按短期利率调整。</w:t>
      </w:r>
    </w:p>
    <w:p>
      <w:r>
        <w:rPr>
          <w:rFonts w:hint="eastAsia"/>
        </w:rPr>
        <w:t>④泰勒规则公式：</w:t>
      </w:r>
      <w:r>
        <w:rPr>
          <w:rFonts w:hint="eastAsia"/>
          <w:highlight w:val="yellow"/>
        </w:rPr>
        <w:t xml:space="preserve"> </w:t>
      </w:r>
      <w:r>
        <w:rPr>
          <w:highlight w:val="yellow"/>
        </w:rPr>
        <w:drawing>
          <wp:inline distT="0" distB="0" distL="0" distR="0">
            <wp:extent cx="3978910" cy="426720"/>
            <wp:effectExtent l="0" t="0" r="2540" b="0"/>
            <wp:docPr id="317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8"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139383" cy="444538"/>
                    </a:xfrm>
                    <a:prstGeom prst="rect">
                      <a:avLst/>
                    </a:prstGeom>
                    <a:noFill/>
                    <a:ln>
                      <a:noFill/>
                    </a:ln>
                  </pic:spPr>
                </pic:pic>
              </a:graphicData>
            </a:graphic>
          </wp:inline>
        </w:drawing>
      </w:r>
    </w:p>
    <w:p>
      <w:pPr>
        <w:rPr>
          <w:b/>
          <w:bCs/>
          <w:sz w:val="28"/>
          <w:szCs w:val="28"/>
        </w:rPr>
      </w:pPr>
    </w:p>
    <w:p>
      <w:pPr>
        <w:rPr>
          <w:b/>
          <w:bCs/>
          <w:sz w:val="28"/>
          <w:szCs w:val="28"/>
        </w:rPr>
      </w:pPr>
      <w:r>
        <w:rPr>
          <w:rFonts w:hint="eastAsia"/>
          <w:b/>
          <w:bCs/>
          <w:sz w:val="28"/>
          <w:szCs w:val="28"/>
        </w:rPr>
        <w:t>第二节</w:t>
      </w:r>
      <w:r>
        <w:rPr>
          <w:b/>
          <w:bCs/>
          <w:sz w:val="28"/>
          <w:szCs w:val="28"/>
        </w:rPr>
        <w:t xml:space="preserve"> </w:t>
      </w:r>
      <w:r>
        <w:rPr>
          <w:rFonts w:hint="eastAsia"/>
          <w:b/>
          <w:bCs/>
          <w:sz w:val="28"/>
          <w:szCs w:val="28"/>
        </w:rPr>
        <w:t>经济政策的局限性和供给管理政策</w:t>
      </w:r>
    </w:p>
    <w:p>
      <w:pPr>
        <w:rPr>
          <w:b/>
          <w:bCs/>
        </w:rPr>
      </w:pPr>
      <w:r>
        <w:rPr>
          <w:rFonts w:hint="eastAsia"/>
          <w:b/>
          <w:bCs/>
        </w:rPr>
        <w:t>一、财政政策和货币政策的局限性和协调</w:t>
      </w:r>
    </w:p>
    <w:p>
      <w:r>
        <w:t xml:space="preserve">1. </w:t>
      </w:r>
      <w:r>
        <w:rPr>
          <w:rFonts w:hint="eastAsia"/>
        </w:rPr>
        <w:t>财政政策的时滞：</w:t>
      </w:r>
    </w:p>
    <w:p>
      <w:r>
        <w:rPr>
          <w:rFonts w:hint="eastAsia"/>
        </w:rPr>
        <w:t>①识别时滞：判断经济形势的时间。</w:t>
      </w:r>
    </w:p>
    <w:p>
      <w:r>
        <w:rPr>
          <w:rFonts w:hint="eastAsia"/>
        </w:rPr>
        <w:t>②决策时滞：实施政策的时间。</w:t>
      </w:r>
    </w:p>
    <w:p>
      <w:r>
        <w:rPr>
          <w:rFonts w:hint="eastAsia"/>
        </w:rPr>
        <w:t>③实施时滞：政策发挥作用的时间。</w:t>
      </w:r>
    </w:p>
    <w:p>
      <w:r>
        <w:t>2.财政政策时滞的原因：</w:t>
      </w:r>
    </w:p>
    <w:p>
      <w:r>
        <w:rPr>
          <w:rFonts w:hint="eastAsia"/>
        </w:rPr>
        <w:t>①一项扩张性的财政政策，要经过以下过程才会对宏观经济产生促进作用：</w:t>
      </w:r>
    </w:p>
    <w:p>
      <w:r>
        <w:rPr>
          <w:rFonts w:hint="eastAsia"/>
        </w:rPr>
        <w:t>政府采购→</w:t>
      </w:r>
      <w:r>
        <w:t>企业库存减少</w:t>
      </w:r>
      <w:r>
        <w:rPr>
          <w:rFonts w:hint="eastAsia"/>
        </w:rPr>
        <w:t>→</w:t>
      </w:r>
      <w:r>
        <w:t>企业扩大生产</w:t>
      </w:r>
      <w:r>
        <w:rPr>
          <w:rFonts w:hint="eastAsia"/>
        </w:rPr>
        <w:t>→</w:t>
      </w:r>
      <w:r>
        <w:t>工人增加收入</w:t>
      </w:r>
      <w:r>
        <w:rPr>
          <w:rFonts w:hint="eastAsia"/>
        </w:rPr>
        <w:t>→</w:t>
      </w:r>
      <w:r>
        <w:t>社会总需求扩大</w:t>
      </w:r>
      <w:r>
        <w:rPr>
          <w:rFonts w:hint="eastAsia"/>
        </w:rPr>
        <w:t>→</w:t>
      </w:r>
      <w:r>
        <w:t>经济增长速度加快。</w:t>
      </w:r>
    </w:p>
    <w:p>
      <w:r>
        <w:rPr>
          <w:rFonts w:hint="eastAsia"/>
        </w:rPr>
        <w:t>②一项紧缩性的货币政策，要经过以下过程才会对宏观经济产生抑制作用：</w:t>
      </w:r>
    </w:p>
    <w:p>
      <w:r>
        <w:rPr>
          <w:rFonts w:hint="eastAsia"/>
        </w:rPr>
        <w:t>货币供应减少→</w:t>
      </w:r>
      <w:r>
        <w:t>市场利率提高</w:t>
      </w:r>
      <w:r>
        <w:rPr>
          <w:rFonts w:hint="eastAsia"/>
        </w:rPr>
        <w:t>→</w:t>
      </w:r>
      <w:r>
        <w:t>投资减少</w:t>
      </w:r>
      <w:r>
        <w:rPr>
          <w:rFonts w:hint="eastAsia"/>
        </w:rPr>
        <w:t>→</w:t>
      </w:r>
      <w:r>
        <w:t>社会总需求收缩</w:t>
      </w:r>
      <w:r>
        <w:rPr>
          <w:rFonts w:hint="eastAsia"/>
        </w:rPr>
        <w:t>→</w:t>
      </w:r>
      <w:r>
        <w:t>物价水平下降。</w:t>
      </w:r>
    </w:p>
    <w:p>
      <w:r>
        <w:rPr>
          <w:rFonts w:hint="eastAsia"/>
        </w:rPr>
        <w:t>③在整个调控时滞中，</w:t>
      </w:r>
      <w:r>
        <w:rPr>
          <w:rFonts w:hint="eastAsia"/>
          <w:color w:val="FF0000"/>
        </w:rPr>
        <w:t>作用时滞</w:t>
      </w:r>
      <w:r>
        <w:rPr>
          <w:rFonts w:hint="eastAsia"/>
        </w:rPr>
        <w:t>是最关键、往往也是最耗费时间的。有估计，在美国政府宏观调控的实践中，内时滞一般为</w:t>
      </w:r>
      <w:r>
        <w:t>2个月左右，而外时滞则一般为18个月左右，其中作用时滞一般要占12-16个月。</w:t>
      </w:r>
    </w:p>
    <w:p>
      <w:pPr>
        <w:rPr>
          <w:color w:val="0070C0"/>
        </w:rPr>
      </w:pPr>
      <w:r>
        <w:rPr>
          <w:rFonts w:hint="eastAsia"/>
          <w:color w:val="0070C0"/>
        </w:rPr>
        <w:t>图示：</w:t>
      </w:r>
    </w:p>
    <w:p>
      <w:r>
        <w:drawing>
          <wp:inline distT="0" distB="0" distL="0" distR="0">
            <wp:extent cx="5274310" cy="267144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2"/>
                    <a:stretch>
                      <a:fillRect/>
                    </a:stretch>
                  </pic:blipFill>
                  <pic:spPr>
                    <a:xfrm>
                      <a:off x="0" y="0"/>
                      <a:ext cx="5274310" cy="2671445"/>
                    </a:xfrm>
                    <a:prstGeom prst="rect">
                      <a:avLst/>
                    </a:prstGeom>
                  </pic:spPr>
                </pic:pic>
              </a:graphicData>
            </a:graphic>
          </wp:inline>
        </w:drawing>
      </w:r>
    </w:p>
    <w:p>
      <w:r>
        <w:rPr>
          <w:color w:val="00B050"/>
        </w:rPr>
        <w:t>#宏观经济政策的目标：“熨平波动”。</w:t>
      </w:r>
    </w:p>
    <w:p>
      <w:r>
        <w:t>3.</w:t>
      </w:r>
      <w:r>
        <w:rPr>
          <w:rFonts w:hint="eastAsia"/>
        </w:rPr>
        <w:t>财政政策的局限性：</w:t>
      </w:r>
    </w:p>
    <w:p>
      <w:r>
        <w:rPr>
          <w:rFonts w:hint="eastAsia"/>
        </w:rPr>
        <w:t>①时滞</w:t>
      </w:r>
    </w:p>
    <w:p>
      <w:r>
        <w:rPr>
          <w:rFonts w:hint="eastAsia"/>
        </w:rPr>
        <w:t>②经济的不确定性</w:t>
      </w:r>
    </w:p>
    <w:p>
      <w:r>
        <w:rPr>
          <w:rFonts w:hint="eastAsia"/>
        </w:rPr>
        <w:t>③实施财政政策存在公众的阻力</w:t>
      </w:r>
    </w:p>
    <w:p>
      <w:r>
        <w:rPr>
          <w:rFonts w:hint="eastAsia"/>
        </w:rPr>
        <w:t>④公众预期对政策效果的影响</w:t>
      </w:r>
    </w:p>
    <w:p>
      <w:r>
        <w:rPr>
          <w:rFonts w:hint="eastAsia"/>
        </w:rPr>
        <w:t>⑤效果具有短期性。</w:t>
      </w:r>
    </w:p>
    <w:p>
      <w:pPr>
        <w:rPr>
          <w:color w:val="00B050"/>
        </w:rPr>
      </w:pPr>
      <w:r>
        <w:rPr>
          <w:color w:val="00B050"/>
        </w:rPr>
        <w:t>#理性预期与“卢卡斯批评”</w:t>
      </w:r>
      <w:r>
        <w:rPr>
          <w:rFonts w:hint="eastAsia"/>
          <w:color w:val="00B050"/>
        </w:rPr>
        <w:t>——认为传统政策分析没有充分考虑到政策变动对人们预期的影响的观点。</w:t>
      </w:r>
    </w:p>
    <w:p>
      <w:r>
        <w:t xml:space="preserve">4. </w:t>
      </w:r>
      <w:r>
        <w:rPr>
          <w:rFonts w:hint="eastAsia"/>
        </w:rPr>
        <w:t>货币政策的局限性：</w:t>
      </w:r>
    </w:p>
    <w:p>
      <w:r>
        <w:rPr>
          <w:rFonts w:hint="eastAsia"/>
        </w:rPr>
        <w:t>①效果具有短期性：</w:t>
      </w:r>
      <w:r>
        <w:t>短期刺激经济，长期产量不变、物价上涨</w:t>
      </w:r>
      <w:r>
        <w:rPr>
          <w:rFonts w:hint="eastAsia"/>
        </w:rPr>
        <w:t>。</w:t>
      </w:r>
    </w:p>
    <w:p>
      <w:r>
        <w:rPr>
          <w:rFonts w:hint="eastAsia"/>
        </w:rPr>
        <w:t>②货币政策的时滞：</w:t>
      </w:r>
      <w:r>
        <w:t>认识时滞和决策时滞可缩短，效应时滞难以控制</w:t>
      </w:r>
      <w:r>
        <w:rPr>
          <w:rFonts w:hint="eastAsia"/>
        </w:rPr>
        <w:t>。</w:t>
      </w:r>
    </w:p>
    <w:p>
      <w:r>
        <w:rPr>
          <w:rFonts w:hint="eastAsia"/>
        </w:rPr>
        <w:t>③货币流通速度的变动：</w:t>
      </w:r>
      <w:r>
        <w:t>较小的差错也可能造成严重影响</w:t>
      </w:r>
      <w:r>
        <w:rPr>
          <w:rFonts w:hint="eastAsia"/>
        </w:rPr>
        <w:t>。</w:t>
      </w:r>
    </w:p>
    <w:p>
      <w:r>
        <w:t xml:space="preserve">5. </w:t>
      </w:r>
      <w:r>
        <w:rPr>
          <w:rFonts w:hint="eastAsia"/>
        </w:rPr>
        <w:t>财政政策和货币政策的协调：</w:t>
      </w:r>
    </w:p>
    <w:p>
      <w:r>
        <w:rPr>
          <w:rFonts w:hint="eastAsia"/>
        </w:rPr>
        <w:t>①财政政策和货币政策协调具有客观性</w:t>
      </w:r>
    </w:p>
    <w:p>
      <w:r>
        <w:rPr>
          <w:rFonts w:hint="eastAsia"/>
        </w:rPr>
        <w:t>②财政政策和货币政策的协调分析：</w:t>
      </w:r>
      <w:r>
        <w:t>IS－ LM模型分析</w:t>
      </w:r>
    </w:p>
    <w:p>
      <w:r>
        <w:rPr>
          <w:rFonts w:hint="eastAsia"/>
        </w:rPr>
        <w:t>③财政政策与货币政策的组合效应及其选用：</w:t>
      </w:r>
    </w:p>
    <w:p/>
    <w:p/>
    <w:p/>
    <w:p/>
    <w:p>
      <w: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-468630</wp:posOffset>
                </wp:positionV>
                <wp:extent cx="5383530" cy="2579370"/>
                <wp:effectExtent l="19050" t="19050" r="26670" b="11430"/>
                <wp:wrapNone/>
                <wp:docPr id="2192390" name="Rectangle 6"/>
                <wp:cNvGraphicFramePr/>
                <a:graphic xmlns:a="http://schemas.openxmlformats.org/drawingml/2006/main">
                  <a:graphicData uri="http://schemas.microsoft.com/office/word/2010/wordprocessingShape">
                    <wps:wsp>
                      <wps:cNvSpPr>
                        <a:spLocks noChangeArrowheads="1"/>
                      </wps:cNvSpPr>
                      <wps:spPr bwMode="auto">
                        <a:xfrm>
                          <a:off x="0" y="0"/>
                          <a:ext cx="5383530" cy="2579370"/>
                        </a:xfrm>
                        <a:prstGeom prst="rect">
                          <a:avLst/>
                        </a:prstGeom>
                        <a:noFill/>
                        <a:ln w="38100">
                          <a:solidFill>
                            <a:srgbClr val="006600"/>
                          </a:solidFill>
                          <a:miter lim="800000"/>
                        </a:ln>
                      </wps:spPr>
                      <wps:txbx>
                        <w:txbxContent>
                          <w:p>
                            <w:pPr>
                              <w:jc w:val="center"/>
                              <w:textAlignment w:val="baseline"/>
                              <w:rPr>
                                <w:kern w:val="0"/>
                                <w:sz w:val="24"/>
                                <w:szCs w:val="24"/>
                              </w:rPr>
                            </w:pPr>
                            <w:r>
                              <w:rPr>
                                <w:rFonts w:hint="eastAsia" w:ascii="Verdana"/>
                                <w:b/>
                                <w:bCs/>
                                <w:color w:val="006600"/>
                                <w:kern w:val="24"/>
                                <w:sz w:val="32"/>
                                <w:szCs w:val="32"/>
                              </w:rPr>
                              <w:t xml:space="preserve"> </w:t>
                            </w:r>
                            <w:r>
                              <w:rPr>
                                <w:rFonts w:ascii="Verdana"/>
                                <w:b/>
                                <w:bCs/>
                                <w:color w:val="006600"/>
                                <w:kern w:val="24"/>
                                <w:sz w:val="32"/>
                                <w:szCs w:val="32"/>
                              </w:rPr>
                              <w:t xml:space="preserve"> </w:t>
                            </w:r>
                            <w:r>
                              <w:rPr>
                                <w:rFonts w:hint="eastAsia" w:ascii="Verdana"/>
                                <w:b/>
                                <w:bCs/>
                                <w:color w:val="006600"/>
                                <w:kern w:val="24"/>
                                <w:sz w:val="32"/>
                                <w:szCs w:val="32"/>
                              </w:rPr>
                              <w:t>组合的政策效应</w:t>
                            </w:r>
                          </w:p>
                          <w:p>
                            <w:pPr>
                              <w:textAlignment w:val="baseline"/>
                            </w:pPr>
                            <w:r>
                              <w:rPr>
                                <w:rFonts w:ascii="Verdana" w:hAnsi="Verdana"/>
                                <w:b/>
                                <w:bCs/>
                                <w:color w:val="006600"/>
                                <w:kern w:val="24"/>
                                <w:sz w:val="32"/>
                                <w:szCs w:val="32"/>
                              </w:rPr>
                              <w:t xml:space="preserve">             政策组合           产出       利率</w:t>
                            </w:r>
                          </w:p>
                          <w:p>
                            <w:pPr>
                              <w:textAlignment w:val="baseline"/>
                            </w:pPr>
                            <w:r>
                              <w:rPr>
                                <w:rFonts w:ascii="Verdana" w:hAnsi="Verdana"/>
                                <w:b/>
                                <w:bCs/>
                                <w:color w:val="006600"/>
                                <w:kern w:val="24"/>
                                <w:sz w:val="28"/>
                                <w:szCs w:val="28"/>
                              </w:rPr>
                              <w:t>1.</w:t>
                            </w:r>
                            <w:r>
                              <w:rPr>
                                <w:rFonts w:hint="eastAsia" w:ascii="Verdana"/>
                                <w:b/>
                                <w:bCs/>
                                <w:color w:val="006600"/>
                                <w:kern w:val="24"/>
                                <w:sz w:val="28"/>
                                <w:szCs w:val="28"/>
                              </w:rPr>
                              <w:t>扩张的财政政策和扩张的货币政策     增加         不确定</w:t>
                            </w:r>
                          </w:p>
                          <w:p>
                            <w:pPr>
                              <w:textAlignment w:val="baseline"/>
                            </w:pPr>
                            <w:r>
                              <w:rPr>
                                <w:rFonts w:ascii="Verdana" w:hAnsi="Verdana"/>
                                <w:b/>
                                <w:bCs/>
                                <w:color w:val="006600"/>
                                <w:kern w:val="24"/>
                                <w:sz w:val="28"/>
                                <w:szCs w:val="28"/>
                              </w:rPr>
                              <w:t>2.</w:t>
                            </w:r>
                            <w:r>
                              <w:rPr>
                                <w:rFonts w:hint="eastAsia" w:ascii="Verdana"/>
                                <w:b/>
                                <w:bCs/>
                                <w:color w:val="006600"/>
                                <w:kern w:val="24"/>
                                <w:sz w:val="28"/>
                                <w:szCs w:val="28"/>
                              </w:rPr>
                              <w:t>紧缩的财政政策和紧缩的货币政策     减少         不确定</w:t>
                            </w:r>
                          </w:p>
                          <w:p>
                            <w:pPr>
                              <w:spacing w:line="288" w:lineRule="auto"/>
                              <w:textAlignment w:val="baseline"/>
                            </w:pPr>
                            <w:r>
                              <w:rPr>
                                <w:rFonts w:ascii="Verdana" w:hAnsi="Verdana"/>
                                <w:b/>
                                <w:bCs/>
                                <w:color w:val="006600"/>
                                <w:kern w:val="24"/>
                                <w:sz w:val="28"/>
                                <w:szCs w:val="28"/>
                              </w:rPr>
                              <w:t>3.</w:t>
                            </w:r>
                            <w:r>
                              <w:rPr>
                                <w:rFonts w:hint="eastAsia" w:ascii="Verdana"/>
                                <w:b/>
                                <w:bCs/>
                                <w:color w:val="006600"/>
                                <w:kern w:val="24"/>
                                <w:sz w:val="28"/>
                                <w:szCs w:val="28"/>
                              </w:rPr>
                              <w:t>扩张的财政政策和紧缩的货币政策     不确定      上升</w:t>
                            </w:r>
                          </w:p>
                          <w:p>
                            <w:pPr>
                              <w:spacing w:line="288" w:lineRule="auto"/>
                              <w:textAlignment w:val="baseline"/>
                            </w:pPr>
                            <w:r>
                              <w:rPr>
                                <w:rFonts w:ascii="Verdana" w:hAnsi="Verdana"/>
                                <w:b/>
                                <w:bCs/>
                                <w:color w:val="006600"/>
                                <w:kern w:val="24"/>
                                <w:sz w:val="28"/>
                                <w:szCs w:val="28"/>
                              </w:rPr>
                              <w:t>4.</w:t>
                            </w:r>
                            <w:r>
                              <w:rPr>
                                <w:rFonts w:hint="eastAsia" w:ascii="Verdana"/>
                                <w:b/>
                                <w:bCs/>
                                <w:color w:val="006600"/>
                                <w:kern w:val="24"/>
                                <w:sz w:val="28"/>
                                <w:szCs w:val="28"/>
                              </w:rPr>
                              <w:t>紧缩的财政政策和扩张的货币政策     不确定      下降</w:t>
                            </w:r>
                          </w:p>
                        </w:txbxContent>
                      </wps:txbx>
                      <wps:bodyPr wrap="square" anchor="ctr">
                        <a:noAutofit/>
                      </wps:bodyPr>
                    </wps:wsp>
                  </a:graphicData>
                </a:graphic>
              </wp:anchor>
            </w:drawing>
          </mc:Choice>
          <mc:Fallback>
            <w:pict>
              <v:rect id="Rectangle 6" o:spid="_x0000_s1026" o:spt="1" style="position:absolute;left:0pt;margin-top:-36.9pt;height:203.1pt;width:423.9pt;mso-position-horizontal:right;mso-position-horizontal-relative:margin;z-index:251659264;v-text-anchor:middle;mso-width-relative:page;mso-height-relative:page;" filled="f" stroked="t" coordsize="21600,21600" o:gfxdata="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Q3ms2tYA&#10;AAAIAQAADwAAAAAAAAABACAAAAAiAAAAZHJzL2Rvd25yZXYueG1sUEsBAhQAFAAAAAgAh07iQB05&#10;wrToAQAArgMAAA4AAAAAAAAAAQAgAAAAJQEAAGRycy9lMm9Eb2MueG1sUEsFBgAAAAAGAAYAWQEA&#10;AH8FAAAAAA==&#10;">
                <v:fill on="f" focussize="0,0"/>
                <v:stroke weight="3pt" color="#006600" miterlimit="8" joinstyle="miter"/>
                <v:imagedata o:title=""/>
                <o:lock v:ext="edit" aspectratio="f"/>
                <v:textbox>
                  <w:txbxContent>
                    <w:p>
                      <w:pPr>
                        <w:jc w:val="center"/>
                        <w:textAlignment w:val="baseline"/>
                        <w:rPr>
                          <w:kern w:val="0"/>
                          <w:sz w:val="24"/>
                          <w:szCs w:val="24"/>
                        </w:rPr>
                      </w:pPr>
                      <w:r>
                        <w:rPr>
                          <w:rFonts w:hint="eastAsia" w:ascii="Verdana"/>
                          <w:b/>
                          <w:bCs/>
                          <w:color w:val="006600"/>
                          <w:kern w:val="24"/>
                          <w:sz w:val="32"/>
                          <w:szCs w:val="32"/>
                        </w:rPr>
                        <w:t xml:space="preserve"> </w:t>
                      </w:r>
                      <w:r>
                        <w:rPr>
                          <w:rFonts w:ascii="Verdana"/>
                          <w:b/>
                          <w:bCs/>
                          <w:color w:val="006600"/>
                          <w:kern w:val="24"/>
                          <w:sz w:val="32"/>
                          <w:szCs w:val="32"/>
                        </w:rPr>
                        <w:t xml:space="preserve"> </w:t>
                      </w:r>
                      <w:r>
                        <w:rPr>
                          <w:rFonts w:hint="eastAsia" w:ascii="Verdana"/>
                          <w:b/>
                          <w:bCs/>
                          <w:color w:val="006600"/>
                          <w:kern w:val="24"/>
                          <w:sz w:val="32"/>
                          <w:szCs w:val="32"/>
                        </w:rPr>
                        <w:t>组合的政策效应</w:t>
                      </w:r>
                    </w:p>
                    <w:p>
                      <w:pPr>
                        <w:textAlignment w:val="baseline"/>
                      </w:pPr>
                      <w:r>
                        <w:rPr>
                          <w:rFonts w:ascii="Verdana" w:hAnsi="Verdana"/>
                          <w:b/>
                          <w:bCs/>
                          <w:color w:val="006600"/>
                          <w:kern w:val="24"/>
                          <w:sz w:val="32"/>
                          <w:szCs w:val="32"/>
                        </w:rPr>
                        <w:t xml:space="preserve">             政策组合           产出       利率</w:t>
                      </w:r>
                    </w:p>
                    <w:p>
                      <w:pPr>
                        <w:textAlignment w:val="baseline"/>
                      </w:pPr>
                      <w:r>
                        <w:rPr>
                          <w:rFonts w:ascii="Verdana" w:hAnsi="Verdana"/>
                          <w:b/>
                          <w:bCs/>
                          <w:color w:val="006600"/>
                          <w:kern w:val="24"/>
                          <w:sz w:val="28"/>
                          <w:szCs w:val="28"/>
                        </w:rPr>
                        <w:t>1.</w:t>
                      </w:r>
                      <w:r>
                        <w:rPr>
                          <w:rFonts w:hint="eastAsia" w:ascii="Verdana"/>
                          <w:b/>
                          <w:bCs/>
                          <w:color w:val="006600"/>
                          <w:kern w:val="24"/>
                          <w:sz w:val="28"/>
                          <w:szCs w:val="28"/>
                        </w:rPr>
                        <w:t>扩张的财政政策和扩张的货币政策     增加         不确定</w:t>
                      </w:r>
                    </w:p>
                    <w:p>
                      <w:pPr>
                        <w:textAlignment w:val="baseline"/>
                      </w:pPr>
                      <w:r>
                        <w:rPr>
                          <w:rFonts w:ascii="Verdana" w:hAnsi="Verdana"/>
                          <w:b/>
                          <w:bCs/>
                          <w:color w:val="006600"/>
                          <w:kern w:val="24"/>
                          <w:sz w:val="28"/>
                          <w:szCs w:val="28"/>
                        </w:rPr>
                        <w:t>2.</w:t>
                      </w:r>
                      <w:r>
                        <w:rPr>
                          <w:rFonts w:hint="eastAsia" w:ascii="Verdana"/>
                          <w:b/>
                          <w:bCs/>
                          <w:color w:val="006600"/>
                          <w:kern w:val="24"/>
                          <w:sz w:val="28"/>
                          <w:szCs w:val="28"/>
                        </w:rPr>
                        <w:t>紧缩的财政政策和紧缩的货币政策     减少         不确定</w:t>
                      </w:r>
                    </w:p>
                    <w:p>
                      <w:pPr>
                        <w:spacing w:line="288" w:lineRule="auto"/>
                        <w:textAlignment w:val="baseline"/>
                      </w:pPr>
                      <w:r>
                        <w:rPr>
                          <w:rFonts w:ascii="Verdana" w:hAnsi="Verdana"/>
                          <w:b/>
                          <w:bCs/>
                          <w:color w:val="006600"/>
                          <w:kern w:val="24"/>
                          <w:sz w:val="28"/>
                          <w:szCs w:val="28"/>
                        </w:rPr>
                        <w:t>3.</w:t>
                      </w:r>
                      <w:r>
                        <w:rPr>
                          <w:rFonts w:hint="eastAsia" w:ascii="Verdana"/>
                          <w:b/>
                          <w:bCs/>
                          <w:color w:val="006600"/>
                          <w:kern w:val="24"/>
                          <w:sz w:val="28"/>
                          <w:szCs w:val="28"/>
                        </w:rPr>
                        <w:t>扩张的财政政策和紧缩的货币政策     不确定      上升</w:t>
                      </w:r>
                    </w:p>
                    <w:p>
                      <w:pPr>
                        <w:spacing w:line="288" w:lineRule="auto"/>
                        <w:textAlignment w:val="baseline"/>
                      </w:pPr>
                      <w:r>
                        <w:rPr>
                          <w:rFonts w:ascii="Verdana" w:hAnsi="Verdana"/>
                          <w:b/>
                          <w:bCs/>
                          <w:color w:val="006600"/>
                          <w:kern w:val="24"/>
                          <w:sz w:val="28"/>
                          <w:szCs w:val="28"/>
                        </w:rPr>
                        <w:t>4.</w:t>
                      </w:r>
                      <w:r>
                        <w:rPr>
                          <w:rFonts w:hint="eastAsia" w:ascii="Verdana"/>
                          <w:b/>
                          <w:bCs/>
                          <w:color w:val="006600"/>
                          <w:kern w:val="24"/>
                          <w:sz w:val="28"/>
                          <w:szCs w:val="28"/>
                        </w:rPr>
                        <w:t>紧缩的财政政策和扩张的货币政策     不确定      下降</w:t>
                      </w:r>
                    </w:p>
                  </w:txbxContent>
                </v:textbox>
              </v:rect>
            </w:pict>
          </mc:Fallback>
        </mc:AlternateContent>
      </w:r>
    </w:p>
    <w:p/>
    <w:p/>
    <w:p/>
    <w:p/>
    <w:p/>
    <w:p/>
    <w:p/>
    <w:p/>
    <w:p/>
    <w:p>
      <w:r>
        <mc:AlternateContent>
          <mc:Choice Requires="wps">
            <w:drawing>
              <wp:anchor distT="0" distB="0" distL="114300" distR="114300" simplePos="0" relativeHeight="251661312" behindDoc="0" locked="0" layoutInCell="1" allowOverlap="1">
                <wp:simplePos x="0" y="0"/>
                <wp:positionH relativeFrom="margin">
                  <wp:posOffset>-133350</wp:posOffset>
                </wp:positionH>
                <wp:positionV relativeFrom="paragraph">
                  <wp:posOffset>217170</wp:posOffset>
                </wp:positionV>
                <wp:extent cx="5391150" cy="1225550"/>
                <wp:effectExtent l="19050" t="19050" r="19050" b="22860"/>
                <wp:wrapNone/>
                <wp:docPr id="2192417" name="Rectangle 33"/>
                <wp:cNvGraphicFramePr/>
                <a:graphic xmlns:a="http://schemas.openxmlformats.org/drawingml/2006/main">
                  <a:graphicData uri="http://schemas.microsoft.com/office/word/2010/wordprocessingShape">
                    <wps:wsp>
                      <wps:cNvSpPr>
                        <a:spLocks noChangeArrowheads="1"/>
                      </wps:cNvSpPr>
                      <wps:spPr bwMode="auto">
                        <a:xfrm>
                          <a:off x="0" y="0"/>
                          <a:ext cx="5391150" cy="1225550"/>
                        </a:xfrm>
                        <a:prstGeom prst="rect">
                          <a:avLst/>
                        </a:prstGeom>
                        <a:noFill/>
                        <a:ln w="38100">
                          <a:solidFill>
                            <a:srgbClr val="006600"/>
                          </a:solidFill>
                          <a:miter lim="800000"/>
                        </a:ln>
                      </wps:spPr>
                      <wps:txbx>
                        <w:txbxContent>
                          <w:p>
                            <w:pPr>
                              <w:jc w:val="center"/>
                              <w:textAlignment w:val="baseline"/>
                              <w:rPr>
                                <w:kern w:val="0"/>
                                <w:sz w:val="24"/>
                                <w:szCs w:val="24"/>
                              </w:rPr>
                            </w:pPr>
                            <w:r>
                              <w:rPr>
                                <w:rFonts w:hint="eastAsia" w:ascii="Arial"/>
                                <w:b/>
                                <w:bCs/>
                                <w:color w:val="006600"/>
                                <w:kern w:val="24"/>
                                <w:sz w:val="32"/>
                                <w:szCs w:val="32"/>
                              </w:rPr>
                              <w:t>政策组合的选用</w:t>
                            </w:r>
                          </w:p>
                          <w:p>
                            <w:pPr>
                              <w:textAlignment w:val="baseline"/>
                            </w:pPr>
                            <w:r>
                              <w:rPr>
                                <w:rFonts w:hint="eastAsia" w:ascii="Arial"/>
                                <w:b/>
                                <w:bCs/>
                                <w:color w:val="006600"/>
                                <w:kern w:val="24"/>
                                <w:sz w:val="28"/>
                                <w:szCs w:val="28"/>
                              </w:rPr>
                              <w:t>（</w:t>
                            </w:r>
                            <w:r>
                              <w:rPr>
                                <w:rFonts w:ascii="Arial" w:hAnsi="Arial"/>
                                <w:b/>
                                <w:bCs/>
                                <w:color w:val="006600"/>
                                <w:kern w:val="24"/>
                                <w:sz w:val="28"/>
                                <w:szCs w:val="28"/>
                              </w:rPr>
                              <w:t>1</w:t>
                            </w:r>
                            <w:r>
                              <w:rPr>
                                <w:rFonts w:hint="eastAsia" w:ascii="Arial"/>
                                <w:b/>
                                <w:bCs/>
                                <w:color w:val="006600"/>
                                <w:kern w:val="24"/>
                                <w:sz w:val="28"/>
                                <w:szCs w:val="28"/>
                              </w:rPr>
                              <w:t>）严重萧条时，用第一种组合（双扩）</w:t>
                            </w:r>
                          </w:p>
                          <w:p>
                            <w:pPr>
                              <w:textAlignment w:val="baseline"/>
                            </w:pPr>
                            <w:r>
                              <w:rPr>
                                <w:rFonts w:hint="eastAsia" w:ascii="Arial"/>
                                <w:b/>
                                <w:bCs/>
                                <w:color w:val="006600"/>
                                <w:kern w:val="24"/>
                                <w:sz w:val="28"/>
                                <w:szCs w:val="28"/>
                              </w:rPr>
                              <w:t>（</w:t>
                            </w:r>
                            <w:r>
                              <w:rPr>
                                <w:rFonts w:ascii="Arial" w:hAnsi="Arial"/>
                                <w:b/>
                                <w:bCs/>
                                <w:color w:val="006600"/>
                                <w:kern w:val="24"/>
                                <w:sz w:val="28"/>
                                <w:szCs w:val="28"/>
                              </w:rPr>
                              <w:t>2</w:t>
                            </w:r>
                            <w:r>
                              <w:rPr>
                                <w:rFonts w:hint="eastAsia" w:ascii="Arial"/>
                                <w:b/>
                                <w:bCs/>
                                <w:color w:val="006600"/>
                                <w:kern w:val="24"/>
                                <w:sz w:val="28"/>
                                <w:szCs w:val="28"/>
                              </w:rPr>
                              <w:t>）严重通货膨胀时，用第二种组合（双紧）</w:t>
                            </w:r>
                          </w:p>
                          <w:p>
                            <w:pPr>
                              <w:textAlignment w:val="baseline"/>
                            </w:pPr>
                            <w:r>
                              <w:rPr>
                                <w:rFonts w:hint="eastAsia" w:ascii="Arial"/>
                                <w:b/>
                                <w:bCs/>
                                <w:color w:val="006600"/>
                                <w:kern w:val="24"/>
                                <w:sz w:val="28"/>
                                <w:szCs w:val="28"/>
                              </w:rPr>
                              <w:t>（</w:t>
                            </w:r>
                            <w:r>
                              <w:rPr>
                                <w:rFonts w:ascii="Arial" w:hAnsi="Arial"/>
                                <w:b/>
                                <w:bCs/>
                                <w:color w:val="006600"/>
                                <w:kern w:val="24"/>
                                <w:sz w:val="28"/>
                                <w:szCs w:val="28"/>
                              </w:rPr>
                              <w:t>3</w:t>
                            </w:r>
                            <w:r>
                              <w:rPr>
                                <w:rFonts w:hint="eastAsia" w:ascii="Arial"/>
                                <w:b/>
                                <w:bCs/>
                                <w:color w:val="006600"/>
                                <w:kern w:val="24"/>
                                <w:sz w:val="28"/>
                                <w:szCs w:val="28"/>
                              </w:rPr>
                              <w:t>） “滞胀” ，考虑用第三种组合（不一定有用）</w:t>
                            </w:r>
                          </w:p>
                          <w:p>
                            <w:pPr>
                              <w:textAlignment w:val="baseline"/>
                            </w:pPr>
                            <w:r>
                              <w:rPr>
                                <w:rFonts w:hint="eastAsia" w:ascii="Arial"/>
                                <w:b/>
                                <w:bCs/>
                                <w:color w:val="006600"/>
                                <w:kern w:val="24"/>
                                <w:sz w:val="28"/>
                                <w:szCs w:val="28"/>
                              </w:rPr>
                              <w:t>（</w:t>
                            </w:r>
                            <w:r>
                              <w:rPr>
                                <w:rFonts w:ascii="Arial" w:hAnsi="Arial"/>
                                <w:b/>
                                <w:bCs/>
                                <w:color w:val="006600"/>
                                <w:kern w:val="24"/>
                                <w:sz w:val="28"/>
                                <w:szCs w:val="28"/>
                              </w:rPr>
                              <w:t>4</w:t>
                            </w:r>
                            <w:r>
                              <w:rPr>
                                <w:rFonts w:hint="eastAsia" w:ascii="Arial"/>
                                <w:b/>
                                <w:bCs/>
                                <w:color w:val="006600"/>
                                <w:kern w:val="24"/>
                                <w:sz w:val="28"/>
                                <w:szCs w:val="28"/>
                              </w:rPr>
                              <w:t>）轻度通胀，考虑用第四种组合（很少用）</w:t>
                            </w:r>
                          </w:p>
                        </w:txbxContent>
                      </wps:txbx>
                      <wps:bodyPr wrap="square">
                        <a:spAutoFit/>
                      </wps:bodyPr>
                    </wps:wsp>
                  </a:graphicData>
                </a:graphic>
              </wp:anchor>
            </w:drawing>
          </mc:Choice>
          <mc:Fallback>
            <w:pict>
              <v:rect id="Rectangle 33" o:spid="_x0000_s1026" o:spt="1" style="position:absolute;left:0pt;margin-left:-10.5pt;margin-top:17.1pt;height:96.5pt;width:424.5pt;mso-position-horizontal-relative:margin;z-index:251661312;mso-width-relative:page;mso-height-relative:page;" filled="f" stroked="t" coordsize="21600,21600" o:gfxdata="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o5Pl8NsAAAAK&#10;AQAADwAAAAAAAAABACAAAAAiAAAAZHJzL2Rvd25yZXYueG1sUEsBAhQAFAAAAAgAh07iQNRUctPg&#10;AQAAogMAAA4AAAAAAAAAAQAgAAAAKgEAAGRycy9lMm9Eb2MueG1sUEsFBgAAAAAGAAYAWQEAAHwF&#10;AAAAAA==&#10;">
                <v:fill on="f" focussize="0,0"/>
                <v:stroke weight="3pt" color="#006600" miterlimit="8" joinstyle="miter"/>
                <v:imagedata o:title=""/>
                <o:lock v:ext="edit" aspectratio="f"/>
                <v:textbox style="mso-fit-shape-to-text:t;">
                  <w:txbxContent>
                    <w:p>
                      <w:pPr>
                        <w:jc w:val="center"/>
                        <w:textAlignment w:val="baseline"/>
                        <w:rPr>
                          <w:kern w:val="0"/>
                          <w:sz w:val="24"/>
                          <w:szCs w:val="24"/>
                        </w:rPr>
                      </w:pPr>
                      <w:r>
                        <w:rPr>
                          <w:rFonts w:hint="eastAsia" w:ascii="Arial"/>
                          <w:b/>
                          <w:bCs/>
                          <w:color w:val="006600"/>
                          <w:kern w:val="24"/>
                          <w:sz w:val="32"/>
                          <w:szCs w:val="32"/>
                        </w:rPr>
                        <w:t>政策组合的选用</w:t>
                      </w:r>
                    </w:p>
                    <w:p>
                      <w:pPr>
                        <w:textAlignment w:val="baseline"/>
                      </w:pPr>
                      <w:r>
                        <w:rPr>
                          <w:rFonts w:hint="eastAsia" w:ascii="Arial"/>
                          <w:b/>
                          <w:bCs/>
                          <w:color w:val="006600"/>
                          <w:kern w:val="24"/>
                          <w:sz w:val="28"/>
                          <w:szCs w:val="28"/>
                        </w:rPr>
                        <w:t>（</w:t>
                      </w:r>
                      <w:r>
                        <w:rPr>
                          <w:rFonts w:ascii="Arial" w:hAnsi="Arial"/>
                          <w:b/>
                          <w:bCs/>
                          <w:color w:val="006600"/>
                          <w:kern w:val="24"/>
                          <w:sz w:val="28"/>
                          <w:szCs w:val="28"/>
                        </w:rPr>
                        <w:t>1</w:t>
                      </w:r>
                      <w:r>
                        <w:rPr>
                          <w:rFonts w:hint="eastAsia" w:ascii="Arial"/>
                          <w:b/>
                          <w:bCs/>
                          <w:color w:val="006600"/>
                          <w:kern w:val="24"/>
                          <w:sz w:val="28"/>
                          <w:szCs w:val="28"/>
                        </w:rPr>
                        <w:t>）严重萧条时，用第一种组合（双扩）</w:t>
                      </w:r>
                    </w:p>
                    <w:p>
                      <w:pPr>
                        <w:textAlignment w:val="baseline"/>
                      </w:pPr>
                      <w:r>
                        <w:rPr>
                          <w:rFonts w:hint="eastAsia" w:ascii="Arial"/>
                          <w:b/>
                          <w:bCs/>
                          <w:color w:val="006600"/>
                          <w:kern w:val="24"/>
                          <w:sz w:val="28"/>
                          <w:szCs w:val="28"/>
                        </w:rPr>
                        <w:t>（</w:t>
                      </w:r>
                      <w:r>
                        <w:rPr>
                          <w:rFonts w:ascii="Arial" w:hAnsi="Arial"/>
                          <w:b/>
                          <w:bCs/>
                          <w:color w:val="006600"/>
                          <w:kern w:val="24"/>
                          <w:sz w:val="28"/>
                          <w:szCs w:val="28"/>
                        </w:rPr>
                        <w:t>2</w:t>
                      </w:r>
                      <w:r>
                        <w:rPr>
                          <w:rFonts w:hint="eastAsia" w:ascii="Arial"/>
                          <w:b/>
                          <w:bCs/>
                          <w:color w:val="006600"/>
                          <w:kern w:val="24"/>
                          <w:sz w:val="28"/>
                          <w:szCs w:val="28"/>
                        </w:rPr>
                        <w:t>）严重通货膨胀时，用第二种组合（双紧）</w:t>
                      </w:r>
                    </w:p>
                    <w:p>
                      <w:pPr>
                        <w:textAlignment w:val="baseline"/>
                      </w:pPr>
                      <w:r>
                        <w:rPr>
                          <w:rFonts w:hint="eastAsia" w:ascii="Arial"/>
                          <w:b/>
                          <w:bCs/>
                          <w:color w:val="006600"/>
                          <w:kern w:val="24"/>
                          <w:sz w:val="28"/>
                          <w:szCs w:val="28"/>
                        </w:rPr>
                        <w:t>（</w:t>
                      </w:r>
                      <w:r>
                        <w:rPr>
                          <w:rFonts w:ascii="Arial" w:hAnsi="Arial"/>
                          <w:b/>
                          <w:bCs/>
                          <w:color w:val="006600"/>
                          <w:kern w:val="24"/>
                          <w:sz w:val="28"/>
                          <w:szCs w:val="28"/>
                        </w:rPr>
                        <w:t>3</w:t>
                      </w:r>
                      <w:r>
                        <w:rPr>
                          <w:rFonts w:hint="eastAsia" w:ascii="Arial"/>
                          <w:b/>
                          <w:bCs/>
                          <w:color w:val="006600"/>
                          <w:kern w:val="24"/>
                          <w:sz w:val="28"/>
                          <w:szCs w:val="28"/>
                        </w:rPr>
                        <w:t>） “滞胀” ，考虑用第三种组合（不一定有用）</w:t>
                      </w:r>
                    </w:p>
                    <w:p>
                      <w:pPr>
                        <w:textAlignment w:val="baseline"/>
                      </w:pPr>
                      <w:r>
                        <w:rPr>
                          <w:rFonts w:hint="eastAsia" w:ascii="Arial"/>
                          <w:b/>
                          <w:bCs/>
                          <w:color w:val="006600"/>
                          <w:kern w:val="24"/>
                          <w:sz w:val="28"/>
                          <w:szCs w:val="28"/>
                        </w:rPr>
                        <w:t>（</w:t>
                      </w:r>
                      <w:r>
                        <w:rPr>
                          <w:rFonts w:ascii="Arial" w:hAnsi="Arial"/>
                          <w:b/>
                          <w:bCs/>
                          <w:color w:val="006600"/>
                          <w:kern w:val="24"/>
                          <w:sz w:val="28"/>
                          <w:szCs w:val="28"/>
                        </w:rPr>
                        <w:t>4</w:t>
                      </w:r>
                      <w:r>
                        <w:rPr>
                          <w:rFonts w:hint="eastAsia" w:ascii="Arial"/>
                          <w:b/>
                          <w:bCs/>
                          <w:color w:val="006600"/>
                          <w:kern w:val="24"/>
                          <w:sz w:val="28"/>
                          <w:szCs w:val="28"/>
                        </w:rPr>
                        <w:t>）轻度通胀，考虑用第四种组合（很少用）</w:t>
                      </w:r>
                    </w:p>
                  </w:txbxContent>
                </v:textbox>
              </v:rect>
            </w:pict>
          </mc:Fallback>
        </mc:AlternateContent>
      </w:r>
    </w:p>
    <w:p/>
    <w:p/>
    <w:p/>
    <w:p/>
    <w:p/>
    <w:p/>
    <w:p/>
    <w:p/>
    <w:p/>
    <w:p/>
    <w:p/>
    <w:p/>
    <w:p>
      <w:pPr>
        <w:rPr>
          <w:color w:val="0070C0"/>
        </w:rPr>
      </w:pPr>
      <w:r>
        <w:rPr>
          <w:rFonts w:hint="eastAsia"/>
          <w:color w:val="0070C0"/>
        </w:rPr>
        <w:t>图示：</w:t>
      </w:r>
    </w:p>
    <w:p>
      <w:r>
        <w:drawing>
          <wp:inline distT="0" distB="0" distL="0" distR="0">
            <wp:extent cx="3381375" cy="18573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3"/>
                    <a:stretch>
                      <a:fillRect/>
                    </a:stretch>
                  </pic:blipFill>
                  <pic:spPr>
                    <a:xfrm>
                      <a:off x="0" y="0"/>
                      <a:ext cx="3381375" cy="1857375"/>
                    </a:xfrm>
                    <a:prstGeom prst="rect">
                      <a:avLst/>
                    </a:prstGeom>
                  </pic:spPr>
                </pic:pic>
              </a:graphicData>
            </a:graphic>
          </wp:inline>
        </w:drawing>
      </w:r>
    </w:p>
    <w:p/>
    <w:p>
      <w:pPr>
        <w:rPr>
          <w:b/>
          <w:bCs/>
        </w:rPr>
      </w:pPr>
      <w:r>
        <w:rPr>
          <w:rFonts w:hint="eastAsia"/>
          <w:b/>
          <w:bCs/>
        </w:rPr>
        <w:t>二、供给管理政策</w:t>
      </w:r>
    </w:p>
    <w:p>
      <w:r>
        <w:t>1.人力政策</w:t>
      </w:r>
    </w:p>
    <w:p>
      <w:r>
        <w:rPr>
          <w:rFonts w:hint="eastAsia"/>
        </w:rPr>
        <w:t>①理论基础：人力资本理论与新古典综合派的就业理论。</w:t>
      </w:r>
    </w:p>
    <w:p>
      <w:r>
        <w:rPr>
          <w:rFonts w:hint="eastAsia"/>
        </w:rPr>
        <w:t>②形成条件：劳动力结构因素、经济结构变化、劳动力市场不对称等。</w:t>
      </w:r>
    </w:p>
    <w:p>
      <w:r>
        <w:rPr>
          <w:rFonts w:hint="eastAsia"/>
        </w:rPr>
        <w:t>③主要措施：</w:t>
      </w:r>
    </w:p>
    <w:p>
      <w:r>
        <w:t>I.人力资本投资</w:t>
      </w:r>
    </w:p>
    <w:p>
      <w:r>
        <w:t>II.完善劳动力市场</w:t>
      </w:r>
    </w:p>
    <w:p>
      <w:r>
        <w:t>III.协助劳动力流动</w:t>
      </w:r>
    </w:p>
    <w:p>
      <w:r>
        <w:t>IV.降低最低工资标准</w:t>
      </w:r>
    </w:p>
    <w:p>
      <w:r>
        <w:t xml:space="preserve">2. </w:t>
      </w:r>
      <w:r>
        <w:rPr>
          <w:rFonts w:hint="eastAsia"/>
        </w:rPr>
        <w:t>收入政策：</w:t>
      </w:r>
    </w:p>
    <w:p>
      <w:r>
        <w:rPr>
          <w:rFonts w:hint="eastAsia"/>
        </w:rPr>
        <w:t>①工资</w:t>
      </w:r>
      <w:r>
        <w:t>-物价指导线</w:t>
      </w:r>
    </w:p>
    <w:p>
      <w:r>
        <w:rPr>
          <w:rFonts w:hint="eastAsia"/>
        </w:rPr>
        <w:t>②工资</w:t>
      </w:r>
      <w:r>
        <w:t>-物价冻结</w:t>
      </w:r>
    </w:p>
    <w:p>
      <w:r>
        <w:rPr>
          <w:rFonts w:hint="eastAsia"/>
        </w:rPr>
        <w:t>③对特定工资或物价进行“权威性劝说”或施加政府压力</w:t>
      </w:r>
    </w:p>
    <w:p>
      <w:r>
        <w:rPr>
          <w:rFonts w:hint="eastAsia"/>
        </w:rPr>
        <w:t>④以税收政策对工资增长率进行调整</w:t>
      </w:r>
    </w:p>
    <w:p>
      <w:r>
        <w:t xml:space="preserve">3. </w:t>
      </w:r>
      <w:r>
        <w:rPr>
          <w:rFonts w:hint="eastAsia"/>
        </w:rPr>
        <w:t>指数化政策：</w:t>
      </w:r>
    </w:p>
    <w:p>
      <w:r>
        <w:rPr>
          <w:rFonts w:hint="eastAsia"/>
        </w:rPr>
        <w:t>①工资指数化</w:t>
      </w:r>
    </w:p>
    <w:p>
      <w:pPr>
        <w:rPr>
          <w:color w:val="00B050"/>
        </w:rPr>
      </w:pPr>
      <w:r>
        <w:rPr>
          <w:color w:val="00B050"/>
        </w:rPr>
        <w:t>#对退休金、养老金、失业补助、贫困补助等社会保险与福利支出也实行类似的指数化政策。</w:t>
      </w:r>
    </w:p>
    <w:p>
      <w:r>
        <w:rPr>
          <w:rFonts w:hint="eastAsia"/>
        </w:rPr>
        <w:t>②税收指数化</w:t>
      </w:r>
    </w:p>
    <w:p>
      <w:r>
        <w:rPr>
          <w:rFonts w:hint="eastAsia"/>
        </w:rPr>
        <w:t>③利率指数化</w:t>
      </w:r>
    </w:p>
    <w:p>
      <w:r>
        <w:t xml:space="preserve">4. </w:t>
      </w:r>
      <w:r>
        <w:rPr>
          <w:rFonts w:hint="eastAsia"/>
        </w:rPr>
        <w:t>宏观经济政策的局限性：</w:t>
      </w:r>
    </w:p>
    <w:p>
      <w:r>
        <w:rPr>
          <w:rFonts w:hint="eastAsia"/>
        </w:rPr>
        <w:t>①财政与货币政策在稳定经济运行上的效果</w:t>
      </w:r>
    </w:p>
    <w:p>
      <w:r>
        <w:rPr>
          <w:rFonts w:hint="eastAsia"/>
        </w:rPr>
        <w:t>②政府是否应平衡其预算</w:t>
      </w:r>
    </w:p>
    <w:p>
      <w:r>
        <w:t xml:space="preserve">5. </w:t>
      </w:r>
      <w:r>
        <w:rPr>
          <w:rFonts w:hint="eastAsia"/>
        </w:rPr>
        <w:t>宏观经济政策的借鉴：</w:t>
      </w:r>
    </w:p>
    <w:p>
      <w:r>
        <w:rPr>
          <w:rFonts w:hint="eastAsia"/>
        </w:rPr>
        <w:t>①</w:t>
      </w:r>
      <w:r>
        <w:t>有关宏观经济政策目标的借鉴</w:t>
      </w:r>
    </w:p>
    <w:p>
      <w:r>
        <w:rPr>
          <w:rFonts w:hint="eastAsia"/>
        </w:rPr>
        <w:t>②</w:t>
      </w:r>
      <w:r>
        <w:t>有关宏观经济政策工具运用的借鉴</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Verdana">
    <w:panose1 w:val="020B0604030504040204"/>
    <w:charset w:val="00"/>
    <w:family w:val="swiss"/>
    <w:pitch w:val="default"/>
    <w:sig w:usb0="A00006FF" w:usb1="4000205B" w:usb2="00000010" w:usb3="00000000" w:csb0="2000019F" w:csb1="00000000"/>
  </w:font>
  <w:font w:name="Arial">
    <w:panose1 w:val="020B0604020202020204"/>
    <w:charset w:val="00"/>
    <w:family w:val="swiss"/>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7"/>
  <w:bordersDoNotSurroundHeader w:val="1"/>
  <w:bordersDoNotSurroundFooter w:val="1"/>
  <w:trackRevisions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7FD0"/>
    <w:rsid w:val="00010020"/>
    <w:rsid w:val="00031E97"/>
    <w:rsid w:val="000355C5"/>
    <w:rsid w:val="0004054D"/>
    <w:rsid w:val="000435F2"/>
    <w:rsid w:val="00057B32"/>
    <w:rsid w:val="000659D1"/>
    <w:rsid w:val="000774C6"/>
    <w:rsid w:val="00080C04"/>
    <w:rsid w:val="000837E8"/>
    <w:rsid w:val="00085D96"/>
    <w:rsid w:val="000A4027"/>
    <w:rsid w:val="000B49CA"/>
    <w:rsid w:val="000D5AF3"/>
    <w:rsid w:val="000F03B3"/>
    <w:rsid w:val="00121112"/>
    <w:rsid w:val="00127F39"/>
    <w:rsid w:val="00131AE3"/>
    <w:rsid w:val="00137FD0"/>
    <w:rsid w:val="0014763F"/>
    <w:rsid w:val="00150731"/>
    <w:rsid w:val="00150AB0"/>
    <w:rsid w:val="00160D04"/>
    <w:rsid w:val="0016660F"/>
    <w:rsid w:val="00171FE0"/>
    <w:rsid w:val="001734E1"/>
    <w:rsid w:val="00173AF2"/>
    <w:rsid w:val="001821F5"/>
    <w:rsid w:val="00193D34"/>
    <w:rsid w:val="001A0414"/>
    <w:rsid w:val="001B2B49"/>
    <w:rsid w:val="001C0ABD"/>
    <w:rsid w:val="001E21E4"/>
    <w:rsid w:val="001F015D"/>
    <w:rsid w:val="00243F28"/>
    <w:rsid w:val="00260D26"/>
    <w:rsid w:val="00277133"/>
    <w:rsid w:val="002A1E6B"/>
    <w:rsid w:val="002B1627"/>
    <w:rsid w:val="002D2932"/>
    <w:rsid w:val="002D4B44"/>
    <w:rsid w:val="002D5B6A"/>
    <w:rsid w:val="002F5C56"/>
    <w:rsid w:val="00304DFB"/>
    <w:rsid w:val="003430E7"/>
    <w:rsid w:val="00354589"/>
    <w:rsid w:val="00356823"/>
    <w:rsid w:val="00382A0F"/>
    <w:rsid w:val="00395DDD"/>
    <w:rsid w:val="00396EA4"/>
    <w:rsid w:val="003D386E"/>
    <w:rsid w:val="003D7FE1"/>
    <w:rsid w:val="003E0C85"/>
    <w:rsid w:val="003E3141"/>
    <w:rsid w:val="00402709"/>
    <w:rsid w:val="0041711F"/>
    <w:rsid w:val="00420DA5"/>
    <w:rsid w:val="00437D3F"/>
    <w:rsid w:val="00464332"/>
    <w:rsid w:val="00477486"/>
    <w:rsid w:val="004811C0"/>
    <w:rsid w:val="00481357"/>
    <w:rsid w:val="00485685"/>
    <w:rsid w:val="004908A9"/>
    <w:rsid w:val="004908E7"/>
    <w:rsid w:val="004948DB"/>
    <w:rsid w:val="004B23C2"/>
    <w:rsid w:val="004B4E62"/>
    <w:rsid w:val="004E765A"/>
    <w:rsid w:val="00505739"/>
    <w:rsid w:val="0052792F"/>
    <w:rsid w:val="00534C14"/>
    <w:rsid w:val="00550ED1"/>
    <w:rsid w:val="0055236D"/>
    <w:rsid w:val="00575F1B"/>
    <w:rsid w:val="00593660"/>
    <w:rsid w:val="005A15FC"/>
    <w:rsid w:val="005F3DA0"/>
    <w:rsid w:val="005F5F10"/>
    <w:rsid w:val="00612214"/>
    <w:rsid w:val="00623A1F"/>
    <w:rsid w:val="00665F21"/>
    <w:rsid w:val="00687D4E"/>
    <w:rsid w:val="006A51AF"/>
    <w:rsid w:val="006A72D8"/>
    <w:rsid w:val="006C2534"/>
    <w:rsid w:val="006F5F9F"/>
    <w:rsid w:val="00704221"/>
    <w:rsid w:val="007202DA"/>
    <w:rsid w:val="00726136"/>
    <w:rsid w:val="007464B6"/>
    <w:rsid w:val="007555EF"/>
    <w:rsid w:val="00792E24"/>
    <w:rsid w:val="007C44A7"/>
    <w:rsid w:val="007C67FD"/>
    <w:rsid w:val="007E0095"/>
    <w:rsid w:val="007E24D2"/>
    <w:rsid w:val="007F3658"/>
    <w:rsid w:val="008045BB"/>
    <w:rsid w:val="008256B1"/>
    <w:rsid w:val="00826191"/>
    <w:rsid w:val="008558CD"/>
    <w:rsid w:val="00864118"/>
    <w:rsid w:val="00866E82"/>
    <w:rsid w:val="008B4834"/>
    <w:rsid w:val="008D0C44"/>
    <w:rsid w:val="008E638C"/>
    <w:rsid w:val="008E78E7"/>
    <w:rsid w:val="008F1BAB"/>
    <w:rsid w:val="008F51BC"/>
    <w:rsid w:val="009018AC"/>
    <w:rsid w:val="00905AB0"/>
    <w:rsid w:val="00907533"/>
    <w:rsid w:val="009133EE"/>
    <w:rsid w:val="00925709"/>
    <w:rsid w:val="009346F1"/>
    <w:rsid w:val="00981F74"/>
    <w:rsid w:val="0098221F"/>
    <w:rsid w:val="00991D2A"/>
    <w:rsid w:val="009F0E0A"/>
    <w:rsid w:val="00A11F08"/>
    <w:rsid w:val="00A2252A"/>
    <w:rsid w:val="00A43622"/>
    <w:rsid w:val="00A5387B"/>
    <w:rsid w:val="00A768C3"/>
    <w:rsid w:val="00A8257D"/>
    <w:rsid w:val="00A85AB7"/>
    <w:rsid w:val="00AA438E"/>
    <w:rsid w:val="00AC0413"/>
    <w:rsid w:val="00AD0C01"/>
    <w:rsid w:val="00AE517E"/>
    <w:rsid w:val="00AF0769"/>
    <w:rsid w:val="00AF44FD"/>
    <w:rsid w:val="00B06246"/>
    <w:rsid w:val="00B36ABF"/>
    <w:rsid w:val="00B6016B"/>
    <w:rsid w:val="00B90F70"/>
    <w:rsid w:val="00B96887"/>
    <w:rsid w:val="00BA6523"/>
    <w:rsid w:val="00BF42FC"/>
    <w:rsid w:val="00BF49C1"/>
    <w:rsid w:val="00C022F1"/>
    <w:rsid w:val="00C07CC7"/>
    <w:rsid w:val="00C25417"/>
    <w:rsid w:val="00C462B2"/>
    <w:rsid w:val="00C62B16"/>
    <w:rsid w:val="00C67EF6"/>
    <w:rsid w:val="00CD673B"/>
    <w:rsid w:val="00CE1A3B"/>
    <w:rsid w:val="00D06845"/>
    <w:rsid w:val="00D210A9"/>
    <w:rsid w:val="00D562E3"/>
    <w:rsid w:val="00D62892"/>
    <w:rsid w:val="00D912D4"/>
    <w:rsid w:val="00D955C5"/>
    <w:rsid w:val="00D95CE2"/>
    <w:rsid w:val="00DC480D"/>
    <w:rsid w:val="00DC58A5"/>
    <w:rsid w:val="00DF2032"/>
    <w:rsid w:val="00DF2569"/>
    <w:rsid w:val="00E131DE"/>
    <w:rsid w:val="00E13521"/>
    <w:rsid w:val="00E65D66"/>
    <w:rsid w:val="00E7618B"/>
    <w:rsid w:val="00E84901"/>
    <w:rsid w:val="00E97AC3"/>
    <w:rsid w:val="00EA5425"/>
    <w:rsid w:val="00ED3C34"/>
    <w:rsid w:val="00ED6677"/>
    <w:rsid w:val="00F14AC0"/>
    <w:rsid w:val="00F611F3"/>
    <w:rsid w:val="00F71B3D"/>
    <w:rsid w:val="00F9492E"/>
    <w:rsid w:val="00FD1477"/>
    <w:rsid w:val="00FF00D9"/>
    <w:rsid w:val="00FF2C12"/>
    <w:rsid w:val="779719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4">
    <w:name w:val="Default Paragraph Font"/>
    <w:semiHidden/>
    <w:unhideWhenUsed/>
    <w:uiPriority w:val="1"/>
  </w:style>
  <w:style w:type="table" w:default="1" w:styleId="5">
    <w:name w:val="Normal Table"/>
    <w:semiHidden/>
    <w:unhideWhenUsed/>
    <w:uiPriority w:val="99"/>
    <w:tblPr>
      <w:tblLayout w:type="fixed"/>
      <w:tblCellMar>
        <w:top w:w="0" w:type="dxa"/>
        <w:left w:w="108" w:type="dxa"/>
        <w:bottom w:w="0" w:type="dxa"/>
        <w:right w:w="108" w:type="dxa"/>
      </w:tblCellMar>
    </w:tblPr>
  </w:style>
  <w:style w:type="paragraph" w:styleId="2">
    <w:name w:val="footer"/>
    <w:basedOn w:val="1"/>
    <w:link w:val="7"/>
    <w:unhideWhenUsed/>
    <w:uiPriority w:val="99"/>
    <w:pPr>
      <w:tabs>
        <w:tab w:val="center" w:pos="4153"/>
        <w:tab w:val="right" w:pos="8306"/>
      </w:tabs>
      <w:snapToGrid w:val="0"/>
      <w:jc w:val="left"/>
    </w:pPr>
    <w:rPr>
      <w:sz w:val="18"/>
      <w:szCs w:val="18"/>
    </w:rPr>
  </w:style>
  <w:style w:type="paragraph" w:styleId="3">
    <w:name w:val="header"/>
    <w:basedOn w:val="1"/>
    <w:link w:val="6"/>
    <w:unhideWhenUsed/>
    <w:uiPriority w:val="99"/>
    <w:pPr>
      <w:pBdr>
        <w:bottom w:val="single" w:color="auto" w:sz="6" w:space="1"/>
      </w:pBdr>
      <w:tabs>
        <w:tab w:val="center" w:pos="4153"/>
        <w:tab w:val="right" w:pos="8306"/>
      </w:tabs>
      <w:snapToGrid w:val="0"/>
      <w:jc w:val="center"/>
    </w:pPr>
    <w:rPr>
      <w:sz w:val="18"/>
      <w:szCs w:val="18"/>
    </w:rPr>
  </w:style>
  <w:style w:type="character" w:customStyle="1" w:styleId="6">
    <w:name w:val="页眉 字符"/>
    <w:basedOn w:val="4"/>
    <w:link w:val="3"/>
    <w:uiPriority w:val="99"/>
    <w:rPr>
      <w:sz w:val="18"/>
      <w:szCs w:val="18"/>
    </w:rPr>
  </w:style>
  <w:style w:type="character" w:customStyle="1" w:styleId="7">
    <w:name w:val="页脚 字符"/>
    <w:basedOn w:val="4"/>
    <w:link w:val="2"/>
    <w:uiPriority w:val="99"/>
    <w:rPr>
      <w:sz w:val="18"/>
      <w:szCs w:val="18"/>
    </w:rPr>
  </w:style>
  <w:style w:type="paragraph" w:styleId="8">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827</Words>
  <Characters>4716</Characters>
  <Lines>39</Lines>
  <Paragraphs>11</Paragraphs>
  <TotalTime>3842</TotalTime>
  <ScaleCrop>false</ScaleCrop>
  <LinksUpToDate>false</LinksUpToDate>
  <CharactersWithSpaces>5532</CharactersWithSpaces>
  <Application>WPS Office_10.1.0.7698_F1E327BC-269C-435d-A152-05C5408002CA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2019-06-10T04:50:00Z</dcterms:created>
  <dc:creator>jiuming Lin</dc:creator>
  <cp:lastModifiedBy>MsClown</cp:lastModifiedBy>
  <dcterms:modified xsi:type="dcterms:W3CDTF">2019-11-16T15:18:40Z</dcterms:modified>
  <cp:revision>184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2052-10.1.0.7698</vt:lpwstr>
  </property>
</Properties>
</file>