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功能完成评价表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891"/>
        <w:gridCol w:w="2636"/>
        <w:gridCol w:w="709"/>
        <w:gridCol w:w="198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功能要求和分值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出处（标明文件和行数等）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自评分数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评价依据（简介描述理由）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评价分数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报告是否规范详实？0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 xml:space="preserve">分； 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详见大程报告（基本包含，略有些不重要的函数说明省略）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9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选题创意：</w:t>
            </w:r>
            <w:r>
              <w:rPr>
                <w:sz w:val="22"/>
              </w:rPr>
              <w:t>0-5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功能描述，参看报告；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类体系设计是否合理详实，是否包含含抽象、封装、继承、多态等特点；0</w:t>
            </w:r>
            <w:r>
              <w:rPr>
                <w:sz w:val="22"/>
              </w:rPr>
              <w:t>-20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类体系设计详见func.cpp中的15-103行代码。类体系设计包含了抽象（纯虚函数）、封装、继承、多态（虚函数）等特性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19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界面设计；（画面美观、菜单、按钮等图形控件的合理使用、支持鼠标等交互操作，操作容易）；0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default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弹出式菜单（点击鼠标右击弹出菜单）、蓝色背景板、支持鼠标/键盘的交互。详见func.cpp的202-290、719-876等行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9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支持文件读写（参照某种标准格式实现数据读入和导出文件读写功能）；0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可以将上一次绘制的图形数据保存到相应文件夹下的“1.txt”文件，也可以将“1.txt”中的图形数据加载到画板上，详见func.cpp中的LinePoint（）和SavePoints()函数</w:t>
            </w:r>
          </w:p>
          <w:p>
            <w:pPr>
              <w:pStyle w:val="7"/>
              <w:ind w:firstLine="0" w:firstLineChars="0"/>
              <w:rPr>
                <w:rFonts w:hint="default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883-988行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9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1"/>
              </w:rPr>
              <w:t>图形显示基于opengl并具有放大缩小、移动旋转、真实感显示等功能；0</w:t>
            </w:r>
            <w:r>
              <w:rPr>
                <w:sz w:val="21"/>
              </w:rPr>
              <w:t>-10</w:t>
            </w:r>
            <w:r>
              <w:rPr>
                <w:rFonts w:hint="eastAsia"/>
                <w:sz w:val="21"/>
              </w:rPr>
              <w:t>分；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程序基于opengl，且绘制图形时可以控制图形的大小、也可以旋转角度，绘制出的图形具有真实的二维感。详见func.cpp中的572-657等行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9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提供的代码是否可以编译成功？</w:t>
            </w:r>
            <w:r>
              <w:rPr>
                <w:sz w:val="22"/>
              </w:rPr>
              <w:t>0-5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可以编译成功，编译说明可以参考大程报告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提供的文档中是否有独立执行的文件？0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独立执行的exe文件可以在Release文件夹下找到（myproject-&gt;Release-&gt;</w:t>
            </w:r>
          </w:p>
          <w:p>
            <w:pPr>
              <w:pStyle w:val="7"/>
              <w:ind w:firstLine="0" w:firstLineChars="0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myproject.exe） 此文档下面有截图说明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10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算法设计的亮点；0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该绘图程序基于opengl，在绘制圆等图形时采用了微小量拟合、实时跟踪等算法思路，详见func.cpp的403-550等行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10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代码的规范性（类函数的命名规范性、代码的书写规范性）；0</w:t>
            </w:r>
            <w:r>
              <w:rPr>
                <w:sz w:val="22"/>
              </w:rPr>
              <w:t>-10</w:t>
            </w:r>
            <w:r>
              <w:rPr>
                <w:rFonts w:hint="eastAsia"/>
                <w:sz w:val="22"/>
              </w:rPr>
              <w:t>分；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类名、函数名、变量名都基本做到了“见名知意”，代码的编写也做到了缩进整齐、规范美观。</w:t>
            </w:r>
          </w:p>
          <w:p>
            <w:pPr>
              <w:pStyle w:val="7"/>
              <w:ind w:firstLine="0" w:firstLineChars="0"/>
              <w:rPr>
                <w:rFonts w:hint="default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B0F0"/>
                <w:sz w:val="22"/>
                <w:lang w:val="en-US" w:eastAsia="zh-CN"/>
              </w:rPr>
              <w:t>类名可以参见func.cpp的15-103行</w:t>
            </w: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10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891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总分：1</w:t>
            </w:r>
            <w:r>
              <w:rPr>
                <w:sz w:val="22"/>
              </w:rPr>
              <w:t>00</w:t>
            </w:r>
          </w:p>
        </w:tc>
        <w:tc>
          <w:tcPr>
            <w:tcW w:w="2268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95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7"/>
              <w:ind w:firstLine="0" w:firstLineChars="0"/>
              <w:rPr>
                <w:sz w:val="22"/>
              </w:rPr>
            </w:pPr>
          </w:p>
        </w:tc>
      </w:tr>
    </w:tbl>
    <w:p>
      <w:pPr>
        <w:pStyle w:val="7"/>
        <w:ind w:firstLine="0" w:firstLineChars="0"/>
        <w:rPr>
          <w:sz w:val="22"/>
        </w:rPr>
      </w:pPr>
      <w:r>
        <w:rPr>
          <w:rFonts w:hint="eastAsia"/>
          <w:sz w:val="22"/>
        </w:rPr>
        <w:t>说明：</w:t>
      </w:r>
      <w:r>
        <w:rPr>
          <w:sz w:val="22"/>
        </w:rPr>
        <w:t>1</w:t>
      </w:r>
      <w:r>
        <w:rPr>
          <w:rFonts w:hint="eastAsia"/>
          <w:sz w:val="22"/>
        </w:rPr>
        <w:t>）无法编译又不提供执行文件的，按照0分评阅。</w:t>
      </w:r>
    </w:p>
    <w:p>
      <w:pPr>
        <w:numPr>
          <w:ilvl w:val="0"/>
          <w:numId w:val="1"/>
        </w:numPr>
        <w:ind w:left="660" w:leftChars="0" w:firstLine="0" w:firstLineChars="0"/>
        <w:rPr>
          <w:rFonts w:hint="eastAsia"/>
          <w:sz w:val="22"/>
        </w:rPr>
      </w:pPr>
      <w:r>
        <w:rPr>
          <w:rFonts w:hint="eastAsia"/>
          <w:sz w:val="22"/>
        </w:rPr>
        <w:t>如果需要特殊的文件编译，需要在报告中说明并提供。</w:t>
      </w:r>
    </w:p>
    <w:p>
      <w:pPr>
        <w:numPr>
          <w:ilvl w:val="0"/>
          <w:numId w:val="0"/>
        </w:numPr>
        <w:ind w:left="660" w:leftChars="0"/>
        <w:rPr>
          <w:rFonts w:hint="eastAsia"/>
          <w:sz w:val="22"/>
        </w:rPr>
      </w:pPr>
    </w:p>
    <w:p>
      <w:pPr>
        <w:numPr>
          <w:ilvl w:val="0"/>
          <w:numId w:val="0"/>
        </w:numPr>
        <w:ind w:left="660" w:leftChars="0"/>
        <w:rPr>
          <w:rFonts w:hint="eastAsia"/>
          <w:sz w:val="22"/>
        </w:rPr>
      </w:pPr>
    </w:p>
    <w:p>
      <w:pPr>
        <w:numPr>
          <w:ilvl w:val="0"/>
          <w:numId w:val="0"/>
        </w:numPr>
        <w:ind w:left="660" w:leftChars="0"/>
        <w:rPr>
          <w:rFonts w:hint="eastAsia"/>
          <w:sz w:val="22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660" w:leftChars="0"/>
        <w:rPr>
          <w:rFonts w:hint="eastAsia"/>
          <w:sz w:val="22"/>
          <w:highlight w:val="yellow"/>
          <w:lang w:val="en-US" w:eastAsia="zh-CN"/>
        </w:rPr>
      </w:pPr>
      <w:r>
        <w:rPr>
          <w:rFonts w:hint="eastAsia"/>
          <w:sz w:val="22"/>
          <w:highlight w:val="yellow"/>
          <w:lang w:val="en-US" w:eastAsia="zh-CN"/>
        </w:rPr>
        <w:t>找独立可执行文件可以参考下图：</w:t>
      </w:r>
    </w:p>
    <w:p>
      <w:pPr>
        <w:numPr>
          <w:ilvl w:val="0"/>
          <w:numId w:val="0"/>
        </w:numPr>
        <w:ind w:left="660" w:leftChars="0"/>
      </w:pPr>
      <w:r>
        <w:drawing>
          <wp:inline distT="0" distB="0" distL="114300" distR="114300">
            <wp:extent cx="5272405" cy="3730625"/>
            <wp:effectExtent l="0" t="0" r="63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60" w:leftChars="0"/>
      </w:pPr>
    </w:p>
    <w:p>
      <w:pPr>
        <w:numPr>
          <w:ilvl w:val="0"/>
          <w:numId w:val="0"/>
        </w:numPr>
        <w:ind w:left="660"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BBE390"/>
    <w:multiLevelType w:val="singleLevel"/>
    <w:tmpl w:val="44BBE390"/>
    <w:lvl w:ilvl="0" w:tentative="0">
      <w:start w:val="2"/>
      <w:numFmt w:val="decimal"/>
      <w:suff w:val="nothing"/>
      <w:lvlText w:val="%1）"/>
      <w:lvlJc w:val="left"/>
      <w:pPr>
        <w:ind w:left="6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172A27"/>
    <w:rsid w:val="003A6F24"/>
    <w:rsid w:val="008B003B"/>
    <w:rsid w:val="111B5C4A"/>
    <w:rsid w:val="24303556"/>
    <w:rsid w:val="25287B41"/>
    <w:rsid w:val="423A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77</Words>
  <Characters>445</Characters>
  <Lines>3</Lines>
  <Paragraphs>1</Paragraphs>
  <TotalTime>14</TotalTime>
  <ScaleCrop>false</ScaleCrop>
  <LinksUpToDate>false</LinksUpToDate>
  <CharactersWithSpaces>521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2022-11-21T03:29:00Z</dcterms:created>
  <dc:creator>HighAir</dc:creator>
  <cp:lastModifiedBy>微信用户</cp:lastModifiedBy>
  <dcterms:modified xsi:type="dcterms:W3CDTF">2022-12-31T05:21:46Z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47C0E2F99F144513A7DD310D8E59B9AF</vt:lpwstr>
  </property>
</Properties>
</file>