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D5609" w:rsidRPr="00EB2CD7" w:rsidRDefault="002D5609">
      <w:pPr>
        <w:pBdr>
          <w:top w:val="nil"/>
          <w:left w:val="nil"/>
          <w:bottom w:val="nil"/>
          <w:right w:val="nil"/>
          <w:between w:val="nil"/>
        </w:pBdr>
        <w:spacing w:line="276" w:lineRule="auto"/>
        <w:rPr>
          <w:sz w:val="10"/>
          <w:szCs w:val="10"/>
        </w:rPr>
      </w:pPr>
    </w:p>
    <w:p w14:paraId="00000003" w14:textId="5C59CD0B" w:rsidR="002D5609" w:rsidRPr="0032488F" w:rsidRDefault="0032488F" w:rsidP="0032488F">
      <w:pPr>
        <w:spacing w:line="300" w:lineRule="auto"/>
        <w:jc w:val="center"/>
        <w:rPr>
          <w:b/>
          <w:sz w:val="28"/>
          <w:szCs w:val="28"/>
        </w:rPr>
      </w:pPr>
      <w:r w:rsidRPr="0032488F">
        <w:rPr>
          <w:b/>
          <w:sz w:val="28"/>
          <w:szCs w:val="28"/>
        </w:rPr>
        <w:t xml:space="preserve">Stochastic AGV Dispatching in Automated Container Terminals: </w:t>
      </w:r>
      <w:r>
        <w:rPr>
          <w:b/>
          <w:sz w:val="28"/>
          <w:szCs w:val="28"/>
        </w:rPr>
        <w:br/>
      </w:r>
      <w:r w:rsidRPr="0032488F">
        <w:rPr>
          <w:b/>
          <w:sz w:val="28"/>
          <w:szCs w:val="28"/>
        </w:rPr>
        <w:t>A Deep Reinforcement Learning Approach</w:t>
      </w:r>
    </w:p>
    <w:p w14:paraId="7E8E19AC" w14:textId="77777777" w:rsidR="0032488F" w:rsidRPr="00F867CD" w:rsidRDefault="0032488F">
      <w:pPr>
        <w:spacing w:line="300" w:lineRule="auto"/>
        <w:jc w:val="center"/>
        <w:rPr>
          <w:sz w:val="10"/>
          <w:szCs w:val="10"/>
        </w:rPr>
      </w:pPr>
    </w:p>
    <w:p w14:paraId="00000006" w14:textId="3D3D62FC" w:rsidR="002D5609" w:rsidRPr="0032488F" w:rsidRDefault="00D157A1" w:rsidP="0032488F">
      <w:pPr>
        <w:spacing w:line="260" w:lineRule="auto"/>
        <w:ind w:left="708" w:hanging="708"/>
        <w:jc w:val="center"/>
        <w:rPr>
          <w:vertAlign w:val="superscript"/>
        </w:rPr>
      </w:pPr>
      <w:r>
        <w:rPr>
          <w:u w:val="single"/>
        </w:rPr>
        <w:t>Niraj Prashant Kamble</w:t>
      </w:r>
      <w:r>
        <w:rPr>
          <w:vertAlign w:val="superscript"/>
        </w:rPr>
        <w:t>1*</w:t>
      </w:r>
      <w:r>
        <w:t xml:space="preserve">, </w:t>
      </w:r>
      <w:proofErr w:type="spellStart"/>
      <w:r>
        <w:t>Jayendran</w:t>
      </w:r>
      <w:proofErr w:type="spellEnd"/>
      <w:r>
        <w:t xml:space="preserve"> </w:t>
      </w:r>
      <w:r w:rsidR="000849A7" w:rsidRPr="000849A7">
        <w:t>Venkateswaran</w:t>
      </w:r>
      <w:r w:rsidR="000849A7">
        <w:rPr>
          <w:vertAlign w:val="superscript"/>
        </w:rPr>
        <w:t>1</w:t>
      </w:r>
    </w:p>
    <w:p w14:paraId="00000007" w14:textId="02BE13F0" w:rsidR="002D5609" w:rsidRPr="00F867CD" w:rsidRDefault="002D5609">
      <w:pPr>
        <w:spacing w:line="260" w:lineRule="auto"/>
        <w:jc w:val="center"/>
        <w:rPr>
          <w:sz w:val="10"/>
          <w:szCs w:val="10"/>
        </w:rPr>
      </w:pPr>
    </w:p>
    <w:p w14:paraId="00000008" w14:textId="52CC15FE" w:rsidR="002D5609" w:rsidRDefault="00000000">
      <w:pPr>
        <w:tabs>
          <w:tab w:val="center" w:pos="4536"/>
          <w:tab w:val="left" w:pos="5780"/>
        </w:tabs>
        <w:spacing w:line="260" w:lineRule="auto"/>
        <w:rPr>
          <w:i/>
          <w:vertAlign w:val="superscript"/>
        </w:rPr>
      </w:pPr>
      <w:r>
        <w:rPr>
          <w:i/>
          <w:vertAlign w:val="superscript"/>
        </w:rPr>
        <w:tab/>
        <w:t>1</w:t>
      </w:r>
      <w:r w:rsidR="000849A7">
        <w:rPr>
          <w:i/>
        </w:rPr>
        <w:t>Department of I</w:t>
      </w:r>
      <w:r w:rsidR="0032488F">
        <w:rPr>
          <w:i/>
        </w:rPr>
        <w:t>ndustrial Engineering</w:t>
      </w:r>
      <w:r w:rsidR="00516EB9">
        <w:rPr>
          <w:i/>
        </w:rPr>
        <w:t xml:space="preserve"> &amp;</w:t>
      </w:r>
      <w:r w:rsidR="0032488F">
        <w:rPr>
          <w:i/>
        </w:rPr>
        <w:t xml:space="preserve"> Operations Research</w:t>
      </w:r>
      <w:r>
        <w:rPr>
          <w:i/>
        </w:rPr>
        <w:t xml:space="preserve">, </w:t>
      </w:r>
      <w:r w:rsidR="0032488F">
        <w:rPr>
          <w:i/>
        </w:rPr>
        <w:t>IIT Bombay</w:t>
      </w:r>
      <w:r>
        <w:rPr>
          <w:i/>
        </w:rPr>
        <w:t xml:space="preserve">, </w:t>
      </w:r>
      <w:r w:rsidR="0032488F">
        <w:rPr>
          <w:i/>
        </w:rPr>
        <w:t>Mumbai</w:t>
      </w:r>
      <w:r>
        <w:rPr>
          <w:i/>
        </w:rPr>
        <w:t>,</w:t>
      </w:r>
      <w:r w:rsidR="00A221C7">
        <w:rPr>
          <w:i/>
        </w:rPr>
        <w:t xml:space="preserve"> </w:t>
      </w:r>
      <w:r w:rsidR="0032488F">
        <w:rPr>
          <w:i/>
        </w:rPr>
        <w:t>India</w:t>
      </w:r>
      <w:r>
        <w:rPr>
          <w:i/>
        </w:rPr>
        <w:t xml:space="preserve"> </w:t>
      </w:r>
    </w:p>
    <w:p w14:paraId="0000000C" w14:textId="6A5E36DC" w:rsidR="002D5609" w:rsidRPr="00FB03DC" w:rsidRDefault="000849A7" w:rsidP="00FB03DC">
      <w:pPr>
        <w:tabs>
          <w:tab w:val="center" w:pos="4536"/>
          <w:tab w:val="left" w:pos="5780"/>
        </w:tabs>
        <w:spacing w:line="260" w:lineRule="auto"/>
        <w:jc w:val="center"/>
        <w:rPr>
          <w:i/>
        </w:rPr>
      </w:pPr>
      <w:r w:rsidRPr="000849A7">
        <w:t>*</w:t>
      </w:r>
      <w:r w:rsidR="0032488F">
        <w:rPr>
          <w:color w:val="0000FF"/>
          <w:u w:val="single"/>
        </w:rPr>
        <w:t>25m1528@iitb.ac.in</w:t>
      </w:r>
    </w:p>
    <w:p w14:paraId="687C1012" w14:textId="77777777" w:rsidR="002D5609" w:rsidRPr="00221B51" w:rsidRDefault="002D5609">
      <w:pPr>
        <w:spacing w:line="260" w:lineRule="auto"/>
        <w:jc w:val="center"/>
        <w:rPr>
          <w:sz w:val="16"/>
          <w:szCs w:val="16"/>
        </w:rPr>
      </w:pPr>
    </w:p>
    <w:p w14:paraId="0000000D" w14:textId="4EB19491" w:rsidR="0032488F" w:rsidRPr="00F867CD" w:rsidRDefault="0032488F">
      <w:pPr>
        <w:spacing w:line="260" w:lineRule="auto"/>
        <w:jc w:val="center"/>
        <w:rPr>
          <w:sz w:val="10"/>
          <w:szCs w:val="10"/>
        </w:rPr>
        <w:sectPr w:rsidR="0032488F" w:rsidRPr="00F867CD" w:rsidSect="00DF0768">
          <w:headerReference w:type="default" r:id="rId8"/>
          <w:pgSz w:w="11906" w:h="16838" w:code="9"/>
          <w:pgMar w:top="306" w:right="1134" w:bottom="170" w:left="1134" w:header="284" w:footer="57" w:gutter="0"/>
          <w:pgNumType w:start="1"/>
          <w:cols w:space="720"/>
          <w:docGrid w:linePitch="326"/>
        </w:sectPr>
      </w:pPr>
    </w:p>
    <w:p w14:paraId="755FA91B" w14:textId="3A0C3504" w:rsidR="0032488F" w:rsidRPr="00F867CD" w:rsidRDefault="00000000" w:rsidP="0032488F">
      <w:pPr>
        <w:jc w:val="center"/>
        <w:rPr>
          <w:sz w:val="10"/>
          <w:szCs w:val="10"/>
        </w:rPr>
      </w:pPr>
      <w:r>
        <w:rPr>
          <w:b/>
        </w:rPr>
        <w:t>ABSTRACT</w:t>
      </w:r>
      <w:r w:rsidR="0032488F">
        <w:rPr>
          <w:b/>
        </w:rPr>
        <w:br/>
      </w:r>
    </w:p>
    <w:p w14:paraId="487188D4" w14:textId="660FB1A2" w:rsidR="0032488F" w:rsidRPr="00D157A1" w:rsidRDefault="0032488F" w:rsidP="0032488F">
      <w:pPr>
        <w:jc w:val="both"/>
        <w:rPr>
          <w:b/>
        </w:rPr>
      </w:pPr>
      <w:r>
        <w:t>Automated Container Terminals (ACTs) rely on fleets of Automated Guided Vehicles (AGVs) to transport containers between Quay Cranes (QCs) and storage yards. Efficient AGV dispatching is critical, as QC idle time</w:t>
      </w:r>
      <w:r w:rsidR="00D157A1">
        <w:t xml:space="preserve"> </w:t>
      </w:r>
      <w:r>
        <w:t>caused by delayed AGV arrivals</w:t>
      </w:r>
      <w:r w:rsidR="00D157A1">
        <w:t xml:space="preserve"> </w:t>
      </w:r>
      <w:r>
        <w:t>directly increases ship turnaround time and operational costs. Liu et al. [1] reported QC idle rates as high as 31.7% in simulated terminal operations.</w:t>
      </w:r>
    </w:p>
    <w:p w14:paraId="5315FDCE" w14:textId="031E8572" w:rsidR="0032488F" w:rsidRDefault="0032488F" w:rsidP="0032488F">
      <w:pPr>
        <w:jc w:val="both"/>
      </w:pPr>
      <w:r>
        <w:t>Despite extensive research, the majority of AGV scheduling models assume deterministic and static operating conditions, with task arrivals, travel times, and crane handling times treated as known constants. Recent studies [2, 3] explicitly acknowledge this limitation and call for scheduling methods that address real-world uncertainties such as dynamic task arrivals and multi-AGV traffic congestion. A comprehensive survey of 119 papers [4] identifies online and real-time scheduling as the most critical unsolved challenge in automated terminal operations.</w:t>
      </w:r>
    </w:p>
    <w:p w14:paraId="36648D7B" w14:textId="44F227FA" w:rsidR="0032488F" w:rsidRDefault="0032488F" w:rsidP="0032488F">
      <w:pPr>
        <w:jc w:val="both"/>
      </w:pPr>
      <w:r>
        <w:t>This work addresses this gap by formulating AGV dispatching as a Markov Decision Process (MDP) within a custom stochastic discrete-event simulation calibrated to real port settings. Task arrivals follow a Poisson process, and AGV travel times incorporate congestion penalties derived from lane occupancy. We train a Proximal Policy Optimization (PPO) agent using curriculum learning, progressively increasing terminal complexity and stochasticity. The framework is further extended to Multi-Agent PPO (MAPPO), enabling decentralized, cooperative AGV coordination where each vehicle acts as an independent intelligent agent.</w:t>
      </w:r>
    </w:p>
    <w:p w14:paraId="0000000F" w14:textId="5EB48018" w:rsidR="002D5609" w:rsidRDefault="0032488F" w:rsidP="0032488F">
      <w:pPr>
        <w:jc w:val="both"/>
      </w:pPr>
      <w:r>
        <w:t>A rigorous comparative evaluation benchmarks five scheduling approaches</w:t>
      </w:r>
      <w:r w:rsidR="00D157A1">
        <w:t xml:space="preserve">: </w:t>
      </w:r>
      <w:r>
        <w:t>Greedy, Genetic Algorithm, DQN, centralized PPO, and decentralized MAPPO</w:t>
      </w:r>
      <w:r w:rsidR="00D157A1">
        <w:t xml:space="preserve">, </w:t>
      </w:r>
      <w:r>
        <w:t>under identical stochastic scenarios, providing the first controlled multi-method comparison in a stochastic ACT environment.</w:t>
      </w:r>
    </w:p>
    <w:p w14:paraId="001745C5" w14:textId="77777777" w:rsidR="00E24A49" w:rsidRPr="00F867CD" w:rsidRDefault="00E24A49">
      <w:pPr>
        <w:jc w:val="both"/>
        <w:rPr>
          <w:sz w:val="10"/>
          <w:szCs w:val="10"/>
        </w:rPr>
      </w:pPr>
    </w:p>
    <w:p w14:paraId="76D55367" w14:textId="10473296" w:rsidR="00E24A49" w:rsidRDefault="00E24A49" w:rsidP="005D4C23">
      <w:pPr>
        <w:jc w:val="center"/>
        <w:rPr>
          <w:b/>
          <w:bCs/>
        </w:rPr>
      </w:pPr>
      <w:r w:rsidRPr="00E24A49">
        <w:rPr>
          <w:b/>
          <w:bCs/>
        </w:rPr>
        <w:t>Graphical Abstract</w:t>
      </w:r>
    </w:p>
    <w:p w14:paraId="4A8D8B15" w14:textId="77777777" w:rsidR="00E24A49" w:rsidRPr="00F867CD" w:rsidRDefault="00E24A49">
      <w:pPr>
        <w:jc w:val="both"/>
        <w:rPr>
          <w:b/>
          <w:bCs/>
          <w:sz w:val="10"/>
          <w:szCs w:val="10"/>
        </w:rPr>
      </w:pPr>
    </w:p>
    <w:p w14:paraId="7413EB35" w14:textId="7CCE78DC" w:rsidR="00EB3222" w:rsidRPr="00EB3222" w:rsidRDefault="00EB3222" w:rsidP="00EB3222">
      <w:pPr>
        <w:jc w:val="center"/>
        <w:rPr>
          <w:b/>
          <w:bCs/>
          <w:noProof/>
          <w:lang w:val="en-IN"/>
        </w:rPr>
      </w:pPr>
      <w:r w:rsidRPr="00EB3222">
        <w:rPr>
          <w:b/>
          <w:bCs/>
          <w:noProof/>
          <w:lang w:val="en-IN"/>
        </w:rPr>
        <w:drawing>
          <wp:inline distT="0" distB="0" distL="0" distR="0" wp14:anchorId="7FCCEFAE" wp14:editId="19A089CB">
            <wp:extent cx="6006661" cy="2401294"/>
            <wp:effectExtent l="0" t="0" r="0" b="0"/>
            <wp:docPr id="1493962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41338" cy="2415157"/>
                    </a:xfrm>
                    <a:prstGeom prst="rect">
                      <a:avLst/>
                    </a:prstGeom>
                    <a:noFill/>
                    <a:ln>
                      <a:noFill/>
                    </a:ln>
                  </pic:spPr>
                </pic:pic>
              </a:graphicData>
            </a:graphic>
          </wp:inline>
        </w:drawing>
      </w:r>
    </w:p>
    <w:p w14:paraId="0C72BFD0" w14:textId="5E96275A" w:rsidR="00E24A49" w:rsidRPr="00EB3222" w:rsidRDefault="00E24A49" w:rsidP="00EB3222">
      <w:pPr>
        <w:rPr>
          <w:b/>
          <w:bCs/>
          <w:noProof/>
          <w:sz w:val="10"/>
          <w:szCs w:val="10"/>
          <w:lang w:val="en-IN"/>
        </w:rPr>
      </w:pPr>
    </w:p>
    <w:p w14:paraId="00000010" w14:textId="77777777" w:rsidR="002D5609" w:rsidRPr="00F867CD" w:rsidRDefault="002D5609">
      <w:pPr>
        <w:jc w:val="both"/>
        <w:rPr>
          <w:sz w:val="10"/>
          <w:szCs w:val="10"/>
        </w:rPr>
      </w:pPr>
    </w:p>
    <w:p w14:paraId="00000011" w14:textId="4FA9F68E" w:rsidR="002D5609" w:rsidRDefault="00000000">
      <w:pPr>
        <w:jc w:val="both"/>
      </w:pPr>
      <w:r>
        <w:rPr>
          <w:b/>
        </w:rPr>
        <w:t>Keywords:</w:t>
      </w:r>
      <w:r>
        <w:t xml:space="preserve"> </w:t>
      </w:r>
      <w:r w:rsidR="00F867CD" w:rsidRPr="00F867CD">
        <w:t>Automated Container Terminal; AGV Scheduling; Stochastic Scheduling;</w:t>
      </w:r>
      <w:r w:rsidR="00EF40F7">
        <w:t xml:space="preserve"> </w:t>
      </w:r>
      <w:r w:rsidR="00EF40F7" w:rsidRPr="00EF40F7">
        <w:t>Discrete-Event Simulation</w:t>
      </w:r>
      <w:r w:rsidR="00EF40F7">
        <w:t>;</w:t>
      </w:r>
      <w:r w:rsidR="00F867CD" w:rsidRPr="00F867CD">
        <w:t xml:space="preserve"> Markov Decision Process; Proximal Policy Optimization; Multi-Agent Reinforcement Learning; Quay Crane Idle Time</w:t>
      </w:r>
    </w:p>
    <w:p w14:paraId="00000012" w14:textId="77777777" w:rsidR="002D5609" w:rsidRPr="00F867CD" w:rsidRDefault="002D5609">
      <w:pPr>
        <w:jc w:val="both"/>
        <w:rPr>
          <w:b/>
          <w:sz w:val="10"/>
          <w:szCs w:val="10"/>
        </w:rPr>
      </w:pPr>
    </w:p>
    <w:p w14:paraId="00000014" w14:textId="516B7234" w:rsidR="002D5609" w:rsidRPr="00A221C7" w:rsidRDefault="00000000">
      <w:pPr>
        <w:jc w:val="both"/>
        <w:rPr>
          <w:b/>
        </w:rPr>
      </w:pPr>
      <w:r>
        <w:rPr>
          <w:b/>
        </w:rPr>
        <w:t xml:space="preserve">References: </w:t>
      </w:r>
    </w:p>
    <w:p w14:paraId="7CFC0F07" w14:textId="253E9987" w:rsidR="00A221C7" w:rsidRDefault="00A221C7">
      <w:pPr>
        <w:jc w:val="both"/>
      </w:pPr>
      <w:r w:rsidRPr="00A221C7">
        <w:t>[1] C.I. Liu et al., </w:t>
      </w:r>
      <w:r w:rsidR="00EF40F7" w:rsidRPr="00EF40F7">
        <w:rPr>
          <w:i/>
          <w:iCs/>
        </w:rPr>
        <w:t>Proc. European Control Conference</w:t>
      </w:r>
      <w:r w:rsidRPr="00A221C7">
        <w:t xml:space="preserve"> (2001) </w:t>
      </w:r>
      <w:r w:rsidR="00A0014E">
        <w:t>295</w:t>
      </w:r>
      <w:r w:rsidRPr="00A221C7">
        <w:t>–</w:t>
      </w:r>
      <w:r w:rsidR="00A0014E">
        <w:t>300</w:t>
      </w:r>
      <w:r w:rsidRPr="00A221C7">
        <w:t>.</w:t>
      </w:r>
    </w:p>
    <w:p w14:paraId="5F19D73E" w14:textId="45787363" w:rsidR="00A221C7" w:rsidRPr="00A221C7" w:rsidRDefault="00A221C7" w:rsidP="00A221C7">
      <w:pPr>
        <w:jc w:val="both"/>
        <w:rPr>
          <w:lang w:val="en-IN"/>
        </w:rPr>
      </w:pPr>
      <w:r w:rsidRPr="00A221C7">
        <w:rPr>
          <w:lang w:val="en-IN"/>
        </w:rPr>
        <w:t>[2] X. Yang et al., </w:t>
      </w:r>
      <w:r w:rsidRPr="00A221C7">
        <w:rPr>
          <w:i/>
          <w:iCs/>
          <w:lang w:val="en-IN"/>
        </w:rPr>
        <w:t>International Journal of Production Research</w:t>
      </w:r>
      <w:r w:rsidRPr="00A221C7">
        <w:rPr>
          <w:lang w:val="en-IN"/>
        </w:rPr>
        <w:t> </w:t>
      </w:r>
      <w:r w:rsidRPr="00A221C7">
        <w:rPr>
          <w:b/>
          <w:bCs/>
          <w:lang w:val="en-IN"/>
        </w:rPr>
        <w:t>63</w:t>
      </w:r>
      <w:r w:rsidR="00A0014E">
        <w:rPr>
          <w:b/>
          <w:bCs/>
          <w:lang w:val="en-IN"/>
        </w:rPr>
        <w:t>:23</w:t>
      </w:r>
      <w:r w:rsidRPr="00A221C7">
        <w:rPr>
          <w:lang w:val="en-IN"/>
        </w:rPr>
        <w:t xml:space="preserve"> (2025) </w:t>
      </w:r>
      <w:r w:rsidR="00A0014E">
        <w:rPr>
          <w:lang w:val="en-IN"/>
        </w:rPr>
        <w:t>9269</w:t>
      </w:r>
      <w:r w:rsidRPr="00A221C7">
        <w:rPr>
          <w:lang w:val="en-IN"/>
        </w:rPr>
        <w:t>–</w:t>
      </w:r>
      <w:r w:rsidR="00A0014E">
        <w:rPr>
          <w:lang w:val="en-IN"/>
        </w:rPr>
        <w:t>9297</w:t>
      </w:r>
      <w:r w:rsidRPr="00A221C7">
        <w:rPr>
          <w:lang w:val="en-IN"/>
        </w:rPr>
        <w:t>.</w:t>
      </w:r>
    </w:p>
    <w:p w14:paraId="7D633B9D" w14:textId="6A9D65A9" w:rsidR="00A221C7" w:rsidRPr="00A221C7" w:rsidRDefault="00A221C7" w:rsidP="00A221C7">
      <w:pPr>
        <w:jc w:val="both"/>
        <w:rPr>
          <w:lang w:val="en-IN"/>
        </w:rPr>
      </w:pPr>
      <w:r w:rsidRPr="00A221C7">
        <w:rPr>
          <w:lang w:val="en-IN"/>
        </w:rPr>
        <w:t>[3] T. Xie et al., </w:t>
      </w:r>
      <w:r w:rsidR="00EF40F7" w:rsidRPr="00EF40F7">
        <w:rPr>
          <w:i/>
          <w:iCs/>
          <w:lang w:val="en-IN"/>
        </w:rPr>
        <w:t>Flexible Services and Manufacturing Journal</w:t>
      </w:r>
      <w:r w:rsidRPr="00A221C7">
        <w:rPr>
          <w:lang w:val="en-IN"/>
        </w:rPr>
        <w:t> (2025)</w:t>
      </w:r>
      <w:r w:rsidR="00A96A2B">
        <w:rPr>
          <w:lang w:val="en-IN"/>
        </w:rPr>
        <w:t xml:space="preserve"> </w:t>
      </w:r>
      <w:r w:rsidR="00A96A2B" w:rsidRPr="00637845">
        <w:t>DOI: 10.1007/s10696-025</w:t>
      </w:r>
      <w:r w:rsidR="008277E1">
        <w:t>-</w:t>
      </w:r>
      <w:r w:rsidR="00A96A2B" w:rsidRPr="00637845">
        <w:t>09631-8</w:t>
      </w:r>
      <w:r w:rsidRPr="00637845">
        <w:rPr>
          <w:lang w:val="en-IN"/>
        </w:rPr>
        <w:t>.</w:t>
      </w:r>
    </w:p>
    <w:p w14:paraId="62F2EAEC" w14:textId="06745671" w:rsidR="00A221C7" w:rsidRPr="00A221C7" w:rsidRDefault="00A221C7" w:rsidP="00EB2CD7">
      <w:pPr>
        <w:tabs>
          <w:tab w:val="left" w:pos="7406"/>
        </w:tabs>
        <w:jc w:val="both"/>
        <w:rPr>
          <w:lang w:val="en-IN"/>
        </w:rPr>
      </w:pPr>
      <w:r w:rsidRPr="00A221C7">
        <w:rPr>
          <w:lang w:val="en-IN"/>
        </w:rPr>
        <w:t>[4] X. Li et al., </w:t>
      </w:r>
      <w:r w:rsidRPr="00A221C7">
        <w:rPr>
          <w:i/>
          <w:iCs/>
          <w:lang w:val="en-IN"/>
        </w:rPr>
        <w:t>Transport Economics and Management</w:t>
      </w:r>
      <w:r w:rsidRPr="00A221C7">
        <w:rPr>
          <w:lang w:val="en-IN"/>
        </w:rPr>
        <w:t> </w:t>
      </w:r>
      <w:r w:rsidRPr="00A221C7">
        <w:rPr>
          <w:b/>
          <w:bCs/>
          <w:lang w:val="en-IN"/>
        </w:rPr>
        <w:t>3</w:t>
      </w:r>
      <w:r w:rsidRPr="00A221C7">
        <w:rPr>
          <w:lang w:val="en-IN"/>
        </w:rPr>
        <w:t xml:space="preserve"> (2025) </w:t>
      </w:r>
      <w:r w:rsidR="00221B51">
        <w:rPr>
          <w:lang w:val="en-IN"/>
        </w:rPr>
        <w:t>269</w:t>
      </w:r>
      <w:r w:rsidRPr="00A221C7">
        <w:rPr>
          <w:lang w:val="en-IN"/>
        </w:rPr>
        <w:t>–</w:t>
      </w:r>
      <w:r w:rsidR="00221B51">
        <w:rPr>
          <w:lang w:val="en-IN"/>
        </w:rPr>
        <w:t>280</w:t>
      </w:r>
      <w:r w:rsidRPr="00A221C7">
        <w:rPr>
          <w:lang w:val="en-IN"/>
        </w:rPr>
        <w:t>.</w:t>
      </w:r>
      <w:r w:rsidR="00EB2CD7">
        <w:rPr>
          <w:lang w:val="en-IN"/>
        </w:rPr>
        <w:tab/>
      </w:r>
    </w:p>
    <w:sectPr w:rsidR="00A221C7" w:rsidRPr="00A221C7" w:rsidSect="00DF0768">
      <w:type w:val="continuous"/>
      <w:pgSz w:w="11906" w:h="16838" w:code="9"/>
      <w:pgMar w:top="1440" w:right="1134" w:bottom="0" w:left="1134" w:header="851" w:footer="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81B23" w14:textId="77777777" w:rsidR="00446C2E" w:rsidRDefault="00446C2E">
      <w:r>
        <w:separator/>
      </w:r>
    </w:p>
  </w:endnote>
  <w:endnote w:type="continuationSeparator" w:id="0">
    <w:p w14:paraId="5CF46082" w14:textId="77777777" w:rsidR="00446C2E" w:rsidRDefault="00446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Yu Gothic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7D37C" w14:textId="77777777" w:rsidR="00446C2E" w:rsidRDefault="00446C2E">
      <w:r>
        <w:separator/>
      </w:r>
    </w:p>
  </w:footnote>
  <w:footnote w:type="continuationSeparator" w:id="0">
    <w:p w14:paraId="7DC5BDB6" w14:textId="77777777" w:rsidR="00446C2E" w:rsidRDefault="00446C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6" w14:textId="709D7C55" w:rsidR="002D5609" w:rsidRPr="00C174EF" w:rsidRDefault="00C174EF" w:rsidP="000E76F9">
    <w:pPr>
      <w:pStyle w:val="Header"/>
      <w:jc w:val="both"/>
    </w:pPr>
    <w:r w:rsidRPr="00C174EF">
      <w:rPr>
        <w:color w:val="000000"/>
      </w:rPr>
      <w:t xml:space="preserve">International Conference on Operations Research: Theory, Applications and Emerging Technologies &amp; 59th Annual Convention of Operational Research Society of India (ICORSI 2026) | 21-23 </w:t>
    </w:r>
    <w:r w:rsidR="000E76F9" w:rsidRPr="00C174EF">
      <w:rPr>
        <w:color w:val="000000"/>
      </w:rPr>
      <w:t>December</w:t>
    </w:r>
    <w:r w:rsidRPr="00C174EF">
      <w:rPr>
        <w:color w:val="000000"/>
      </w:rPr>
      <w:t xml:space="preserve"> 2026 | Indian Institute of Technology Delhi (IIT Delhi), India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609"/>
    <w:rsid w:val="0006542B"/>
    <w:rsid w:val="000849A7"/>
    <w:rsid w:val="000E76F9"/>
    <w:rsid w:val="00115644"/>
    <w:rsid w:val="00117A76"/>
    <w:rsid w:val="001633F6"/>
    <w:rsid w:val="00221B51"/>
    <w:rsid w:val="002B6873"/>
    <w:rsid w:val="002D5609"/>
    <w:rsid w:val="002F5A0D"/>
    <w:rsid w:val="0032488F"/>
    <w:rsid w:val="003603B7"/>
    <w:rsid w:val="00446C2E"/>
    <w:rsid w:val="004A34E5"/>
    <w:rsid w:val="004F6041"/>
    <w:rsid w:val="00516EB9"/>
    <w:rsid w:val="00536218"/>
    <w:rsid w:val="005C35F7"/>
    <w:rsid w:val="005D4C23"/>
    <w:rsid w:val="00637845"/>
    <w:rsid w:val="0077116D"/>
    <w:rsid w:val="00775821"/>
    <w:rsid w:val="007A678B"/>
    <w:rsid w:val="008277E1"/>
    <w:rsid w:val="008C0B77"/>
    <w:rsid w:val="009105AF"/>
    <w:rsid w:val="009F4517"/>
    <w:rsid w:val="00A0014E"/>
    <w:rsid w:val="00A221C7"/>
    <w:rsid w:val="00A96A2B"/>
    <w:rsid w:val="00B02136"/>
    <w:rsid w:val="00B3658E"/>
    <w:rsid w:val="00C174EF"/>
    <w:rsid w:val="00D157A1"/>
    <w:rsid w:val="00DF0768"/>
    <w:rsid w:val="00E24A49"/>
    <w:rsid w:val="00E66EF8"/>
    <w:rsid w:val="00EB2CD7"/>
    <w:rsid w:val="00EB3222"/>
    <w:rsid w:val="00EF40F7"/>
    <w:rsid w:val="00F24211"/>
    <w:rsid w:val="00F867CD"/>
    <w:rsid w:val="00FB03DC"/>
    <w:rsid w:val="00FC0A7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FECF2"/>
  <w15:docId w15:val="{A209C78E-0BB5-4FBC-9AC9-6D5E3365E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
      <w:lang w:eastAsia="zh-TW"/>
    </w:rPr>
  </w:style>
  <w:style w:type="paragraph" w:styleId="Heading1">
    <w:name w:val="heading 1"/>
    <w:basedOn w:val="Normal"/>
    <w:next w:val="Normal"/>
    <w:uiPriority w:val="9"/>
    <w:qFormat/>
    <w:pPr>
      <w:keepNext/>
      <w:spacing w:line="240" w:lineRule="exact"/>
      <w:jc w:val="both"/>
      <w:outlineLvl w:val="0"/>
    </w:pPr>
    <w:rPr>
      <w:rFonts w:ascii="Arial" w:hAnsi="Arial" w:cs="Arial"/>
      <w:b/>
      <w:bCs/>
      <w:sz w:val="20"/>
      <w:szCs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Pr>
      <w:color w:val="0000FF"/>
      <w:u w:val="single"/>
    </w:rPr>
  </w:style>
  <w:style w:type="paragraph" w:styleId="BodyText">
    <w:name w:val="Body Text"/>
    <w:basedOn w:val="Normal"/>
    <w:rsid w:val="00CE6533"/>
    <w:pPr>
      <w:overflowPunct w:val="0"/>
      <w:autoSpaceDE w:val="0"/>
      <w:autoSpaceDN w:val="0"/>
      <w:adjustRightInd w:val="0"/>
      <w:spacing w:after="80"/>
      <w:jc w:val="both"/>
      <w:textAlignment w:val="baseline"/>
    </w:pPr>
    <w:rPr>
      <w:kern w:val="0"/>
      <w:sz w:val="28"/>
      <w:szCs w:val="20"/>
    </w:rPr>
  </w:style>
  <w:style w:type="paragraph" w:styleId="Header">
    <w:name w:val="header"/>
    <w:basedOn w:val="Normal"/>
    <w:link w:val="HeaderChar"/>
    <w:uiPriority w:val="99"/>
    <w:rsid w:val="00A36771"/>
    <w:pPr>
      <w:tabs>
        <w:tab w:val="center" w:pos="4153"/>
        <w:tab w:val="right" w:pos="8306"/>
      </w:tabs>
      <w:snapToGrid w:val="0"/>
    </w:pPr>
    <w:rPr>
      <w:sz w:val="20"/>
      <w:szCs w:val="20"/>
    </w:rPr>
  </w:style>
  <w:style w:type="paragraph" w:styleId="Footer">
    <w:name w:val="footer"/>
    <w:basedOn w:val="Normal"/>
    <w:link w:val="FooterChar"/>
    <w:uiPriority w:val="99"/>
    <w:qFormat/>
    <w:rsid w:val="00A36771"/>
    <w:pPr>
      <w:tabs>
        <w:tab w:val="center" w:pos="4153"/>
        <w:tab w:val="right" w:pos="8306"/>
      </w:tabs>
      <w:snapToGrid w:val="0"/>
    </w:pPr>
    <w:rPr>
      <w:sz w:val="20"/>
      <w:szCs w:val="20"/>
    </w:rPr>
  </w:style>
  <w:style w:type="paragraph" w:customStyle="1" w:styleId="a">
    <w:name w:val="清單段落"/>
    <w:basedOn w:val="Normal"/>
    <w:uiPriority w:val="34"/>
    <w:qFormat/>
    <w:rsid w:val="00CA6C81"/>
    <w:pPr>
      <w:widowControl/>
      <w:ind w:leftChars="200" w:left="480"/>
    </w:pPr>
    <w:rPr>
      <w:kern w:val="0"/>
      <w:lang w:val="es-ES_tradnl" w:eastAsia="es-ES_tradnl"/>
    </w:rPr>
  </w:style>
  <w:style w:type="paragraph" w:styleId="BodyText3">
    <w:name w:val="Body Text 3"/>
    <w:basedOn w:val="Normal"/>
    <w:link w:val="BodyText3Char"/>
    <w:rsid w:val="00D779E5"/>
    <w:pPr>
      <w:spacing w:after="120"/>
    </w:pPr>
    <w:rPr>
      <w:sz w:val="16"/>
      <w:szCs w:val="16"/>
    </w:rPr>
  </w:style>
  <w:style w:type="character" w:customStyle="1" w:styleId="BodyText3Char">
    <w:name w:val="Body Text 3 Char"/>
    <w:link w:val="BodyText3"/>
    <w:rsid w:val="00D779E5"/>
    <w:rPr>
      <w:kern w:val="2"/>
      <w:sz w:val="16"/>
      <w:szCs w:val="16"/>
    </w:rPr>
  </w:style>
  <w:style w:type="paragraph" w:styleId="DocumentMap">
    <w:name w:val="Document Map"/>
    <w:basedOn w:val="Normal"/>
    <w:semiHidden/>
    <w:rsid w:val="003B3F4D"/>
    <w:pPr>
      <w:shd w:val="clear" w:color="auto" w:fill="000080"/>
    </w:pPr>
    <w:rPr>
      <w:rFonts w:ascii="Arial" w:hAnsi="Arial"/>
    </w:rPr>
  </w:style>
  <w:style w:type="character" w:customStyle="1" w:styleId="FooterChar">
    <w:name w:val="Footer Char"/>
    <w:link w:val="Footer"/>
    <w:uiPriority w:val="99"/>
    <w:rsid w:val="0014333B"/>
    <w:rPr>
      <w:kern w:val="2"/>
    </w:rPr>
  </w:style>
  <w:style w:type="character" w:customStyle="1" w:styleId="HeaderChar">
    <w:name w:val="Header Char"/>
    <w:link w:val="Header"/>
    <w:uiPriority w:val="99"/>
    <w:rsid w:val="007B2BE8"/>
    <w:rPr>
      <w:kern w:val="2"/>
      <w:lang w:eastAsia="zh-TW"/>
    </w:rPr>
  </w:style>
  <w:style w:type="paragraph" w:styleId="BalloonText">
    <w:name w:val="Balloon Text"/>
    <w:basedOn w:val="Normal"/>
    <w:link w:val="BalloonTextChar"/>
    <w:rsid w:val="007B2BE8"/>
    <w:rPr>
      <w:rFonts w:ascii="Malgun Gothic" w:eastAsia="Malgun Gothic" w:hAnsi="Malgun Gothic"/>
      <w:sz w:val="18"/>
      <w:szCs w:val="18"/>
    </w:rPr>
  </w:style>
  <w:style w:type="character" w:customStyle="1" w:styleId="BalloonTextChar">
    <w:name w:val="Balloon Text Char"/>
    <w:link w:val="BalloonText"/>
    <w:rsid w:val="007B2BE8"/>
    <w:rPr>
      <w:rFonts w:ascii="Malgun Gothic" w:eastAsia="Malgun Gothic" w:hAnsi="Malgun Gothic" w:cs="Times New Roman"/>
      <w:kern w:val="2"/>
      <w:sz w:val="18"/>
      <w:szCs w:val="18"/>
      <w:lang w:eastAsia="zh-TW"/>
    </w:rPr>
  </w:style>
  <w:style w:type="paragraph" w:customStyle="1" w:styleId="Default">
    <w:name w:val="Default"/>
    <w:rsid w:val="006249F5"/>
    <w:pPr>
      <w:autoSpaceDE w:val="0"/>
      <w:autoSpaceDN w:val="0"/>
      <w:adjustRightInd w:val="0"/>
    </w:pPr>
    <w:rPr>
      <w:color w:val="000000"/>
      <w:lang w:eastAsia="ko-KR"/>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32488F"/>
    <w:rPr>
      <w:color w:val="605E5C"/>
      <w:shd w:val="clear" w:color="auto" w:fill="E1DFDD"/>
    </w:rPr>
  </w:style>
  <w:style w:type="paragraph" w:styleId="NoSpacing">
    <w:name w:val="No Spacing"/>
    <w:uiPriority w:val="1"/>
    <w:qFormat/>
    <w:rsid w:val="005D4C23"/>
    <w:pPr>
      <w:widowControl/>
    </w:pPr>
    <w:rPr>
      <w:rFonts w:asciiTheme="minorHAnsi" w:eastAsiaTheme="minorHAnsi" w:hAnsiTheme="minorHAnsi" w:cstheme="minorBidi"/>
      <w:color w:val="0E2841" w:themeColor="text2"/>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n6hfwc10HpP3NlfDX0kpjbxMcw==">CgMxLjA4AHIhMVRZSlhYM05QdGhNS2ZyUDdXVEdCYkgyTXZfX1UyaUlP</go:docsCustomData>
</go:gDocsCustomXmlDataStorage>
</file>

<file path=customXml/itemProps1.xml><?xml version="1.0" encoding="utf-8"?>
<ds:datastoreItem xmlns:ds="http://schemas.openxmlformats.org/officeDocument/2006/customXml" ds:itemID="{CE1D8AE7-AAF9-4AFE-8C49-3D1F4E3C3AF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405</Words>
  <Characters>2314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Connie</dc:creator>
  <cp:lastModifiedBy>Niraj Kamble</cp:lastModifiedBy>
  <cp:revision>3</cp:revision>
  <cp:lastPrinted>2026-09-01T13:56:00Z</cp:lastPrinted>
  <dcterms:created xsi:type="dcterms:W3CDTF">2026-09-01T16:05:00Z</dcterms:created>
  <dcterms:modified xsi:type="dcterms:W3CDTF">2026-09-01T16:11:00Z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b21e6cf40bc8036a91ef7248b405d5651d132a2ca220b45c5e722266cf7a8551</vt:lpwstr>
  </property>
</Properties>
</file>