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大模型Agent应用开发实践：基于多智能体圆桌研讨的教案智能磨课系统</w:t>
      </w:r>
    </w:p>
    <w:p>
      <w:pPr>
        <w:pStyle w:val="156"/>
        <w:rPr>
          <w:rFonts w:hint="eastAsia" w:ascii="黑体" w:hAnsi="黑体" w:eastAsia="黑体" w:cs="黑体"/>
          <w:i w:val="0"/>
          <w:iCs w:val="0"/>
        </w:rPr>
      </w:pPr>
      <w:r>
        <w:rPr>
          <w:rFonts w:hint="eastAsia" w:ascii="黑体" w:hAnsi="黑体" w:eastAsia="黑体" w:cs="黑体"/>
          <w:i w:val="0"/>
          <w:iCs w:val="0"/>
          <w:color w:val="666666"/>
        </w:rPr>
        <w:t xml:space="preserve">高校 AI 实践课 · 校企合作课题 </w:t>
      </w:r>
    </w:p>
    <w:p>
      <w:pPr>
        <w:pStyle w:val="4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一、课题背景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在真实的中小学教研场景中，一份普通教案要成长为高质量教案，通常要经历多位教研专家的"圆桌磨课"：不同专业视角的专家轮流批注、互相回应、争论取舍，最终由授课教师整合定稿。这一过程高度依赖稀缺的专家资源，是当前 AI+教育领域尚未被有效产品化的空白地带。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大模型的出现提供了新的可能：</w:t>
      </w:r>
      <w:r>
        <w:rPr>
          <w:rFonts w:hint="eastAsia" w:ascii="黑体" w:hAnsi="黑体" w:eastAsia="黑体" w:cs="黑体"/>
          <w:b/>
          <w:sz w:val="24"/>
          <w:szCs w:val="24"/>
        </w:rPr>
        <w:t>能否用多个具有差异化专业角色的智能体，模拟真实教研圆桌，把一份普通教案磨成高质量、高水平且符合学情的教案？</w:t>
      </w:r>
      <w:r>
        <w:rPr>
          <w:rFonts w:hint="eastAsia" w:ascii="黑体" w:hAnsi="黑体" w:eastAsia="黑体" w:cs="黑体"/>
          <w:sz w:val="24"/>
          <w:szCs w:val="24"/>
        </w:rPr>
        <w:t xml:space="preserve"> 与"单模型一键改写"相比，多智能体研讨是否有真实增益、增益在哪些维度，仍是一个开放问题——这正是本课题要探索的核心。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本课题提供一套</w:t>
      </w:r>
      <w:r>
        <w:rPr>
          <w:rFonts w:hint="eastAsia" w:ascii="黑体" w:hAnsi="黑体" w:eastAsia="黑体" w:cs="黑体"/>
          <w:b/>
          <w:sz w:val="24"/>
          <w:szCs w:val="24"/>
        </w:rPr>
        <w:t>经脱敏处理的知名教育研究团队高质量教学设计定稿案例</w:t>
      </w:r>
      <w:r>
        <w:rPr>
          <w:rFonts w:hint="eastAsia" w:ascii="黑体" w:hAnsi="黑体" w:eastAsia="黑体" w:cs="黑体"/>
          <w:sz w:val="24"/>
          <w:szCs w:val="24"/>
        </w:rPr>
        <w:t>（多学科、PBL 项目课型），作为构建专家角色与评价体系的知识基座。</w:t>
      </w:r>
    </w:p>
    <w:p>
      <w:pPr>
        <w:pStyle w:val="4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二、课题任务定义</w:t>
      </w:r>
    </w:p>
    <w:p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构建一个多智能体教案磨课系统，实现如下端到端能力：</w:t>
      </w:r>
    </w:p>
    <w:p>
      <w:pPr>
        <w:ind w:left="43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33333"/>
          <w:sz w:val="24"/>
          <w:szCs w:val="24"/>
        </w:rPr>
        <w:t>输入：一份普通教案（Markdown）+ 一份学情描述（YAML）</w:t>
      </w:r>
      <w:r>
        <w:rPr>
          <w:rFonts w:hint="eastAsia" w:ascii="黑体" w:hAnsi="黑体" w:eastAsia="黑体" w:cs="黑体"/>
          <w:color w:val="333333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color w:val="333333"/>
          <w:sz w:val="24"/>
          <w:szCs w:val="24"/>
        </w:rPr>
        <w:t>处理：多位差异化专家智能体圆桌研讨（批注 → 互评 → 分歧处理 → 整合）</w:t>
      </w:r>
      <w:r>
        <w:rPr>
          <w:rFonts w:hint="eastAsia" w:ascii="黑体" w:hAnsi="黑体" w:eastAsia="黑体" w:cs="黑体"/>
          <w:color w:val="333333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color w:val="333333"/>
          <w:sz w:val="24"/>
          <w:szCs w:val="24"/>
        </w:rPr>
        <w:t>输出：磨课后教案（Markdown）+ 研讨过程记录（process.json，含各角色发言与逐条修改说明）</w:t>
      </w:r>
    </w:p>
    <w:p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760720" cy="1727835"/>
            <wp:effectExtent l="0" t="0" r="508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4"/>
        </w:rPr>
        <w:t>图 1  多智能体圆桌磨课系统端到端流程</w:t>
      </w: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技术栈不限（语言、框架、模型编排方式自选），统一使用主办方提供的大模型 API（额度充足）。</w:t>
      </w:r>
      <w:r>
        <w:rPr>
          <w:rFonts w:hint="eastAsia" w:ascii="黑体" w:hAnsi="黑体" w:eastAsia="黑体" w:cs="黑体"/>
          <w:b/>
          <w:sz w:val="24"/>
          <w:szCs w:val="24"/>
        </w:rPr>
        <w:t>鼓励全程使用 Claude Code 等 AI 编程工具辅助开发</w:t>
      </w:r>
      <w:r>
        <w:rPr>
          <w:rFonts w:hint="eastAsia" w:ascii="黑体" w:hAnsi="黑体" w:eastAsia="黑体" w:cs="黑体"/>
          <w:sz w:val="24"/>
          <w:szCs w:val="24"/>
        </w:rPr>
        <w:t>，并保留协作开发记录（见验收要求）。</w:t>
      </w:r>
    </w:p>
    <w:p>
      <w:pPr>
        <w:pStyle w:val="4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三、课题目标</w:t>
      </w:r>
    </w:p>
    <w:p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核心目标分为 3 层：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1. 工程实现目标（保底层）</w:t>
      </w:r>
    </w:p>
    <w:p>
      <w:pPr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完整实现上述端到端磨课闭环，具体要求：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≥3 个职责可区分的专家角色（角色设定须依据材料包中的方法论，不得同质化堆砌）；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≥1 轮跨角色互评（后发言角色须对先前发言做出实质回应：支持 / 质疑 / 补充 / 修订立场）；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有明确的分歧处理机制（自动仲裁或呈报用户拍板均可）；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整合产出终稿，且每处主要修改在 process.json 中可追溯到来源角色与理由；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符合统一提交与运行契约（附录 D），支持验收方批量运行。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2. 理论内化目标（方法论层）</w:t>
      </w:r>
    </w:p>
    <w:p>
      <w:pPr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从材料包中归纳高质量教学设计的方法论特征，并将其</w:t>
      </w:r>
      <w:r>
        <w:rPr>
          <w:rFonts w:hint="eastAsia" w:ascii="黑体" w:hAnsi="黑体" w:eastAsia="黑体" w:cs="黑体"/>
          <w:b/>
        </w:rPr>
        <w:t>操作化为工程制品</w:t>
      </w:r>
      <w:r>
        <w:rPr>
          <w:rFonts w:hint="eastAsia" w:ascii="黑体" w:hAnsi="黑体" w:eastAsia="黑体" w:cs="黑体"/>
        </w:rPr>
        <w:t>：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研读脱敏金标准案例（附录 B），归纳其共性设计手法（驱动性问题设计、任务链拆解、思维显性化、预设与支架、开放度调控、表现性评价等），转化为专家角色的判断依据与话术风格；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依据公开的《教案质量评价量规》（附录 A，其判据体系内嵌了上述方法论）自建系统内部的自动评审组件（LLM-as-judge），用于磨课过程中的质量自检；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技术报告中须有专门章节阐述"案例/量规 → 角色与评审设定"的转化逻辑与取舍。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3. 创新突破目标（区分层）</w:t>
      </w:r>
    </w:p>
    <w:p>
      <w:pPr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参考方</w:t>
      </w:r>
      <w:r>
        <w:rPr>
          <w:rFonts w:hint="eastAsia" w:ascii="黑体" w:hAnsi="黑体" w:eastAsia="黑体" w:cs="黑体"/>
          <w:lang w:val="en-US" w:eastAsia="zh-CN"/>
        </w:rPr>
        <w:t>创新</w:t>
      </w:r>
      <w:r>
        <w:rPr>
          <w:rFonts w:hint="eastAsia" w:ascii="黑体" w:hAnsi="黑体" w:eastAsia="黑体" w:cs="黑体"/>
        </w:rPr>
        <w:t>向：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2046"/>
        <w:gridCol w:w="616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序号</w:t>
            </w:r>
          </w:p>
        </w:tc>
        <w:tc>
          <w:tcPr>
            <w:tcW w:w="2046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方向</w:t>
            </w:r>
          </w:p>
        </w:tc>
        <w:tc>
          <w:tcPr>
            <w:tcW w:w="6161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提示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1</w:t>
            </w:r>
          </w:p>
        </w:tc>
        <w:tc>
          <w:tcPr>
            <w:tcW w:w="2046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专家角色蒸馏</w:t>
            </w:r>
          </w:p>
        </w:tc>
        <w:tc>
          <w:tcPr>
            <w:tcW w:w="61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如何从原始专家材料构建高保真、有辨识度的角色？角色知识锚点注入、学术边界（out-of-scope）设计、角色一致性的量化评测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2</w:t>
            </w:r>
          </w:p>
        </w:tc>
        <w:tc>
          <w:tcPr>
            <w:tcW w:w="2046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圆桌编排机制</w:t>
            </w:r>
          </w:p>
        </w:tc>
        <w:tc>
          <w:tcPr>
            <w:tcW w:w="61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发言顺序与轮次的动态调度、讨论收敛判据（何时该停止？）、主持人策略、角色间 @ 互动协议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3</w:t>
            </w:r>
          </w:p>
        </w:tc>
        <w:tc>
          <w:tcPr>
            <w:tcW w:w="2046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冲突检测与消解</w:t>
            </w:r>
          </w:p>
        </w:tc>
        <w:tc>
          <w:tcPr>
            <w:tcW w:w="61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区分"真分歧"与"表面分歧"，仲裁 / 投票 / 证据权衡等消解机制的设计与对比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4</w:t>
            </w:r>
          </w:p>
        </w:tc>
        <w:tc>
          <w:tcPr>
            <w:tcW w:w="2046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评价体系与评审校准</w:t>
            </w:r>
          </w:p>
        </w:tc>
        <w:tc>
          <w:tcPr>
            <w:tcW w:w="61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量规操作化为自动评审的方法、与人工判断的一致性校准、对"面向评审写作"的对抗鲁棒性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5</w:t>
            </w:r>
          </w:p>
        </w:tc>
        <w:tc>
          <w:tcPr>
            <w:tcW w:w="2046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学情自适应磨课</w:t>
            </w:r>
          </w:p>
        </w:tc>
        <w:tc>
          <w:tcPr>
            <w:tcW w:w="61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同一份教案面向不同学情产出不同"开放度"版本（参考材料包开放度四档理论）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6</w:t>
            </w:r>
          </w:p>
        </w:tc>
        <w:tc>
          <w:tcPr>
            <w:tcW w:w="2046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磨课过程可视化</w:t>
            </w:r>
          </w:p>
        </w:tc>
        <w:tc>
          <w:tcPr>
            <w:tcW w:w="61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研讨过程的可追溯呈现：采纳轨迹、分歧图谱、圆桌回放等</w:t>
            </w:r>
          </w:p>
        </w:tc>
      </w:tr>
    </w:tbl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四、课题实施思路建议</w:t>
      </w:r>
    </w:p>
    <w:p>
      <w:pPr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针对工程实现目标</w:t>
      </w:r>
      <w:r>
        <w:rPr>
          <w:rFonts w:hint="eastAsia" w:ascii="黑体" w:hAnsi="黑体" w:eastAsia="黑体" w:cs="黑体"/>
        </w:rPr>
        <w:t>：建议第一步先搭"单模型一键改写"基线（一个精心设计提示词的单次 LLM 调用），既作为自测参照，也为后续对照实验留底；再逐步引入多角色、互评轮次与整合逻辑。优先打通最小闭环，避免前期过度设计。</w:t>
      </w:r>
    </w:p>
    <w:p>
      <w:pPr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针对理论内化目标</w:t>
      </w:r>
      <w:r>
        <w:rPr>
          <w:rFonts w:hint="eastAsia" w:ascii="黑体" w:hAnsi="黑体" w:eastAsia="黑体" w:cs="黑体"/>
        </w:rPr>
        <w:t>：建议按"金标准案例（什么是好教案）→ 量规（好在哪、怎么判）"的顺序研读材料包；自建评审组件可用材料包中的公开练习三元组（原始教案 / 降质版 / 参考磨课输出 + 官方打分示例）做校准。</w:t>
      </w:r>
    </w:p>
    <w:p>
      <w:pPr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针对创新突破目标</w:t>
      </w:r>
      <w:r>
        <w:rPr>
          <w:rFonts w:hint="eastAsia" w:ascii="黑体" w:hAnsi="黑体" w:eastAsia="黑体" w:cs="黑体"/>
        </w:rPr>
        <w:t>：选方向时评估两点——该方向的效果能否在 2 周内</w:t>
      </w:r>
      <w:r>
        <w:rPr>
          <w:rFonts w:hint="eastAsia" w:ascii="黑体" w:hAnsi="黑体" w:eastAsia="黑体" w:cs="黑体"/>
          <w:b/>
        </w:rPr>
        <w:t>用实验说话</w:t>
      </w:r>
      <w:r>
        <w:rPr>
          <w:rFonts w:hint="eastAsia" w:ascii="黑体" w:hAnsi="黑体" w:eastAsia="黑体" w:cs="黑体"/>
        </w:rPr>
        <w:t>（有对照、有数据），以及它与你的技术长板是否匹配。宁可小切口做出可验证的深度，不要大命题做成综述。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节奏关卡</w:t>
      </w:r>
      <w:r>
        <w:rPr>
          <w:rFonts w:hint="eastAsia" w:ascii="黑体" w:hAnsi="黑体" w:eastAsia="黑体" w:cs="黑体"/>
        </w:rPr>
        <w:t>（防止前期拉锯与最后爆仓）：</w:t>
      </w:r>
    </w:p>
    <w:tbl>
      <w:tblPr>
        <w:tblStyle w:val="49"/>
        <w:tblW w:w="9392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973"/>
        <w:gridCol w:w="647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时间</w:t>
            </w:r>
          </w:p>
        </w:tc>
        <w:tc>
          <w:tcPr>
            <w:tcW w:w="1973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关卡</w:t>
            </w:r>
          </w:p>
        </w:tc>
        <w:tc>
          <w:tcPr>
            <w:tcW w:w="6471" w:type="dxa"/>
          </w:tcPr>
          <w:p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要求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</w:tcPr>
          <w:p>
            <w:pPr>
              <w:spacing w:after="0" w:line="240" w:lineRule="auto"/>
              <w:jc w:val="center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0724</w:t>
            </w:r>
          </w:p>
        </w:tc>
        <w:tc>
          <w:tcPr>
            <w:tcW w:w="1973" w:type="dxa"/>
          </w:tcPr>
          <w:p>
            <w:pPr>
              <w:spacing w:after="0" w:line="240" w:lineRule="auto"/>
              <w:jc w:val="center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最小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功能版本</w:t>
            </w:r>
          </w:p>
        </w:tc>
        <w:tc>
          <w:tcPr>
            <w:tcW w:w="6471" w:type="dxa"/>
          </w:tcPr>
          <w:p>
            <w:pPr>
              <w:spacing w:after="0" w:line="240" w:lineRule="auto"/>
              <w:jc w:val="left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完成端到端最小功能版本实现与演示。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</w:tcPr>
          <w:p>
            <w:pPr>
              <w:spacing w:after="0" w:line="240" w:lineRule="auto"/>
              <w:jc w:val="center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0731</w:t>
            </w:r>
          </w:p>
        </w:tc>
        <w:tc>
          <w:tcPr>
            <w:tcW w:w="1973" w:type="dxa"/>
          </w:tcPr>
          <w:p>
            <w:pPr>
              <w:spacing w:after="0" w:line="240" w:lineRule="auto"/>
              <w:jc w:val="center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完整项目提交</w:t>
            </w:r>
          </w:p>
        </w:tc>
        <w:tc>
          <w:tcPr>
            <w:tcW w:w="6471" w:type="dxa"/>
          </w:tcPr>
          <w:p>
            <w:pPr>
              <w:spacing w:after="0" w:line="240" w:lineRule="auto"/>
              <w:jc w:val="left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按照格式提交完整的项目材料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</w:tcPr>
          <w:p>
            <w:pPr>
              <w:spacing w:after="0" w:line="240" w:lineRule="auto"/>
              <w:jc w:val="center"/>
              <w:rPr>
                <w:rFonts w:hint="default" w:ascii="黑体" w:hAnsi="黑体" w:eastAsia="黑体" w:cs="黑体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八月初</w:t>
            </w:r>
          </w:p>
        </w:tc>
        <w:tc>
          <w:tcPr>
            <w:tcW w:w="1973" w:type="dxa"/>
          </w:tcPr>
          <w:p>
            <w:pPr>
              <w:spacing w:after="0" w:line="240" w:lineRule="auto"/>
              <w:jc w:val="center"/>
              <w:rPr>
                <w:rFonts w:hint="default" w:ascii="黑体" w:hAnsi="黑体" w:eastAsia="黑体" w:cs="黑体"/>
                <w:sz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答辩</w:t>
            </w:r>
          </w:p>
        </w:tc>
        <w:tc>
          <w:tcPr>
            <w:tcW w:w="6471" w:type="dxa"/>
          </w:tcPr>
          <w:p>
            <w:pPr>
              <w:spacing w:after="0" w:line="240" w:lineRule="auto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每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组</w:t>
            </w:r>
            <w:r>
              <w:rPr>
                <w:rFonts w:hint="eastAsia" w:ascii="黑体" w:hAnsi="黑体" w:eastAsia="黑体" w:cs="黑体"/>
                <w:sz w:val="20"/>
              </w:rPr>
              <w:t xml:space="preserve"> </w:t>
            </w:r>
            <w:r>
              <w:rPr>
                <w:rFonts w:hint="eastAsia" w:ascii="黑体" w:hAnsi="黑体" w:eastAsia="黑体" w:cs="黑体"/>
                <w:sz w:val="20"/>
                <w:lang w:val="en-US" w:eastAsia="zh-CN"/>
              </w:rPr>
              <w:t>15</w:t>
            </w:r>
            <w:r>
              <w:rPr>
                <w:rFonts w:hint="eastAsia" w:ascii="黑体" w:hAnsi="黑体" w:eastAsia="黑体" w:cs="黑体"/>
                <w:sz w:val="20"/>
              </w:rPr>
              <w:t xml:space="preserve"> 分钟答辩</w:t>
            </w:r>
            <w:r>
              <w:rPr>
                <w:rFonts w:hint="eastAsia" w:ascii="黑体" w:hAnsi="黑体" w:eastAsia="黑体" w:cs="黑体"/>
                <w:sz w:val="20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sz w:val="20"/>
              </w:rPr>
              <w:t>含现场演示一次完整磨课）</w:t>
            </w:r>
          </w:p>
        </w:tc>
      </w:tr>
    </w:tbl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五、课题验收方式</w:t>
      </w:r>
    </w:p>
    <w:p>
      <w:pPr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</w:t>
      </w:r>
      <w:r>
        <w:rPr>
          <w:rFonts w:hint="eastAsia" w:ascii="黑体" w:hAnsi="黑体" w:eastAsia="黑体" w:cs="黑体"/>
          <w:lang w:val="en-US" w:eastAsia="zh-CN"/>
        </w:rPr>
        <w:t>组</w:t>
      </w:r>
      <w:r>
        <w:rPr>
          <w:rFonts w:hint="eastAsia" w:ascii="黑体" w:hAnsi="黑体" w:eastAsia="黑体" w:cs="黑体"/>
        </w:rPr>
        <w:t>提交</w:t>
      </w:r>
      <w:r>
        <w:rPr>
          <w:rFonts w:hint="eastAsia" w:ascii="黑体" w:hAnsi="黑体" w:eastAsia="黑体" w:cs="黑体"/>
          <w:b/>
        </w:rPr>
        <w:t>代码工程、技术报告、答辩材料</w:t>
      </w:r>
      <w:r>
        <w:rPr>
          <w:rFonts w:hint="eastAsia" w:ascii="黑体" w:hAnsi="黑体" w:eastAsia="黑体" w:cs="黑体"/>
        </w:rPr>
        <w:t xml:space="preserve"> 3 部分，另附 </w:t>
      </w:r>
      <w:r>
        <w:rPr>
          <w:rFonts w:hint="eastAsia" w:ascii="黑体" w:hAnsi="黑体" w:eastAsia="黑体" w:cs="黑体"/>
          <w:b/>
        </w:rPr>
        <w:t>AI 协作开发记录</w:t>
      </w:r>
      <w:r>
        <w:rPr>
          <w:rFonts w:hint="eastAsia" w:ascii="黑体" w:hAnsi="黑体" w:eastAsia="黑体" w:cs="黑体"/>
        </w:rPr>
        <w:t>（CLAUDE.md / 关键提示词 / agent 用法与心得——这本身是本实践课的训练目标之一）。</w:t>
      </w:r>
    </w:p>
    <w:p>
      <w:pPr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总分 100 分 + 特殊加分（≤10 分），构成如下：</w:t>
      </w:r>
    </w:p>
    <w:p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760720" cy="1348105"/>
            <wp:effectExtent l="0" t="0" r="508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24"/>
        </w:rPr>
        <w:t>图 2  课题验收评分构成（100 分 + 条件性加分 ≤10 分）</w:t>
      </w:r>
    </w:p>
    <w:p>
      <w:pPr>
        <w:pStyle w:val="5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基础闭环与工程质量（20 分）</w:t>
      </w:r>
    </w:p>
    <w:p>
      <w:pPr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端到端可运行性、代码规范性、可复现性（README + 运行日志）、process.json 的完整与可追溯、AI 协作开发记录的质量。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门槛条款：未跑通最小闭环（第三节目标 1 的五项要求）→ 课题总分封顶 59 分，创新维度不予评分。</w:t>
      </w:r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磨课效果（30 分）</w:t>
      </w:r>
    </w:p>
    <w:p>
      <w:pPr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以</w:t>
      </w:r>
      <w:r>
        <w:rPr>
          <w:rFonts w:hint="eastAsia" w:ascii="黑体" w:hAnsi="黑体" w:eastAsia="黑体" w:cs="黑体"/>
          <w:b/>
        </w:rPr>
        <w:t>保密测试集</w:t>
      </w:r>
      <w:r>
        <w:rPr>
          <w:rFonts w:hint="eastAsia" w:ascii="黑体" w:hAnsi="黑体" w:eastAsia="黑体" w:cs="黑体"/>
        </w:rPr>
        <w:t>（覆盖数学、物理、化学、生物、语文，含 PBL 项目课与常规课两种课型）批量运行各系统，按《教案质量评价量规》（附录 A，公开）评分：</w:t>
      </w:r>
    </w:p>
    <w:p>
      <w:pPr>
        <w:ind w:left="432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333333"/>
          <w:sz w:val="18"/>
        </w:rPr>
        <w:t>磨课效果分 = 0.7 × 量规绝对分（percent-of-gold） + 0.3 × 恢复度（对有专家定稿参照的样本计算）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评分执行采用"规则校验 + 多模型 LLM 评审团 + 人工复核"三层流水线，所有扣分附原文证据；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设</w:t>
      </w:r>
      <w:r>
        <w:rPr>
          <w:rFonts w:hint="eastAsia" w:ascii="黑体" w:hAnsi="黑体" w:eastAsia="黑体" w:cs="黑体"/>
          <w:b/>
        </w:rPr>
        <w:t>保真检测</w:t>
      </w:r>
      <w:r>
        <w:rPr>
          <w:rFonts w:hint="eastAsia" w:ascii="黑体" w:hAnsi="黑体" w:eastAsia="黑体" w:cs="黑体"/>
        </w:rPr>
        <w:t>（磨课输出须仍是"同一节课"，防丢弃输入另起炉灶）与</w:t>
      </w:r>
      <w:r>
        <w:rPr>
          <w:rFonts w:hint="eastAsia" w:ascii="黑体" w:hAnsi="黑体" w:eastAsia="黑体" w:cs="黑体"/>
          <w:b/>
        </w:rPr>
        <w:t>改劣检测</w:t>
      </w:r>
      <w:r>
        <w:rPr>
          <w:rFonts w:hint="eastAsia" w:ascii="黑体" w:hAnsi="黑体" w:eastAsia="黑体" w:cs="黑体"/>
        </w:rPr>
        <w:t>（引入新错误双倍扣分；删除问题内容以回避与未修复同罪）两道门槛；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各系统的"同源成对盲比"排名（同一源教案下两两对比），</w:t>
      </w:r>
      <w:r>
        <w:rPr>
          <w:rFonts w:hint="eastAsia" w:ascii="黑体" w:hAnsi="黑体" w:eastAsia="黑体" w:cs="黑体"/>
          <w:b/>
        </w:rPr>
        <w:t>作为参考维度</w:t>
      </w:r>
      <w:r>
        <w:rPr>
          <w:rFonts w:hint="eastAsia" w:ascii="黑体" w:hAnsi="黑体" w:eastAsia="黑体" w:cs="黑体"/>
        </w:rPr>
        <w:t>。</w:t>
      </w:r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创新深度（30 分）</w:t>
      </w:r>
    </w:p>
    <w:p>
      <w:pPr>
        <w:rPr>
          <w:rFonts w:hint="eastAsia" w:ascii="黑体" w:hAnsi="黑体" w:eastAsia="黑体" w:cs="黑体"/>
        </w:rPr>
      </w:pPr>
      <w:bookmarkStart w:id="0" w:name="_GoBack"/>
      <w:bookmarkEnd w:id="0"/>
      <w:r>
        <w:rPr>
          <w:rFonts w:hint="eastAsia" w:ascii="黑体" w:hAnsi="黑体" w:eastAsia="黑体" w:cs="黑体"/>
        </w:rPr>
        <w:t>从三方面综合评定：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问题与新颖性</w:t>
      </w:r>
      <w:r>
        <w:rPr>
          <w:rFonts w:hint="eastAsia" w:ascii="黑体" w:hAnsi="黑体" w:eastAsia="黑体" w:cs="黑体"/>
        </w:rPr>
        <w:t>：对该模块现状缺陷的界定是否准确，思路是否有真实新意；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方案深度</w:t>
      </w:r>
      <w:r>
        <w:rPr>
          <w:rFonts w:hint="eastAsia" w:ascii="黑体" w:hAnsi="黑体" w:eastAsia="黑体" w:cs="黑体"/>
        </w:rPr>
        <w:t>：实现是否触及问题实质（而非表面参数调整）；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验证严谨性</w:t>
      </w:r>
      <w:r>
        <w:rPr>
          <w:rFonts w:hint="eastAsia" w:ascii="黑体" w:hAnsi="黑体" w:eastAsia="黑体" w:cs="黑体"/>
        </w:rPr>
        <w:t>：是否用实验证明了有效（有对照、有数据、有分析）；若效果未达预期，</w:t>
      </w:r>
      <w:r>
        <w:rPr>
          <w:rFonts w:hint="eastAsia" w:ascii="黑体" w:hAnsi="黑体" w:eastAsia="黑体" w:cs="黑体"/>
          <w:b/>
        </w:rPr>
        <w:t>给出精准靠谱的失败分析同样可获得高分</w:t>
      </w:r>
      <w:r>
        <w:rPr>
          <w:rFonts w:hint="eastAsia" w:ascii="黑体" w:hAnsi="黑体" w:eastAsia="黑体" w:cs="黑体"/>
        </w:rPr>
        <w:t>（须经项目组评审认定）。</w:t>
      </w:r>
    </w:p>
    <w:p>
      <w:pPr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明确说明：多而浅的功能堆砌不得分。一个平庸但完整的系统，此维度预期得分低于一个有真突破的系统。</w:t>
      </w:r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技术报告与</w:t>
      </w:r>
      <w:r>
        <w:rPr>
          <w:rFonts w:hint="eastAsia" w:ascii="黑体" w:hAnsi="黑体" w:eastAsia="黑体" w:cs="黑体"/>
          <w:lang w:val="en-US" w:eastAsia="zh-CN"/>
        </w:rPr>
        <w:t>小组</w:t>
      </w:r>
      <w:r>
        <w:rPr>
          <w:rFonts w:hint="eastAsia" w:ascii="黑体" w:hAnsi="黑体" w:eastAsia="黑体" w:cs="黑体"/>
        </w:rPr>
        <w:t>答辩（20 分）</w:t>
      </w:r>
    </w:p>
    <w:p>
      <w:pPr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技术报告须含：任务概述、系统设计（含方法论转化章节）、创新点详述与实验、局限性与可拓展方向、参考文献。答辩</w:t>
      </w:r>
      <w:r>
        <w:rPr>
          <w:rFonts w:hint="eastAsia" w:ascii="黑体" w:hAnsi="黑体" w:eastAsia="黑体" w:cs="黑体"/>
          <w:lang w:val="en-US" w:eastAsia="zh-CN"/>
        </w:rPr>
        <w:t>15</w:t>
      </w:r>
      <w:r>
        <w:rPr>
          <w:rFonts w:hint="eastAsia" w:ascii="黑体" w:hAnsi="黑体" w:eastAsia="黑体" w:cs="黑体"/>
        </w:rPr>
        <w:t>分钟：汇报 + 演示一次完整磨课 + 问答。</w:t>
      </w:r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特殊加分（≤10 分）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单模型 vs 多智能体对照实验</w:t>
      </w:r>
      <w:r>
        <w:rPr>
          <w:rFonts w:hint="eastAsia" w:ascii="黑体" w:hAnsi="黑体" w:eastAsia="黑体" w:cs="黑体"/>
        </w:rPr>
        <w:t>：属锦上添花项。</w:t>
      </w:r>
      <w:r>
        <w:rPr>
          <w:rFonts w:hint="eastAsia" w:ascii="黑体" w:hAnsi="黑体" w:eastAsia="黑体" w:cs="黑体"/>
          <w:b/>
        </w:rPr>
        <w:t>仅当课题总评已达 90 分</w:t>
      </w:r>
      <w:r>
        <w:rPr>
          <w:rFonts w:hint="eastAsia" w:ascii="黑体" w:hAnsi="黑体" w:eastAsia="黑体" w:cs="黑体"/>
        </w:rPr>
        <w:t>，且对照实验设计严谨、结论清晰时，额外加 1-5 分；</w:t>
      </w:r>
      <w:r>
        <w:rPr>
          <w:rFonts w:hint="eastAsia" w:ascii="黑体" w:hAnsi="黑体" w:eastAsia="黑体" w:cs="黑体"/>
          <w:b/>
        </w:rPr>
        <w:t>系统本身效果不达标者，该实验不予加分</w:t>
      </w:r>
      <w:r>
        <w:rPr>
          <w:rFonts w:hint="eastAsia" w:ascii="黑体" w:hAnsi="黑体" w:eastAsia="黑体" w:cs="黑体"/>
        </w:rPr>
        <w:t>；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磨课效果显著超越专家定稿参照（O &gt; G 样本）经答辩陈述认定：加 1-3 分；</w:t>
      </w:r>
    </w:p>
    <w:p>
      <w:pPr>
        <w:pStyle w:val="16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其他经项目组认定的额外有价值工作（如高质量的过程可视化、评审对抗鲁棒性验证等）：加 1-3 分。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六、课题材料包清单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6000"/>
        <w:gridCol w:w="196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编号</w:t>
            </w:r>
          </w:p>
        </w:tc>
        <w:tc>
          <w:tcPr>
            <w:tcW w:w="6000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材料</w:t>
            </w:r>
          </w:p>
        </w:tc>
        <w:tc>
          <w:tcPr>
            <w:tcW w:w="19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20"/>
              </w:rPr>
              <w:t>公开性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附录 A</w:t>
            </w:r>
          </w:p>
        </w:tc>
        <w:tc>
          <w:tcPr>
            <w:tcW w:w="6000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《教案质量评价量规》全文（v1.1，含子指标判据与计分规范）</w:t>
            </w:r>
          </w:p>
        </w:tc>
        <w:tc>
          <w:tcPr>
            <w:tcW w:w="19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公开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附录 B</w:t>
            </w:r>
          </w:p>
        </w:tc>
        <w:tc>
          <w:tcPr>
            <w:tcW w:w="6000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脱敏金标准教学设计案例（5 份，多学科 PBL 项目课型，已去除姓名与学校信息）</w:t>
            </w:r>
          </w:p>
        </w:tc>
        <w:tc>
          <w:tcPr>
            <w:tcW w:w="19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公开（限本课题使用）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附录 C</w:t>
            </w:r>
          </w:p>
        </w:tc>
        <w:tc>
          <w:tcPr>
            <w:tcW w:w="6000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学科核心素养课标参照表（数 / 理 / 化 / 生 / 语 × 义教 / 高中两学段）</w:t>
            </w:r>
          </w:p>
        </w:tc>
        <w:tc>
          <w:tcPr>
            <w:tcW w:w="19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公开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附录 D</w:t>
            </w:r>
          </w:p>
        </w:tc>
        <w:tc>
          <w:tcPr>
            <w:tcW w:w="6000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提交与运行契约 + 格式校验脚本</w:t>
            </w:r>
          </w:p>
        </w:tc>
        <w:tc>
          <w:tcPr>
            <w:tcW w:w="19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公开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附录 E</w:t>
            </w:r>
          </w:p>
        </w:tc>
        <w:tc>
          <w:tcPr>
            <w:tcW w:w="6000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公开练习三元组（原始教案 / 降质版 / 参考磨课输出 + 官方打分示例）</w:t>
            </w:r>
          </w:p>
        </w:tc>
        <w:tc>
          <w:tcPr>
            <w:tcW w:w="19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公开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—</w:t>
            </w:r>
          </w:p>
        </w:tc>
        <w:tc>
          <w:tcPr>
            <w:tcW w:w="6000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保密测试集（含专家定稿 G 版与降质 I 版、植入缺陷清单）</w:t>
            </w:r>
          </w:p>
        </w:tc>
        <w:tc>
          <w:tcPr>
            <w:tcW w:w="1961" w:type="dxa"/>
          </w:tcPr>
          <w:p>
            <w:pPr>
              <w:spacing w:after="0" w:line="240" w:lineRule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sz w:val="20"/>
              </w:rPr>
              <w:t>保密，验收专用</w:t>
            </w:r>
          </w:p>
        </w:tc>
      </w:tr>
    </w:tbl>
    <w:p>
      <w:pPr>
        <w:rPr>
          <w:rFonts w:hint="eastAsia" w:ascii="黑体" w:hAnsi="黑体" w:eastAsia="黑体" w:cs="黑体"/>
        </w:rPr>
      </w:pPr>
    </w:p>
    <w:sectPr>
      <w:headerReference r:id="rId5" w:type="default"/>
      <w:footerReference r:id="rId6" w:type="default"/>
      <w:pgSz w:w="11909" w:h="16834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680A54"/>
    <w:rsid w:val="14354410"/>
    <w:rsid w:val="15BC4236"/>
    <w:rsid w:val="18C56A10"/>
    <w:rsid w:val="231B5250"/>
    <w:rsid w:val="2EAB5D1F"/>
    <w:rsid w:val="359E5308"/>
    <w:rsid w:val="4CE77E51"/>
    <w:rsid w:val="4E2A6D4B"/>
    <w:rsid w:val="544572BA"/>
    <w:rsid w:val="5762385D"/>
    <w:rsid w:val="59F1196E"/>
    <w:rsid w:val="5DBF2763"/>
    <w:rsid w:val="60F36B5C"/>
    <w:rsid w:val="627A6F3E"/>
    <w:rsid w:val="6BC5399A"/>
    <w:rsid w:val="6BE150B4"/>
    <w:rsid w:val="6C572210"/>
    <w:rsid w:val="79206F6D"/>
    <w:rsid w:val="7ECF0F9A"/>
    <w:rsid w:val="7FC5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2842</Words>
  <Characters>3018</Characters>
  <Lines>0</Lines>
  <Paragraphs>0</Paragraphs>
  <TotalTime>5</TotalTime>
  <ScaleCrop>false</ScaleCrop>
  <LinksUpToDate>false</LinksUpToDate>
  <CharactersWithSpaces>3189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jzwu4</cp:lastModifiedBy>
  <dcterms:modified xsi:type="dcterms:W3CDTF">2026-07-12T07:36:56Z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5b4fa030e91711f08000354100003541">
    <vt:lpwstr>CWMfGbnaSgEwLwPfs1gGjIEc0QQ2wVUuMiHeFA5KiTXCD1Hir0NMu8mGBv4cLUtosWBE/HNIs/lDM8ILwSmPIU5Fg==</vt:lpwstr>
  </property>
  <property fmtid="{D5CDD505-2E9C-101B-9397-08002B2CF9AE}" pid="3" name="KSOProductBuildVer">
    <vt:lpwstr>2052-11.8.2.12187</vt:lpwstr>
  </property>
  <property fmtid="{D5CDD505-2E9C-101B-9397-08002B2CF9AE}" pid="4" name="ICV">
    <vt:lpwstr>60F606DB1FC848279FAF7D32119645AA_12</vt:lpwstr>
  </property>
  <property fmtid="{D5CDD505-2E9C-101B-9397-08002B2CF9AE}" pid="5" name="CWMd667e4e07dbd11f1800053f5000053f5">
    <vt:lpwstr>CWMr7L+Qi6nHLFqCBwpQK8Vlvn7ZU/RdsKaovujjqfZKP652byLfgRX1KkodOiFgI/CXTZ3GbQqGtP14Mb5lX61nw==</vt:lpwstr>
  </property>
</Properties>
</file>