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附录A · 教案质量评价量规（v1.1）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</w:p>
        </w:tc>
        <w:tc>
          <w:tcPr>
            <w:tcW w:w="4514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用途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① 实践课学生磨课系统的效果验收（主用途） ② 后续可内嵌为磨课产品的自动评审组件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评价对象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一份完整教案文档（磨课系统的输出；同一量规亦用于为测试集 G/I 版本打分）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量表形式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6 维度 × 子指标计点制（每子指标 0/1/2 三级判定）→ 维度分 [0,5] → 加权总分 100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版本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v1.1 · 2026-06-03（v1.0 经四视角对抗性审查后修订，见文末版本记录）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依据材料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用户 6 维度评价框架；魏教授团队书稿"项目案例评价标准"；3 份金标准案例定稿特征分析；2022 版义教课标 / 2017 版高中课标学科核心素养</w:t>
            </w:r>
          </w:p>
        </w:tc>
      </w:tr>
    </w:tbl>
    <w:p>
      <w:pPr>
        <w:spacing w:after="120"/>
      </w:pPr>
    </w:p>
    <w:p>
      <w:pPr>
        <w:pStyle w:val="4"/>
      </w:pPr>
      <w:r>
        <w:t>一、设计原则</w:t>
      </w:r>
    </w:p>
    <w:p>
      <w:pPr>
        <w:pStyle w:val="14"/>
      </w:pPr>
      <w:r>
        <w:rPr>
          <w:b/>
        </w:rPr>
        <w:t>可评性优先</w:t>
      </w:r>
      <w:r>
        <w:t>：每条子指标"可观察、可引证"——任何给分/扣分必须引用教案原文作为证据，无证据的判定无效。</w:t>
      </w:r>
    </w:p>
    <w:p>
      <w:pPr>
        <w:pStyle w:val="14"/>
      </w:pPr>
      <w:r>
        <w:rPr>
          <w:b/>
        </w:rPr>
        <w:t>抑易扬难</w:t>
      </w:r>
      <w:r>
        <w:t>：结构与语言是 LLM 系统的送分项，权重压低；准确性、一致性、素养导向性拉开区分度，权重抬高。</w:t>
      </w:r>
    </w:p>
    <w:p>
      <w:pPr>
        <w:pStyle w:val="14"/>
      </w:pPr>
      <w:r>
        <w:rPr>
          <w:b/>
        </w:rPr>
        <w:t>子指标计点，判定客观化</w:t>
      </w:r>
      <w:r>
        <w:t>：不做"整体印象定档"。每个子指标独立判 0/1/2（不满足 / 部分满足 / 充分满足），维度分由计点结果按公式换算，消除"合取式锚点部分满足时如何落档"的评审分歧。</w:t>
      </w:r>
    </w:p>
    <w:p>
      <w:pPr>
        <w:pStyle w:val="14"/>
      </w:pPr>
      <w:r>
        <w:rPr>
          <w:b/>
        </w:rPr>
        <w:t>证据唯一归属</w:t>
      </w:r>
      <w:r>
        <w:t>：任何一处可观察证据（或缺陷）只计入一个维度，维度间边界由排他条款划定，评审之间不传递信号。</w:t>
      </w:r>
    </w:p>
    <w:p>
      <w:pPr>
        <w:pStyle w:val="14"/>
      </w:pPr>
      <w:r>
        <w:rPr>
          <w:b/>
        </w:rPr>
        <w:t>本课特异性判据</w:t>
      </w:r>
      <w:r>
        <w:t>：凡"有没有 X"类判定，一律附加"X 是否绑定本课具体内容"的特异性检验——</w:t>
      </w:r>
      <w:r>
        <w:rPr>
          <w:b/>
        </w:rPr>
        <w:t>换一节课照样成立的通用模板件，计 1 不计 2</w:t>
      </w:r>
      <w:r>
        <w:t>。这是对抗"检查表填充"刷分的总纲。</w:t>
      </w:r>
    </w:p>
    <w:p>
      <w:pPr>
        <w:pStyle w:val="14"/>
      </w:pPr>
      <w:r>
        <w:rPr>
          <w:b/>
        </w:rPr>
        <w:t>评审器冻结</w:t>
      </w:r>
      <w:r>
        <w:t>：评审实现（提示词、模型、采样数）在校准达标后冻结并记录版本号；任何变更自动触发测试集 G/I 版本重新打分，禁止两套评审器的分数混入同一公式。</w:t>
      </w:r>
    </w:p>
    <w:p>
      <w:pPr>
        <w:spacing w:after="120"/>
      </w:pPr>
    </w:p>
    <w:p>
      <w:pPr>
        <w:pStyle w:val="4"/>
      </w:pPr>
      <w:r>
        <w:t>二、计分架构总览</w:t>
      </w:r>
    </w:p>
    <w:p>
      <w:pPr>
        <w:pStyle w:val="5"/>
      </w:pPr>
      <w:r>
        <w:t>维度与权重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806"/>
        <w:gridCol w:w="1806"/>
        <w:gridCol w:w="1806"/>
        <w:gridCol w:w="1806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子指标数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计分方式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结构完整性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计点 + 规则解析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内容丰富性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计点（LLM 评审）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内容准确性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扣分制（本维度独有）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内容一致性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计点（强制映射表证据）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语言逻辑性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计点（规则 + LLM）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素养导向性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806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计点（携课标参照 + 人工深评）</w:t>
            </w:r>
          </w:p>
        </w:tc>
      </w:tr>
    </w:tbl>
    <w:p>
      <w:pPr>
        <w:pStyle w:val="5"/>
      </w:pPr>
      <w:r>
        <w:t>计算规范（唯一权威口径）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子指标计点：每项 ∈ {0, 1, 2}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维度分     = 5 × Σ(子指标点数) / 满点数        # A=6, B=8, D=10, E=10, F=12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 维度分   = clamp(5 − Σ扣分, 0, 5)            # 连续值，不取整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所有维度分值域统一为 [0, 5]，连续值直接进入总分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总分       = Σ(维度分 ÷ 5 × 维度权重)           # 满分 100</w:t>
      </w:r>
    </w:p>
    <w:p>
      <w:pPr>
        <w:pStyle w:val="156"/>
      </w:pPr>
      <w:r>
        <w:rPr>
          <w:b/>
          <w:color w:val="666666"/>
        </w:rPr>
        <w:t>权重说明</w:t>
      </w:r>
      <w:r>
        <w:t>：10/15/20/15/10/30 为初始设定，在</w:t>
      </w:r>
      <w:r>
        <w:rPr>
          <w:b/>
        </w:rPr>
        <w:t>发布前的定标阶段</w:t>
      </w:r>
      <w:r>
        <w:t>用定标集数据校准（检验各维度实际方差贡献与名义权重的偏离，偏离超过 ±10 个百分点则调整）。</w:t>
      </w:r>
      <w:r>
        <w:rPr>
          <w:b/>
        </w:rPr>
        <w:t>量规向学生发布后，权重不再变更</w:t>
      </w:r>
      <w:r>
        <w:t>——学生按公布权重分配投入，事后改权重是公平性事故。</w:t>
      </w:r>
    </w:p>
    <w:p>
      <w:pPr>
        <w:spacing w:after="120"/>
      </w:pPr>
    </w:p>
    <w:p>
      <w:pPr>
        <w:pStyle w:val="4"/>
      </w:pPr>
      <w:r>
        <w:t>三、维度详规</w:t>
      </w:r>
    </w:p>
    <w:p>
      <w:pPr>
        <w:pStyle w:val="5"/>
      </w:pPr>
      <w:r>
        <w:t>维度 A · 结构完整性（10 分）</w:t>
      </w:r>
    </w:p>
    <w:p>
      <w:r>
        <w:rPr>
          <w:b/>
        </w:rPr>
        <w:t>定义</w:t>
      </w:r>
      <w:r>
        <w:t>：教案是否具备该课型的必备结构件，且每件有实质内容。</w:t>
      </w:r>
    </w:p>
    <w:p>
      <w:r>
        <w:rPr>
          <w:b/>
        </w:rPr>
        <w:t>结构件分级</w:t>
      </w:r>
      <w:r>
        <w:t>（按课型清单，见附则一；核心件/非核心件在清单中显式标注）：</w:t>
      </w:r>
    </w:p>
    <w:p>
      <w:r>
        <w:rPr>
          <w:b/>
        </w:rPr>
        <w:t>子指标计点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2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 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A1 核心件齐全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全齐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缺 1 件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缺 ≥2 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A2 非核心件齐全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全齐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缺 1 件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缺 ≥2 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A3 结构件实质性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所有件含本课特定实体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1-2 件为模板化空壳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≥3 件空壳</w:t>
            </w:r>
          </w:p>
        </w:tc>
      </w:tr>
    </w:tbl>
    <w:p>
      <w:r>
        <w:rPr>
          <w:b/>
        </w:rPr>
        <w:t>附加规则</w:t>
      </w:r>
      <w:r>
        <w:t>：</w:t>
      </w:r>
    </w:p>
    <w:p>
      <w:pPr>
        <w:pStyle w:val="16"/>
      </w:pPr>
      <w:r>
        <w:rPr>
          <w:b/>
        </w:rPr>
        <w:t>缺任一核心件 → A 维度分封顶 2.0</w:t>
      </w:r>
      <w:r>
        <w:t>（无论其他子项）。</w:t>
      </w:r>
    </w:p>
    <w:p>
      <w:pPr>
        <w:pStyle w:val="16"/>
      </w:pPr>
      <w:r>
        <w:t>推荐件（常规课：学情分析 / 教材分析 / 教学反思）每件有实质内容 +0.5，A 维度分封顶 5.0。</w:t>
      </w:r>
    </w:p>
    <w:p>
      <w:pPr>
        <w:pStyle w:val="16"/>
      </w:pPr>
      <w:r>
        <w:rPr>
          <w:b/>
        </w:rPr>
        <w:t>"实质内容"操作定义</w:t>
      </w:r>
      <w:r>
        <w:t>：该结构件包含 ≥1 个本课特定实体（本课概念、具体活动名、具体数据或例题），且非"可原样搬到任何一节课"的模板句。评审提示词附模板句反例作负锚点（如"通过本环节培养学生核心素养"）。字数不作判据。</w:t>
      </w:r>
    </w:p>
    <w:p>
      <w:r>
        <w:rPr>
          <w:b/>
        </w:rPr>
        <w:t>评分方式</w:t>
      </w:r>
      <w:r>
        <w:t xml:space="preserve">：结构抽取以 </w:t>
      </w:r>
      <w:r>
        <w:rPr>
          <w:b/>
        </w:rPr>
        <w:t>LLM 抽取为主、规则校验为辅</w:t>
      </w:r>
      <w:r>
        <w:t>（纯标题匹配对异构格式不鲁棒），配同义词典（如：教学目标≈学习目标；情节导入≈情境导入≈新课导入；作业布置≈课后作业）。</w:t>
      </w:r>
      <w:r>
        <w:rPr>
          <w:b/>
        </w:rPr>
        <w:t>所有"缺核心件"判定进入人工快审队列确认后方生效</w:t>
      </w:r>
      <w:r>
        <w:t>（结构解析失败的代价太高，不允许全自动判缺）。</w:t>
      </w:r>
    </w:p>
    <w:p>
      <w:pPr>
        <w:spacing w:after="120"/>
      </w:pPr>
    </w:p>
    <w:p>
      <w:pPr>
        <w:pStyle w:val="5"/>
      </w:pPr>
      <w:r>
        <w:t>维度 B · 内容丰富性（15 分）</w:t>
      </w:r>
    </w:p>
    <w:p>
      <w:r>
        <w:rPr>
          <w:b/>
        </w:rPr>
        <w:t>定义</w:t>
      </w:r>
      <w:r>
        <w:t>：教学过程是否展开到"可执行"颗粒度——没上过这节课的教师能否照案施教。</w:t>
      </w:r>
    </w:p>
    <w:p>
      <w:r>
        <w:rPr>
          <w:b/>
        </w:rPr>
        <w:t>子指标计点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2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 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B1 环节展开度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≥80% 环节有师生双边活动描述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约半数环节有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普遍单边描述或仅环节名罗列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B2 可执行颗粒度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≥80% 环节有时间 + 组织形式，关键活动有材料清单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部分环节有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普遍缺失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B3 预设与应对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≥2 处关键问题有绑定本课概念 / 典型错误的预设回答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有预设但内容通用化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无预设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B4 支架材料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≥1 件与主活动的数据 / 任务直接耦合的支架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有支架但为通用模板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无支架</w:t>
            </w:r>
          </w:p>
        </w:tc>
      </w:tr>
    </w:tbl>
    <w:p>
      <w:r>
        <w:rPr>
          <w:b/>
        </w:rPr>
        <w:t>判据细则</w:t>
      </w:r>
      <w:r>
        <w:t>：</w:t>
      </w:r>
    </w:p>
    <w:p>
      <w:pPr>
        <w:pStyle w:val="16"/>
      </w:pPr>
      <w:r>
        <w:t>"关键问题"限定为探究 / 研讨环节的主任务提问，不含"对不对？""是不是？"类附和式提问。</w:t>
      </w:r>
    </w:p>
    <w:p>
      <w:pPr>
        <w:pStyle w:val="16"/>
      </w:pPr>
      <w:r>
        <w:t>预设回答须含具体内容（预期答案要点或典型误区及应对），"学生答：是的"类敷衍预设不计数。</w:t>
      </w:r>
    </w:p>
    <w:p>
      <w:pPr>
        <w:pStyle w:val="16"/>
      </w:pPr>
      <w:r>
        <w:rPr>
          <w:b/>
        </w:rPr>
        <w:t>特异性检验</w:t>
      </w:r>
      <w:r>
        <w:t>（总纲第 5 条）：预设与支架的判 2 标准是"该内容是否只能出自本课"——跨课可复用的学习单模板改标题、通用型"学生可能回答 A/B"话术，一律计 1。</w:t>
      </w:r>
    </w:p>
    <w:p>
      <w:r>
        <w:rPr>
          <w:b/>
        </w:rPr>
        <w:t>评分方式</w:t>
      </w:r>
      <w:r>
        <w:t>：LLM 评审。提示词写明：</w:t>
      </w:r>
      <w:r>
        <w:rPr>
          <w:b/>
        </w:rPr>
        <w:t>评可执行性密度，不评篇幅</w:t>
      </w:r>
      <w:r>
        <w:t>；与本课无关的理论铺陈不加分（冗余的惩罚唯一归属 E 维度，本维度不重复扣）。</w:t>
      </w:r>
    </w:p>
    <w:p>
      <w:pPr>
        <w:pStyle w:val="156"/>
      </w:pPr>
      <w:r>
        <w:rPr>
          <w:color w:val="666666"/>
        </w:rPr>
        <w:t>参照（金标准案例特征）：数学案例研讨环节附 8 条绑定本课的预设问题；生物案例活动精确到"90 秒演讲"+ 固定 4 角色分工；化学案例附完整正交实验参数表。</w:t>
      </w:r>
    </w:p>
    <w:p>
      <w:pPr>
        <w:spacing w:after="120"/>
      </w:pPr>
    </w:p>
    <w:p>
      <w:pPr>
        <w:pStyle w:val="5"/>
      </w:pPr>
      <w:r>
        <w:t>维度 C · 内容准确性（20 分）</w:t>
      </w:r>
    </w:p>
    <w:p>
      <w:r>
        <w:rPr>
          <w:b/>
        </w:rPr>
        <w:t>定义</w:t>
      </w:r>
      <w:r>
        <w:t>：知识表述科学无误，例题正确，活动安全可行。</w:t>
      </w:r>
    </w:p>
    <w:p>
      <w:r>
        <w:rPr>
          <w:b/>
        </w:rPr>
        <w:t>扣分表</w:t>
      </w:r>
      <w:r>
        <w:t>（从 5 分起扣，C = clamp(5 − Σ扣分, 0, 5)，连续值直接进总分）：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扣分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判定标准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重大知识性错误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−2 / 根因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概念错误、定律表述错误、例题答案错误、危险操作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一般性不严谨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−0.5 / 根因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学科事实层面的表述含糊、量纲缺失、史实细节偏差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符号 / 公式实质问题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−0.5 / 根因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量纲错误、符号前后不一致、公式乱码致不可读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格式合规问题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−0.5，全文档一次性，封顶 −1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公式未按提交契约使用 LaTeX 等纯格式问题（不涉内容正确性）</w:t>
            </w:r>
          </w:p>
        </w:tc>
      </w:tr>
    </w:tbl>
    <w:p>
      <w:r>
        <w:rPr>
          <w:b/>
        </w:rPr>
        <w:t>错误单元化规则</w:t>
      </w:r>
      <w:r>
        <w:t>（计数的唯一口径）：</w:t>
      </w:r>
    </w:p>
    <w:p>
      <w:pPr>
        <w:pStyle w:val="16"/>
      </w:pPr>
      <w:r>
        <w:t>按</w:t>
      </w:r>
      <w:r>
        <w:rPr>
          <w:b/>
        </w:rPr>
        <w:t>独立根因</w:t>
      </w:r>
      <w:r>
        <w:t>计数：同一根因的连锁后果（如例题第一步错导致后续全错）合并为 1 处，按最重档位扣分，记首发位置；</w:t>
      </w:r>
    </w:p>
    <w:p>
      <w:pPr>
        <w:pStyle w:val="16"/>
      </w:pPr>
      <w:r>
        <w:t>同一错误在全文重复出现合并为 1 处；</w:t>
      </w:r>
    </w:p>
    <w:p>
      <w:pPr>
        <w:pStyle w:val="16"/>
      </w:pPr>
      <w:r>
        <w:t>同段内根因互相独立的错误分别计数。</w:t>
      </w:r>
    </w:p>
    <w:p>
      <w:r>
        <w:rPr>
          <w:b/>
        </w:rPr>
        <w:t>内容回避封顶条款</w:t>
      </w:r>
      <w:r>
        <w:t>（防"删掉一切可证伪内容"策略）：教案必须包含可核查内容——</w:t>
      </w:r>
      <w:r>
        <w:rPr>
          <w:b/>
        </w:rPr>
        <w:t>至少 1 道带完整过程的例题 / 实验方案 / 具体数据参数</w:t>
      </w:r>
      <w:r>
        <w:t>（按学科性质取其一）。低于此底线的教案 C 维度封顶 3.0。磨课不是"删到无错"，是"改到正确"。</w:t>
      </w:r>
    </w:p>
    <w:p>
      <w:r>
        <w:rPr>
          <w:b/>
        </w:rPr>
        <w:t>评审程序</w:t>
      </w:r>
      <w:r>
        <w:t>：</w:t>
      </w:r>
    </w:p>
    <w:p>
      <w:pPr>
        <w:pStyle w:val="14"/>
      </w:pPr>
      <w:r>
        <w:t>3 次独立采样（含 ≥2 个模型家族），每次输出「根因 – 原文引用 – 错误类型」三元组清单，</w:t>
      </w:r>
      <w:r>
        <w:rPr>
          <w:b/>
        </w:rPr>
        <w:t>不直接给分</w:t>
      </w:r>
      <w:r>
        <w:t>；</w:t>
      </w:r>
    </w:p>
    <w:p>
      <w:pPr>
        <w:pStyle w:val="14"/>
      </w:pPr>
      <w:r>
        <w:t xml:space="preserve">聚合层对三份清单做根因对齐去重；"重大错误"须 </w:t>
      </w:r>
      <w:r>
        <w:rPr>
          <w:b/>
        </w:rPr>
        <w:t>≥2/3 采样报出同一根因</w:t>
      </w:r>
      <w:r>
        <w:t>才进入人工确认队列；</w:t>
      </w:r>
    </w:p>
    <w:p>
      <w:pPr>
        <w:pStyle w:val="14"/>
      </w:pPr>
      <w:r>
        <w:t>C 维度终分按</w:t>
      </w:r>
      <w:r>
        <w:rPr>
          <w:b/>
        </w:rPr>
        <w:t>人工确认后的错误清单</w:t>
      </w:r>
      <w:r>
        <w:t>统一重算。</w:t>
      </w:r>
    </w:p>
    <w:p>
      <w:r>
        <w:rPr>
          <w:b/>
        </w:rPr>
        <w:t>排他条款</w:t>
      </w:r>
      <w:r>
        <w:t>：涉及学科事实、数据、量纲的含糊归 C；纯语言表达层面的含糊归 E。同一处原文只计入一个维度。</w:t>
      </w:r>
    </w:p>
    <w:p>
      <w:pPr>
        <w:spacing w:after="120"/>
      </w:pPr>
    </w:p>
    <w:p>
      <w:pPr>
        <w:pStyle w:val="5"/>
      </w:pPr>
      <w:r>
        <w:t>维度 D · 内容一致性（15 分）</w:t>
      </w:r>
    </w:p>
    <w:p>
      <w:r>
        <w:rPr>
          <w:b/>
        </w:rPr>
        <w:t>定义</w:t>
      </w:r>
      <w:r>
        <w:t>：目标—重难点—活动—作业—学情之间形成协调统一的整体。</w:t>
      </w:r>
    </w:p>
    <w:p>
      <w:r>
        <w:rPr>
          <w:b/>
        </w:rPr>
        <w:t>子指标计点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2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 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D1 目标-活动映射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映射完整无孤立项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1-2 个孤立 / 游离项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目标与过程"两张皮"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D2 重难点呼应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每个难点有突破设计（脚手架 / 变式 / 直观化）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部分难点有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难点无对应处理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D3 环节衔接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≥2 处"前环节产出被后环节使用"的实质承接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有过渡语但环节实质孤立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环节拼盘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D4 作业 / 板书一致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均与本课目标一致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其一一致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与本课内容脱节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D5 学情适配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活动难度与开放度档位与给定学情明确呼应且合理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笼统提及学情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无学情呼应或明显不符</w:t>
            </w:r>
          </w:p>
        </w:tc>
      </w:tr>
    </w:tbl>
    <w:p>
      <w:r>
        <w:rPr>
          <w:b/>
        </w:rPr>
        <w:t>映射表证据规范</w:t>
      </w:r>
      <w:r>
        <w:t>（D1 的执行细则）：</w:t>
      </w:r>
    </w:p>
    <w:p>
      <w:pPr>
        <w:pStyle w:val="16"/>
      </w:pPr>
      <w:r>
        <w:t>评审</w:t>
      </w:r>
      <w:r>
        <w:rPr>
          <w:b/>
        </w:rPr>
        <w:t>独立构建</w:t>
      </w:r>
      <w:r>
        <w:t>映射表，JSON 格式：</w:t>
      </w:r>
      <w:r>
        <w:rPr>
          <w:rFonts w:ascii="Consolas" w:hAnsi="Consolas"/>
          <w:color w:val="C7254E"/>
          <w:sz w:val="18"/>
        </w:rPr>
        <w:t>{goal_id, goal_quote, activity_quote, activity_section, eval_quote|null}</w:t>
      </w:r>
      <w:r>
        <w:t>；</w:t>
      </w:r>
    </w:p>
    <w:p>
      <w:pPr>
        <w:pStyle w:val="16"/>
      </w:pPr>
      <w:r>
        <w:t>所有 quote 为原文</w:t>
      </w:r>
      <w:r>
        <w:rPr>
          <w:b/>
        </w:rPr>
        <w:t>逐字子串（≤30 字）</w:t>
      </w:r>
      <w:r>
        <w:t>，程序用归一化模糊匹配校验其确实存在于教案文本，校验失败该格证据无效；</w:t>
      </w:r>
    </w:p>
    <w:p>
      <w:pPr>
        <w:pStyle w:val="16"/>
      </w:pPr>
      <w:r>
        <w:rPr>
          <w:b/>
        </w:rPr>
        <w:t>评价列可空</w:t>
      </w:r>
      <w:r>
        <w:t>：常规课教案无正式评价设计时，评价可由例题反馈 / 作业 / 课堂提问充当，无则该列留空、不扣 D1；</w:t>
      </w:r>
    </w:p>
    <w:p>
      <w:pPr>
        <w:pStyle w:val="16"/>
      </w:pPr>
      <w:r>
        <w:rPr>
          <w:b/>
        </w:rPr>
        <w:t>自我声明不作证据</w:t>
      </w:r>
      <w:r>
        <w:t>："本环节落实目标 X"式声明不得单独作为映射证据，评审须核验该活动实质的认知要求与目标行为动词匹配；</w:t>
      </w:r>
    </w:p>
    <w:p>
      <w:pPr>
        <w:pStyle w:val="16"/>
      </w:pPr>
      <w:r>
        <w:rPr>
          <w:b/>
        </w:rPr>
        <w:t>目标颗粒度规则</w:t>
      </w:r>
      <w:r>
        <w:t>：目标之间须可区分，宽泛到"什么活动都能挂靠"的目标按孤立项风险处理（防"三条空目标杜绝孤立项"的写法）；</w:t>
      </w:r>
    </w:p>
    <w:p>
      <w:pPr>
        <w:pStyle w:val="16"/>
      </w:pPr>
      <w:r>
        <w:rPr>
          <w:b/>
        </w:rPr>
        <w:t>学情以官方版本为准</w:t>
      </w:r>
      <w:r>
        <w:t>：D5 依据测试样本给定的学情描述（profile）评判，教案自拟的学情分析不作为适配依据（防自拟自答）。</w:t>
      </w:r>
    </w:p>
    <w:p>
      <w:r>
        <w:rPr>
          <w:b/>
        </w:rPr>
        <w:t>评分方式</w:t>
      </w:r>
      <w:r>
        <w:t>：LLM 评审 + 映射表程序校验。</w:t>
      </w:r>
    </w:p>
    <w:p>
      <w:pPr>
        <w:spacing w:after="120"/>
      </w:pPr>
    </w:p>
    <w:p>
      <w:pPr>
        <w:pStyle w:val="5"/>
      </w:pPr>
      <w:r>
        <w:t>维度 E · 语言逻辑性（10 分）</w:t>
      </w:r>
    </w:p>
    <w:p>
      <w:r>
        <w:rPr>
          <w:b/>
        </w:rPr>
        <w:t>定义</w:t>
      </w:r>
      <w:r>
        <w:t>：语言清晰、无冗余、术语一致、层级规范、行文连贯。</w:t>
      </w:r>
    </w:p>
    <w:p>
      <w:r>
        <w:rPr>
          <w:b/>
        </w:rPr>
        <w:t>子指标计点</w:t>
      </w:r>
      <w: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2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 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E1 表述清晰（纯语言层面）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全文无歧义表述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个别段落含糊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多处影响理解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E2 无重复冗余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无重复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轻度重复 / 车轱辘话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大段重复或明显拼贴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E3 术语一致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同一概念全篇同名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1-2 处漂移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多处混用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E4 编号层级规范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体系一致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1-2 处跳档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混乱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E5 行文连贯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环节间有自然过渡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部分生硬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前后割裂</w:t>
            </w:r>
          </w:p>
        </w:tc>
      </w:tr>
    </w:tbl>
    <w:p>
      <w:r>
        <w:rPr>
          <w:b/>
        </w:rPr>
        <w:t>评分方式</w:t>
      </w:r>
      <w:r>
        <w:t>：Tier-0 规则（重复段落检测、编号连续性）+ LLM 评审。</w:t>
      </w:r>
    </w:p>
    <w:p>
      <w:r>
        <w:rPr>
          <w:b/>
        </w:rPr>
        <w:t>排他条款</w:t>
      </w:r>
      <w:r>
        <w:t>：冗余的惩罚唯一归属本维度（B 维度不联动扣分）；纯语言含糊归 E，学科事实含糊归 C。</w:t>
      </w:r>
    </w:p>
    <w:p>
      <w:pPr>
        <w:spacing w:after="120"/>
      </w:pPr>
    </w:p>
    <w:p>
      <w:pPr>
        <w:pStyle w:val="5"/>
      </w:pPr>
      <w:r>
        <w:t>维度 F · 素养导向性（30 分）⭐ 核心维度</w:t>
      </w:r>
    </w:p>
    <w:p>
      <w:r>
        <w:rPr>
          <w:b/>
        </w:rPr>
        <w:t>定义</w:t>
      </w:r>
      <w:r>
        <w:t>：教案是否真正围绕学科核心素养培养展开——目标行为化、思维显性化、情境真实化、学生主体化、检核可落地。</w:t>
      </w:r>
    </w:p>
    <w:p>
      <w:r>
        <w:rPr>
          <w:b/>
        </w:rPr>
        <w:t>子指标计点</w:t>
      </w:r>
      <w:r>
        <w:t>（F1/F2 偏客观可对照课标表核查，F3-F6 偏判断，信度资源配置见第十一节）：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子指标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2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 分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 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F1 素养目标行为化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全部素养目标用本学段课标语言且有"能干什么"的具体行为描述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有素养语言但部分条目贴标签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无素养表述，或全部贴标签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F2 学段课标符合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深度匹配学段且对应课标主题 / 大概念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基本匹配，个别深度偏差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明显超纲或失位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F3 思维参与设计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有成体系的思维设计：递进问题链 + 合格的思路外显环节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有零散思维活动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纯接受式学习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F4 真实情境与探究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情境非装饰 + 存在整合性主活动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情境存在但使用弱，或活动碎片化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无情境 / 纯讲授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F5 学生主体与生成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学生有自主组织空间 + 有产出物 + 有生成性讨论设计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有学生活动但全程强控制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满堂灌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F6 目标达成检核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有针对本课目标、可实际执行的检核设计（正式量规或活动内嵌检核点）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有检核但通用化 / 不可执行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无任何检核手段</w:t>
            </w:r>
          </w:p>
        </w:tc>
      </w:tr>
    </w:tbl>
    <w:p>
      <w:r>
        <w:rPr>
          <w:b/>
        </w:rPr>
        <w:t>关键判据操作化</w:t>
      </w:r>
      <w:r>
        <w:t>（评审执行的硬口径）：</w:t>
      </w:r>
    </w:p>
    <w:p>
      <w:pPr>
        <w:pStyle w:val="16"/>
      </w:pPr>
      <w:r>
        <w:rPr>
          <w:b/>
        </w:rPr>
        <w:t>"合格的思路外显"（F3）</w:t>
      </w:r>
      <w:r>
        <w:t>：学生被要求表达"怎么想到的 / 为什么这样设计"，</w:t>
      </w:r>
      <w:r>
        <w:rPr>
          <w:b/>
        </w:rPr>
        <w:t>且</w:t>
      </w:r>
      <w:r>
        <w:t>教案配有教师预设应对或该表达被后续环节使用。孤立插入一句"说说你是怎么想的"</w:t>
      </w:r>
      <w:r>
        <w:rPr>
          <w:b/>
        </w:rPr>
        <w:t>不计</w:t>
      </w:r>
      <w:r>
        <w:t>为思路外显证据。</w:t>
      </w:r>
    </w:p>
    <w:p>
      <w:pPr>
        <w:pStyle w:val="16"/>
      </w:pPr>
      <w:r>
        <w:rPr>
          <w:b/>
        </w:rPr>
        <w:t>"非装饰性情境"（F4）</w:t>
      </w:r>
      <w:r>
        <w:t>：导入之后 ≥2 个环节实质使用该情境（任务围绕情境展开 / 数据来自情境 / 产出物回应情境），评审须引用这些环节原文作证。每环节机械回指一次情境名词不构成"实质使用"。</w:t>
      </w:r>
    </w:p>
    <w:p>
      <w:pPr>
        <w:pStyle w:val="16"/>
      </w:pPr>
      <w:r>
        <w:rPr>
          <w:b/>
        </w:rPr>
        <w:t>"整合性主活动"（F4）</w:t>
      </w:r>
      <w:r>
        <w:t>：存在单个任务要求学生综合 ≥2 个知识点或方法、并</w:t>
      </w:r>
      <w:r>
        <w:rPr>
          <w:b/>
        </w:rPr>
        <w:t>自主组织解决路径</w:t>
      </w:r>
      <w:r>
        <w:t>。"琐碎"的判别特征：每一步都由教师预先给出封闭式小问题、学生无自主组织空间（与 D5 开放度档位打通理解——递进问题链本身不算琐碎，链上每步都封闭且学生无组织权才算）。</w:t>
      </w:r>
    </w:p>
    <w:p>
      <w:pPr>
        <w:pStyle w:val="16"/>
      </w:pPr>
      <w:r>
        <w:rPr>
          <w:b/>
        </w:rPr>
        <w:t>素养-活动配对的质量判别（F1）</w:t>
      </w:r>
      <w:r>
        <w:t>：评审对每条素养目标核验对应活动的</w:t>
      </w:r>
      <w:r>
        <w:rPr>
          <w:b/>
        </w:rPr>
        <w:t>认知要求是否真实匹配素养动词</w:t>
      </w:r>
      <w:r>
        <w:t>。目标关键词在活动句中逐字回声而无实质展开的（"【科学思维】学生进行证据推理"但活动实为抄记结论），按贴标签处理。</w:t>
      </w:r>
    </w:p>
    <w:p>
      <w:pPr>
        <w:pStyle w:val="16"/>
      </w:pPr>
      <w:r>
        <w:rPr>
          <w:b/>
        </w:rPr>
        <w:t>F1 贴标签的分级封顶</w:t>
      </w:r>
      <w:r>
        <w:t>（含界明确）：无证据素养条目占比 &gt;1/3 → F 维度分 ≤3.0（含 3.0）；全部无证据 → F ≤2.0；仅个别条目 → 该条目在 F1 计点中按 0 处理，不触发整体封顶。</w:t>
      </w:r>
    </w:p>
    <w:p>
      <w:pPr>
        <w:pStyle w:val="16"/>
      </w:pPr>
      <w:r>
        <w:rPr>
          <w:b/>
        </w:rPr>
        <w:t>F6 检核可执行性</w:t>
      </w:r>
      <w:r>
        <w:t>：教案内量规的水平描述须可由本课活动实际检验；凭空编造的数值指标（无对应测量活动支撑）计 1 不计 2。</w:t>
      </w:r>
    </w:p>
    <w:p>
      <w:r>
        <w:rPr>
          <w:b/>
        </w:rPr>
        <w:t>PBL 课型加强判据</w:t>
      </w:r>
      <w:r>
        <w:t>（评 PBL 课型时并入对应子指标，来自魏教授团队书稿"项目案例评价标准"）：</w:t>
      </w:r>
    </w:p>
    <w:p>
      <w:pPr>
        <w:pStyle w:val="16"/>
      </w:pPr>
      <w:r>
        <w:t>F3 加强：有</w:t>
      </w:r>
      <w:r>
        <w:rPr>
          <w:b/>
        </w:rPr>
        <w:t>专门环节</w:t>
      </w:r>
      <w:r>
        <w:t>让学生构建和表达问题解决思路，而非单纯经历解决过程</w:t>
      </w:r>
    </w:p>
    <w:p>
      <w:pPr>
        <w:pStyle w:val="16"/>
      </w:pPr>
      <w:r>
        <w:t>F4 加强：驱动性问题与项目目标紧密结合、有复杂度和开放性、一般教学条件下可行；任务拆解是问题解决思路的自然展开，"</w:t>
      </w:r>
      <w:r>
        <w:rPr>
          <w:b/>
        </w:rPr>
        <w:t>而不是若干孤立活动的拼盘</w:t>
      </w:r>
      <w:r>
        <w:t>"；每任务有整合性挑战性主活动，"</w:t>
      </w:r>
      <w:r>
        <w:rPr>
          <w:b/>
        </w:rPr>
        <w:t>而不是一串琐碎的小问题</w:t>
      </w:r>
      <w:r>
        <w:t>"</w:t>
      </w:r>
    </w:p>
    <w:p>
      <w:pPr>
        <w:pStyle w:val="16"/>
      </w:pPr>
      <w:r>
        <w:t>F6 加强：个人成长成果与问题解决成果</w:t>
      </w:r>
      <w:r>
        <w:rPr>
          <w:b/>
        </w:rPr>
        <w:t>分别</w:t>
      </w:r>
      <w:r>
        <w:t>有量规，水平划分针对本项目，"</w:t>
      </w:r>
      <w:r>
        <w:rPr>
          <w:b/>
        </w:rPr>
        <w:t>不是空泛普适的要点</w:t>
      </w:r>
      <w:r>
        <w:t>"——PBL 课型缺失双轨评价设计 → F6 = 0，同时计 A 维度缺件</w:t>
      </w:r>
    </w:p>
    <w:p>
      <w:r>
        <w:rPr>
          <w:b/>
        </w:rPr>
        <w:t>评分方式</w:t>
      </w:r>
      <w:r>
        <w:t xml:space="preserve">：LLM 评审（评分上下文携带该学科该学段课标素养参照表，见附则二）+ </w:t>
      </w:r>
      <w:r>
        <w:rPr>
          <w:b/>
        </w:rPr>
        <w:t>人工深评覆盖率最高</w:t>
      </w:r>
      <w:r>
        <w:t>（F 权重最大且判断性最强，人工资源优先投放，见第十一节）。</w:t>
      </w:r>
    </w:p>
    <w:p>
      <w:pPr>
        <w:spacing w:after="120"/>
      </w:pPr>
    </w:p>
    <w:p>
      <w:pPr>
        <w:pStyle w:val="4"/>
      </w:pPr>
      <w:r>
        <w:t>四、门槛检查（磨课输出专用；评孤立教案时跳过）</w:t>
      </w:r>
    </w:p>
    <w:p>
      <w:pPr>
        <w:pStyle w:val="5"/>
      </w:pPr>
      <w:r>
        <w:t>G1 · 保真检测（防"另起炉灶"）</w:t>
      </w:r>
    </w:p>
    <w:p>
      <w:r>
        <w:t>磨课输出必须仍是"同一节课"，判据四条：</w:t>
      </w:r>
    </w:p>
    <w:p>
      <w:pPr>
        <w:pStyle w:val="14"/>
      </w:pPr>
      <w:r>
        <w:rPr>
          <w:b/>
        </w:rPr>
        <w:t>元数据一致</w:t>
      </w:r>
      <w:r>
        <w:t>：学科、课题（学科 + 知识主题语义一致，允许标题措辞改写）、学段不变；</w:t>
      </w:r>
    </w:p>
    <w:p>
      <w:pPr>
        <w:pStyle w:val="14"/>
      </w:pPr>
      <w:r>
        <w:rPr>
          <w:b/>
        </w:rPr>
        <w:t>课时规模</w:t>
      </w:r>
      <w:r>
        <w:t>：教案声明课时数变化 ≤±1 课时（未声明按 45 分钟/课时折算总时长，容差 ±25%）；</w:t>
      </w:r>
    </w:p>
    <w:p>
      <w:pPr>
        <w:pStyle w:val="14"/>
      </w:pPr>
      <w:r>
        <w:rPr>
          <w:b/>
        </w:rPr>
        <w:t>课型一致</w:t>
      </w:r>
      <w:r>
        <w:t>：课型由测试样本输入元数据锁定，输出不得改变课型（防"把 PBL 课改写成常规课以绕开加强判据"）；</w:t>
      </w:r>
    </w:p>
    <w:p>
      <w:pPr>
        <w:pStyle w:val="14"/>
      </w:pPr>
      <w:r>
        <w:rPr>
          <w:b/>
        </w:rPr>
        <w:t>内容保真</w:t>
      </w:r>
      <w:r>
        <w:t>：输入教案的核心知识点集合与关键例题须可在输出中追溯（语义对应即可，允许改写重构）；系统须随输出提交逐条修改说明（process.json 的一部分），供核对。</w:t>
      </w:r>
    </w:p>
    <w:p>
      <w:r>
        <w:rPr>
          <w:b/>
        </w:rPr>
        <w:t>处置规则</w:t>
      </w:r>
      <w:r>
        <w:t>（修订自 v1.0 的"一票记 0"）：</w:t>
      </w:r>
    </w:p>
    <w:p>
      <w:pPr>
        <w:pStyle w:val="16"/>
      </w:pPr>
      <w:r>
        <w:t xml:space="preserve">G1 疑似不通过 → </w:t>
      </w:r>
      <w:r>
        <w:rPr>
          <w:b/>
        </w:rPr>
        <w:t>人工双确认后方生效</w:t>
      </w:r>
      <w:r>
        <w:t>，并纳入学生申诉范围；</w:t>
      </w:r>
    </w:p>
    <w:p>
      <w:pPr>
        <w:pStyle w:val="16"/>
      </w:pPr>
      <w:r>
        <w:t xml:space="preserve">确认不通过的样本按 </w:t>
      </w:r>
      <w:r>
        <w:rPr>
          <w:b/>
        </w:rPr>
        <w:t>O := I、R := 0</w:t>
      </w:r>
      <w:r>
        <w:t xml:space="preserve"> 计（语义为"视同未改进"，而非"视同最差质量"，避免把工程失败编码为教学质量信息）；</w:t>
      </w:r>
    </w:p>
    <w:p>
      <w:pPr>
        <w:pStyle w:val="16"/>
      </w:pPr>
      <w:r>
        <w:t>各系统的 G1 触发率作为独立的"</w:t>
      </w:r>
      <w:r>
        <w:rPr>
          <w:b/>
        </w:rPr>
        <w:t>保真安全性</w:t>
      </w:r>
      <w:r>
        <w:t>"指标在验收报告中单列，不混入质量总分。</w:t>
      </w:r>
    </w:p>
    <w:p>
      <w:pPr>
        <w:pStyle w:val="5"/>
      </w:pPr>
      <w:r>
        <w:t>G2 · 改劣检测（防"越磨越差"）</w:t>
      </w:r>
    </w:p>
    <w:p>
      <w:r>
        <w:t>依托测试集的</w:t>
      </w:r>
      <w:r>
        <w:rPr>
          <w:b/>
        </w:rPr>
        <w:t>植入缺陷清单</w:t>
      </w:r>
      <w:r>
        <w:t>（建集时逐条登记，含错误指纹）逐条核对处置方式：</w:t>
      </w:r>
    </w:p>
    <w:p>
      <w:pPr>
        <w:pStyle w:val="16"/>
      </w:pPr>
      <w:r>
        <w:t>植入错误被</w:t>
      </w:r>
      <w:r>
        <w:rPr>
          <w:b/>
        </w:rPr>
        <w:t>修复</w:t>
      </w:r>
      <w:r>
        <w:t>（改正确）→ 正常；</w:t>
      </w:r>
    </w:p>
    <w:p>
      <w:pPr>
        <w:pStyle w:val="16"/>
      </w:pPr>
      <w:r>
        <w:t>植入错误</w:t>
      </w:r>
      <w:r>
        <w:rPr>
          <w:b/>
        </w:rPr>
        <w:t>未处理</w:t>
      </w:r>
      <w:r>
        <w:t>（原样保留）→ 按 C 维度扣分表正常扣分；</w:t>
      </w:r>
    </w:p>
    <w:p>
      <w:pPr>
        <w:pStyle w:val="16"/>
      </w:pPr>
      <w:r>
        <w:t>植入错误被</w:t>
      </w:r>
      <w:r>
        <w:rPr>
          <w:b/>
        </w:rPr>
        <w:t>删除以回避</w:t>
      </w:r>
      <w:r>
        <w:t xml:space="preserve">（删掉带错例题而不替换等价正确内容）→ </w:t>
      </w:r>
      <w:r>
        <w:rPr>
          <w:b/>
        </w:rPr>
        <w:t>与未修复同等处理</w:t>
      </w:r>
      <w:r>
        <w:t>（按原错误档位扣分）——磨课的义务是修复，不是灭迹；</w:t>
      </w:r>
    </w:p>
    <w:p>
      <w:pPr>
        <w:pStyle w:val="16"/>
      </w:pPr>
      <w:r>
        <w:t>输出中出现</w:t>
      </w:r>
      <w:r>
        <w:rPr>
          <w:b/>
        </w:rPr>
        <w:t>输入没有的</w:t>
      </w:r>
      <w:r>
        <w:t>新重大错误 → 双倍扣分（−4 / 根因）；</w:t>
      </w:r>
    </w:p>
    <w:p>
      <w:pPr>
        <w:pStyle w:val="16"/>
      </w:pPr>
      <w:r>
        <w:t>输出丢失输入已有的核心结构件 → 计入 A 维度并触发 G1 内容保真复核。</w:t>
      </w:r>
    </w:p>
    <w:p>
      <w:r>
        <w:t>G2 是渐进扣分机制，</w:t>
      </w:r>
      <w:r>
        <w:rPr>
          <w:b/>
        </w:rPr>
        <w:t>没有"不过则记 0"的悬崖</w:t>
      </w:r>
      <w:r>
        <w:t>（v1.0 第九节相关表述作废）。</w:t>
      </w:r>
    </w:p>
    <w:p>
      <w:pPr>
        <w:spacing w:after="120"/>
      </w:pPr>
    </w:p>
    <w:p>
      <w:pPr>
        <w:pStyle w:val="4"/>
      </w:pPr>
      <w:r>
        <w:t>五、反评审对抗条款（新增）</w:t>
      </w:r>
    </w:p>
    <w:p>
      <w:r>
        <w:t>学生知晓输出将被 LLM 评审，必须封堵"面向评审写作"的攻击面：</w:t>
      </w:r>
    </w:p>
    <w:p>
      <w:pPr>
        <w:pStyle w:val="14"/>
      </w:pPr>
      <w:r>
        <w:rPr>
          <w:b/>
        </w:rPr>
        <w:t>预处理剥离</w:t>
      </w:r>
      <w:r>
        <w:t>：评审输入前，程序移除或标记教案中的自述性元内容——"设计意图"小节、自带的"目标-活动映射表"、自评分、任何指向评审行为的语句。此类内容仅作人工参考，</w:t>
      </w:r>
      <w:r>
        <w:rPr>
          <w:b/>
        </w:rPr>
        <w:t>不得直接引为给分证据</w:t>
      </w:r>
      <w:r>
        <w:t>。</w:t>
      </w:r>
    </w:p>
    <w:p>
      <w:pPr>
        <w:pStyle w:val="14"/>
      </w:pPr>
      <w:r>
        <w:rPr>
          <w:b/>
        </w:rPr>
        <w:t>评审独立性</w:t>
      </w:r>
      <w:r>
        <w:t>：D 维度评审必须独立构建映射表，禁止采纳教案自带映射；F 维度评审对素养-活动配对独立核验，不采信教案的自我标注。</w:t>
      </w:r>
    </w:p>
    <w:p>
      <w:pPr>
        <w:pStyle w:val="14"/>
      </w:pPr>
      <w:r>
        <w:rPr>
          <w:b/>
        </w:rPr>
        <w:t>诱导评审即不端</w:t>
      </w:r>
      <w:r>
        <w:t>：教案中出现指示、暗示或操纵评审的内容（评分指令、提示词注入、虚构权威背书如"本设计经省级教研员两轮指导修订"）→ 经人工确认后按</w:t>
      </w:r>
      <w:r>
        <w:rPr>
          <w:b/>
        </w:rPr>
        <w:t>学术不端</w:t>
      </w:r>
      <w:r>
        <w:t>处理，该系统磨课效果维度记 0。</w:t>
      </w:r>
    </w:p>
    <w:p>
      <w:pPr>
        <w:pStyle w:val="14"/>
      </w:pPr>
      <w:r>
        <w:rPr>
          <w:b/>
        </w:rPr>
        <w:t>暗桩对照</w:t>
      </w:r>
      <w:r>
        <w:t>：人工校准集中混入已知的"检查表填充样板"教案（结构满配、内容空转），校准阶段验证评审体系能把它压到应有低分——这是评审器上线的必要条件之一。</w:t>
      </w:r>
    </w:p>
    <w:p>
      <w:pPr>
        <w:spacing w:after="120"/>
      </w:pPr>
    </w:p>
    <w:p>
      <w:pPr>
        <w:pStyle w:val="4"/>
      </w:pPr>
      <w:r>
        <w:t>六、附则一 · 课型适配</w:t>
      </w:r>
    </w:p>
    <w:p>
      <w:r>
        <w:t>课型由</w:t>
      </w:r>
      <w:r>
        <w:rPr>
          <w:b/>
        </w:rPr>
        <w:t>测试样本输入元数据显式声明</w:t>
      </w:r>
      <w:r>
        <w:t>（常规课 / PBL 项目课），评审按声明切换清单，输出不得改变课型（并入 G1）。</w:t>
      </w:r>
    </w:p>
    <w:p>
      <w:pPr>
        <w:pStyle w:val="5"/>
      </w:pPr>
      <w:r>
        <w:t>常规课结构清单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分级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结构件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核心件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教学目标；教学重难点；教学过程（含情节导入、探究学习、例题巩固、课堂小结四环节，同义表述均可）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非核心件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作业布置；板书设计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推荐件（+0.5/件，A 封顶 5）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学情分析；教材分析；教学反思</w:t>
            </w:r>
          </w:p>
        </w:tc>
      </w:tr>
    </w:tbl>
    <w:p>
      <w:pPr>
        <w:pStyle w:val="5"/>
      </w:pPr>
      <w:r>
        <w:t>PBL 项目课结构清单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分级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结构件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核心件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项目简介（背景与价值）；项目目标（含素养目标）；驱动性问题；任务链（项目—任务—活动分级，任务间有衔接说明）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非核心件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每任务的总结反思（知识归纳 + 能力发展 + 检查进度）；成果交流设计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特别规定</w:t>
            </w:r>
          </w:p>
        </w:tc>
        <w:tc>
          <w:tcPr>
            <w:tcW w:w="451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评价设计（双轨量规）缺失 → 同时触发 A 缺件与 F6 = 0</w:t>
            </w:r>
          </w:p>
        </w:tc>
      </w:tr>
    </w:tbl>
    <w:p>
      <w:pPr>
        <w:spacing w:after="120"/>
      </w:pPr>
    </w:p>
    <w:p>
      <w:pPr>
        <w:pStyle w:val="4"/>
      </w:pPr>
      <w:r>
        <w:t>七、附则二 · 学科核心素养参照表（F 维度评分上下文）</w:t>
      </w:r>
    </w:p>
    <w:p>
      <w:r>
        <w:t>完整参照表（覆盖测试集全部学科 × 义教 / 高中两学段）作为</w:t>
      </w:r>
      <w:r>
        <w:rPr>
          <w:b/>
        </w:rPr>
        <w:t>公开配套文件随量规同步发布</w:t>
      </w:r>
      <w:r>
        <w:t>——F 占 30 分，学生自建评审同样需要统一口径，缺表则口径必然分裂。此处列骨架：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学科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义教阶段素养（2022 版）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高中阶段素养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化学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化学观念 / 科学思维 / 科学探究与实践 / 科学态度与责任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宏观辨识与微观探析 / 变化观念与平衡思想 / 证据推理与模型认知 / 科学探究与创新意识 / 科学态度与社会责任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数学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"三会" + 抽象能力 / 运算能力 / 几何直观 / 空间观念 / 推理能力 / 数据观念 / 模型观念 / 应用意识 / 创新意识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数学抽象 / 逻辑推理 / 数学建模 / 直观想象 / 数学运算 / 数据分析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生物学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生命观念 / 科学思维 / 探究实践 / 态度责任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生命观念 / 科学思维 / 科学探究 / 社会责任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物理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物理观念 / 科学思维 / 科学探究 / 科学态度与责任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同左（学业质量水平不同）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科学（综合）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科学观念 / 科学思维 / 探究实践 / 态度责任</w:t>
            </w:r>
          </w:p>
        </w:tc>
        <w:tc>
          <w:tcPr>
            <w:tcW w:w="301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—（高中无综合科学）</w:t>
            </w:r>
          </w:p>
        </w:tc>
      </w:tr>
    </w:tbl>
    <w:p>
      <w:r>
        <w:t>⚠️ 义教与高中素养表述体系不同（尤其化学、数学），用错学段的素养语言本身是 C5 / F2 的扣分证据。</w:t>
      </w:r>
    </w:p>
    <w:p>
      <w:pPr>
        <w:spacing w:after="120"/>
      </w:pPr>
    </w:p>
    <w:p>
      <w:pPr>
        <w:pStyle w:val="4"/>
      </w:pPr>
      <w:r>
        <w:t>八、附则三 · 提交与运行契约</w:t>
      </w:r>
    </w:p>
    <w:p>
      <w:r>
        <w:t>评分流水线的全部程序化环节（结构解析、原文引用校验、G2 差分）依赖统一格式。</w:t>
      </w:r>
      <w:r>
        <w:rPr>
          <w:b/>
        </w:rPr>
        <w:t>不符合契约的产物无法进入流水线</w:t>
      </w:r>
      <w:r>
        <w:t>。</w:t>
      </w:r>
    </w:p>
    <w:p>
      <w:pPr>
        <w:pStyle w:val="5"/>
      </w:pPr>
      <w:r>
        <w:t>提交契约</w:t>
      </w:r>
    </w:p>
    <w:p>
      <w:pPr>
        <w:pStyle w:val="16"/>
      </w:pPr>
      <w:r>
        <w:t xml:space="preserve">每份教案 = </w:t>
      </w:r>
      <w:r>
        <w:rPr>
          <w:b/>
        </w:rPr>
        <w:t>单个 UTF-8 编码 Markdown 文件</w:t>
      </w:r>
      <w:r>
        <w:t xml:space="preserve">；数学公式一律 </w:t>
      </w:r>
      <w:r>
        <w:rPr>
          <w:rFonts w:ascii="Consolas" w:hAnsi="Consolas"/>
          <w:color w:val="C7254E"/>
          <w:sz w:val="18"/>
        </w:rPr>
        <w:t>$...$</w:t>
      </w:r>
      <w:r>
        <w:t xml:space="preserve"> / </w:t>
      </w:r>
      <w:r>
        <w:rPr>
          <w:rFonts w:ascii="Consolas" w:hAnsi="Consolas"/>
          <w:color w:val="C7254E"/>
          <w:sz w:val="18"/>
        </w:rPr>
        <w:t>$$...$$</w:t>
      </w:r>
      <w:r>
        <w:t xml:space="preserve"> LaTeX；</w:t>
      </w:r>
    </w:p>
    <w:p>
      <w:pPr>
        <w:pStyle w:val="16"/>
      </w:pPr>
      <w:r>
        <w:t>学习单、量规等支架材料以附录章节内联于同一文件；</w:t>
      </w:r>
    </w:p>
    <w:p>
      <w:pPr>
        <w:pStyle w:val="16"/>
      </w:pPr>
      <w:r>
        <w:t xml:space="preserve">随教案输出 </w:t>
      </w:r>
      <w:r>
        <w:rPr>
          <w:rFonts w:ascii="Consolas" w:hAnsi="Consolas"/>
          <w:color w:val="C7254E"/>
          <w:sz w:val="18"/>
        </w:rPr>
        <w:t>process.json</w:t>
      </w:r>
      <w:r>
        <w:t xml:space="preserve">：研讨过程记录（各角色发言、采纳轨迹）+ </w:t>
      </w:r>
      <w:r>
        <w:rPr>
          <w:b/>
        </w:rPr>
        <w:t>逐条修改说明</w:t>
      </w:r>
      <w:r>
        <w:t>（供 G1 内容保真与 G2 差分核对）；</w:t>
      </w:r>
    </w:p>
    <w:p>
      <w:pPr>
        <w:pStyle w:val="16"/>
      </w:pPr>
      <w:r>
        <w:t>统一文件命名：</w:t>
      </w:r>
      <w:r>
        <w:rPr>
          <w:rFonts w:ascii="Consolas" w:hAnsi="Consolas"/>
          <w:color w:val="C7254E"/>
          <w:sz w:val="18"/>
        </w:rPr>
        <w:t>{学号}_{样本ID}_polished.md</w:t>
      </w:r>
      <w:r>
        <w:t xml:space="preserve"> / </w:t>
      </w:r>
      <w:r>
        <w:rPr>
          <w:rFonts w:ascii="Consolas" w:hAnsi="Consolas"/>
          <w:color w:val="C7254E"/>
          <w:sz w:val="18"/>
        </w:rPr>
        <w:t>{学号}_{样本ID}_process.json</w:t>
      </w:r>
      <w:r>
        <w:t>；</w:t>
      </w:r>
    </w:p>
    <w:p>
      <w:pPr>
        <w:pStyle w:val="16"/>
      </w:pPr>
      <w:r>
        <w:rPr>
          <w:b/>
        </w:rPr>
        <w:t>格式校验脚本随量规同步发布</w:t>
      </w:r>
      <w:r>
        <w:t>，学生日常自查；</w:t>
      </w:r>
    </w:p>
    <w:p>
      <w:pPr>
        <w:pStyle w:val="16"/>
      </w:pPr>
      <w:r>
        <w:t>处置规则：提交不符合契约 → 限 4 小时仅修格式重交一次；仍失败 → 该份按 A 维度 1 档计并跳过程序化环节（能人工评的部分照评）。</w:t>
      </w:r>
    </w:p>
    <w:p>
      <w:pPr>
        <w:pStyle w:val="5"/>
      </w:pPr>
      <w:r>
        <w:t>运行契约</w:t>
      </w:r>
    </w:p>
    <w:p>
      <w:pPr>
        <w:pStyle w:val="16"/>
      </w:pPr>
      <w:r>
        <w:t>统一 CLI 接口：</w:t>
      </w:r>
      <w:r>
        <w:rPr>
          <w:rFonts w:ascii="Consolas" w:hAnsi="Consolas"/>
          <w:color w:val="C7254E"/>
          <w:sz w:val="18"/>
        </w:rPr>
        <w:t>python run.py --lesson &lt;path&gt; --profile &lt;path&gt; --out &lt;dir&gt;</w:t>
      </w:r>
    </w:p>
    <w:p>
      <w:pPr>
        <w:pStyle w:val="16"/>
      </w:pPr>
      <w:r>
        <w:t>单份运行超时 30 分钟；失败自动重试 1 次；仍失败该份 O 按"未产出"计 0；</w:t>
      </w:r>
    </w:p>
    <w:p>
      <w:pPr>
        <w:spacing w:after="120"/>
      </w:pPr>
    </w:p>
    <w:p>
      <w:pPr>
        <w:pStyle w:val="4"/>
      </w:pPr>
      <w:r>
        <w:rPr>
          <w:rFonts w:hint="eastAsia" w:eastAsia="宋体"/>
          <w:lang w:val="en-US" w:eastAsia="zh-CN"/>
        </w:rPr>
        <w:t>九</w:t>
      </w:r>
      <w:bookmarkStart w:id="0" w:name="_GoBack"/>
      <w:bookmarkEnd w:id="0"/>
      <w:r>
        <w:t>、评分流水线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┌──────────────────┐   ┌────────────────────────────┐   ┌────────────────────┐   ┌──────────────────┐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Tier 0 预处理+规则│──▶│ Tier 1 LLM 评审团           │──▶│ Tier 2 人工层       │──▶│ 排名层（推荐）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契约校验          │   │ 异构 ≥2 模型家族            │   │ C 重大错误确认      │   │ 同源成对比较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反评审内容剥离    │   │ C/F 5 采样，其余 3 采样     │   │ F 维度深评         │   │ Bradley-Terry 聚合│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结构抽取(LLM主导) │   │ 证据先对齐去重、再按规则计分 │   │ 分层抽评+证据抽查   │   │ 绝对分管达标反馈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公式/重复检测     │   │ 档位一致率常态监控          │   │ G1 双确认          │   │ 成对分管精细名次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└──────────────────┘   └────────────────────────────┘   └────────────────────┘   └──────────────────┘</w:t>
      </w:r>
    </w:p>
    <w:p>
      <w:r>
        <w:rPr>
          <w:b/>
        </w:rPr>
        <w:t>关键规则</w:t>
      </w:r>
      <w:r>
        <w:t>：</w:t>
      </w:r>
    </w:p>
    <w:p>
      <w:pPr>
        <w:pStyle w:val="14"/>
      </w:pPr>
      <w:r>
        <w:rPr>
          <w:b/>
        </w:rPr>
        <w:t>聚合先证据后分数</w:t>
      </w:r>
      <w:r>
        <w:t>：多采样的聚合单位是证据（错误根因、子指标判定 + 引用），对齐去重后按计分规则统一算分——不是对分数取中位数（分数中位会掩盖"三次找到的错误集合不同"的信号）；</w:t>
      </w:r>
    </w:p>
    <w:p>
      <w:pPr>
        <w:pStyle w:val="14"/>
      </w:pPr>
      <w:r>
        <w:rPr>
          <w:b/>
        </w:rPr>
        <w:t>人工资源投放序</w:t>
      </w:r>
      <w:r>
        <w:t>（合格教研评审是最稀缺资源）：C 维度重大错误确认（配"继承错误去重"工具：I 版植入错误建指纹库，O 中命中同源错误自动匹配，同一错误一次裁定全员生效）＞ F 维度深评（覆盖 ≥50% 样本）＞ 其余维度证据引用抽查；</w:t>
      </w:r>
    </w:p>
    <w:p>
      <w:pPr>
        <w:pStyle w:val="14"/>
      </w:pPr>
      <w:r>
        <w:rPr>
          <w:b/>
        </w:rPr>
        <w:t>分层抽样</w:t>
      </w:r>
      <w:r>
        <w:t>：人工抽评每个系统至少 1 份，再全局随机补足；</w:t>
      </w:r>
    </w:p>
    <w:p>
      <w:pPr>
        <w:pStyle w:val="14"/>
      </w:pPr>
      <w:r>
        <w:rPr>
          <w:b/>
        </w:rPr>
        <w:t>排名层</w:t>
      </w:r>
      <w:r>
        <w:t>（应对绝对分压缩、区分 15 个系统的相邻名次）：同一源样本下两系统输出成对盲比（LLM 判决 + Bradley-Terry 聚合）。绝对分负责"达标解释与反馈"，成对比较负责"精细排序"，两层各司其职。</w:t>
      </w:r>
    </w:p>
    <w:sectPr>
      <w:headerReference r:id="rId5" w:type="default"/>
      <w:footerReference r:id="rId6" w:type="default"/>
      <w:pgSz w:w="11909" w:h="16834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D57C8A"/>
    <w:rsid w:val="3DE970A0"/>
    <w:rsid w:val="4CEE4DC5"/>
    <w:rsid w:val="5DAF5A28"/>
    <w:rsid w:val="605F4CB5"/>
    <w:rsid w:val="71C2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sz w:val="24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7159</Words>
  <Characters>7927</Characters>
  <Lines>0</Lines>
  <Paragraphs>0</Paragraphs>
  <TotalTime>10</TotalTime>
  <ScaleCrop>false</ScaleCrop>
  <LinksUpToDate>false</LinksUpToDate>
  <CharactersWithSpaces>8734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jzwu4</cp:lastModifiedBy>
  <dcterms:modified xsi:type="dcterms:W3CDTF">2026-07-12T07:37:50Z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5b4fa030e91711f08000354100003541">
    <vt:lpwstr>CWMfGbnaSgEwLwPfs1gGjIEc0QQ2wVUuMiHeFA5KiTXCD1Hir0NMu8mGBv4cLUtosWBE/HNIs/lDM8ILwSmPIU5Fg==</vt:lpwstr>
  </property>
  <property fmtid="{D5CDD505-2E9C-101B-9397-08002B2CF9AE}" pid="3" name="CWM2132d1007dbf11f1800053f5000053f5">
    <vt:lpwstr>CWMr7L+Qi6nHLFqCBwpQK8Vlvn7ZU/RdsKaovujjqfZKP6NjvYFY16kMgoxuOhbccbfhB9w4ZniX8EQa/YOs8y5ew==</vt:lpwstr>
  </property>
  <property fmtid="{D5CDD505-2E9C-101B-9397-08002B2CF9AE}" pid="4" name="KSOProductBuildVer">
    <vt:lpwstr>2052-11.8.2.12187</vt:lpwstr>
  </property>
  <property fmtid="{D5CDD505-2E9C-101B-9397-08002B2CF9AE}" pid="5" name="ICV">
    <vt:lpwstr>5AA3F00B2D1E4D36AB25E69752798A51</vt:lpwstr>
  </property>
</Properties>
</file>