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r>
        <w:t>附录D · 提交与运行契约细则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>
            <w:pPr>
              <w:spacing w:after="0" w:line="240" w:lineRule="auto"/>
            </w:pPr>
          </w:p>
        </w:tc>
        <w:tc>
          <w:tcPr>
            <w:tcW w:w="4514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地位</w:t>
            </w:r>
          </w:p>
        </w:tc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《教案质量评价量规 v1.1》附则三的可执行细则；与《教案磨课多智能体实践课题需求 v1》第二节任务定义配套。若本细则与量规附则三冲突，以量规附则三为准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约束力</w:t>
            </w:r>
          </w:p>
        </w:tc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评分流水线的全部程序化环节（结构解析、原文引用校验、G1 保真核对、G2 差分）依赖统一格式。不符合契约的产物无法进入流水线，直接触发第七节违约处置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配套工具</w:t>
            </w:r>
          </w:p>
        </w:tc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`validate_submission.py`（随本附录同目录发布，学生日常自查）；`_selftest/` 内含一合规、一违规两个参考样例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版本</w:t>
            </w:r>
          </w:p>
        </w:tc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v1.0 · 2026-07</w:t>
            </w:r>
          </w:p>
        </w:tc>
      </w:tr>
    </w:tbl>
    <w:p>
      <w:pPr>
        <w:spacing w:after="120"/>
      </w:pPr>
    </w:p>
    <w:p>
      <w:pPr>
        <w:pStyle w:val="4"/>
      </w:pPr>
      <w:r>
        <w:t>一、提交物清单</w:t>
      </w:r>
    </w:p>
    <w:p>
      <w:r>
        <w:t>每</w:t>
      </w:r>
      <w:r>
        <w:rPr>
          <w:rFonts w:hint="eastAsia"/>
          <w:lang w:val="en-US" w:eastAsia="zh-CN"/>
        </w:rPr>
        <w:t>组</w:t>
      </w:r>
      <w:r>
        <w:t>在</w:t>
      </w:r>
      <w:r>
        <w:rPr>
          <w:rFonts w:hint="eastAsia"/>
          <w:lang w:val="en-US" w:eastAsia="zh-CN"/>
        </w:rPr>
        <w:t>最终提交</w:t>
      </w:r>
      <w:r>
        <w:t>时交付以下 5 类提交物，缺任一类视同未按期交付：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提交物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形态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用途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磨课输出教案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`{学号}_{样本ID}_polished.md`（每样本一个，单文件）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量规六维评分对象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研讨过程记录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`{学号}_{样本ID}_process.json`（与教案一一配对）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G1 内容保真核对（逐条修改说明）+ 研讨过程可追溯审计 + 基础闭环评分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sz w:val="20"/>
              </w:rPr>
              <w:t>代码工程</w:t>
            </w:r>
            <w:r>
              <w:rPr>
                <w:rFonts w:hint="eastAsia"/>
                <w:sz w:val="20"/>
                <w:lang w:eastAsia="zh-CN"/>
              </w:rPr>
              <w:t>（</w:t>
            </w:r>
            <w:r>
              <w:rPr>
                <w:rFonts w:hint="eastAsia"/>
                <w:sz w:val="20"/>
                <w:lang w:val="en-US" w:eastAsia="zh-CN"/>
              </w:rPr>
              <w:t>demo</w:t>
            </w:r>
            <w:r>
              <w:rPr>
                <w:rFonts w:hint="eastAsia"/>
                <w:sz w:val="20"/>
                <w:lang w:eastAsia="zh-CN"/>
              </w:rPr>
              <w:t>）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可运行工程目录，根目录含 `run.py` 与 `README.md`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验收方受控环境批量运行保密测试集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技术报告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Markdown 或 PDF，含任务概述、系统设计（含"方法论 → 角色/评审设定"转化章节）、创新点详述与实验、局限性、参考文献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报告与答辩评分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AI 协作开发记录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CLAUDE.md / 关键提示词 / agent 用法与心得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基础闭环与工程质量评分项</w:t>
            </w:r>
          </w:p>
        </w:tc>
      </w:tr>
    </w:tbl>
    <w:p>
      <w:pPr>
        <w:pStyle w:val="156"/>
      </w:pPr>
      <w:r>
        <w:rPr>
          <w:color w:val="666666"/>
        </w:rPr>
        <w:t xml:space="preserve">注意：磨课输出中的样本级产物（#1、#2）在验收时由验收方运行你的系统（#3）现场产出—— </w:t>
      </w:r>
      <w:r>
        <w:rPr>
          <w:rFonts w:ascii="Consolas" w:hAnsi="Consolas"/>
          <w:color w:val="C7254E"/>
          <w:sz w:val="18"/>
        </w:rPr>
        <w:t>outputs_practice/</w:t>
      </w:r>
      <w:r>
        <w:t xml:space="preserve"> 里放的是</w:t>
      </w:r>
      <w:r>
        <w:rPr>
          <w:b/>
        </w:rPr>
        <w:t>公开练习输入</w:t>
      </w:r>
      <w:r>
        <w:t>的产物，用于演练与格式自证；保密测试集的输出你不经手。</w:t>
      </w:r>
    </w:p>
    <w:p>
      <w:pPr>
        <w:pStyle w:val="5"/>
      </w:pPr>
      <w:r>
        <w:t>推荐目录结构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{学号}_final/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 code/                          # 代码工程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├── run.py                     # 统一 CLI 入口（第五节运行契约）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├── README.md                  # 环境准备、依赖安装、复现步骤、运行示例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├── requirements.txt           # 或等价依赖清单（environment.yml / pyproject.toml）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└── ...                        # 其余源码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 outputs_practice/              # 公开练习输入（附录 E）的磨课输出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├── {学号}_{样本ID}_polished.md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└── {学号}_{样本ID}_process.json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 report/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└── {学号}_技术报告.md         # 或 .pdf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 ai_collab/                     # AI 协作开发记录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├── CLAUDE.md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├── prompts/                   # 关键提示词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└── notes.md                   # agent 用法与心得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└── logs/                          # 运行日志（可复现性佐证，建议保留）</w:t>
      </w:r>
    </w:p>
    <w:p>
      <w:r>
        <w:t xml:space="preserve">目录名允许微调（如 </w:t>
      </w:r>
      <w:r>
        <w:rPr>
          <w:rFonts w:ascii="Consolas" w:hAnsi="Consolas"/>
          <w:color w:val="C7254E"/>
          <w:sz w:val="18"/>
        </w:rPr>
        <w:t>src/</w:t>
      </w:r>
      <w:r>
        <w:t xml:space="preserve"> 代替 </w:t>
      </w:r>
      <w:r>
        <w:rPr>
          <w:rFonts w:ascii="Consolas" w:hAnsi="Consolas"/>
          <w:color w:val="C7254E"/>
          <w:sz w:val="18"/>
        </w:rPr>
        <w:t>code/</w:t>
      </w:r>
      <w:r>
        <w:t xml:space="preserve">），但 </w:t>
      </w:r>
      <w:r>
        <w:rPr>
          <w:b/>
        </w:rPr>
        <w:t>`run.py` 必须位于代码工程根目录</w:t>
      </w:r>
      <w:r>
        <w:t>、样本级产物命名必须逐字符符合第二节规范。</w:t>
      </w:r>
    </w:p>
    <w:p>
      <w:pPr>
        <w:spacing w:after="120"/>
      </w:pPr>
    </w:p>
    <w:p>
      <w:pPr>
        <w:pStyle w:val="4"/>
      </w:pPr>
      <w:r>
        <w:t>二、文件命名规范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{学号}_{样本ID}_polished.md      # 磨课后教案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{学号}_{样本ID}_process.json     # 配套研讨过程记录</w:t>
      </w:r>
    </w:p>
    <w:p>
      <w:r>
        <w:t>硬性规则（校验脚本按此判定）：</w:t>
      </w:r>
    </w:p>
    <w:p>
      <w:pPr>
        <w:pStyle w:val="14"/>
      </w:pPr>
      <w:r>
        <w:rPr>
          <w:b/>
        </w:rPr>
        <w:t>{学号}</w:t>
      </w:r>
      <w:r>
        <w:t>：仅限字母与数字（</w:t>
      </w:r>
      <w:r>
        <w:rPr>
          <w:rFonts w:ascii="Consolas" w:hAnsi="Consolas"/>
          <w:color w:val="C7254E"/>
          <w:sz w:val="18"/>
        </w:rPr>
        <w:t>[A-Za-z0-9]+</w:t>
      </w:r>
      <w:r>
        <w:t>），与选课系统学号完全一致；</w:t>
      </w:r>
    </w:p>
    <w:p>
      <w:pPr>
        <w:pStyle w:val="14"/>
      </w:pPr>
      <w:r>
        <w:rPr>
          <w:b/>
        </w:rPr>
        <w:t>{样本ID}</w:t>
      </w:r>
      <w:r>
        <w:t>：以字母或数字开头，仅限字母、数字、连字符（</w:t>
      </w:r>
      <w:r>
        <w:rPr>
          <w:rFonts w:ascii="Consolas" w:hAnsi="Consolas"/>
          <w:color w:val="C7254E"/>
          <w:sz w:val="18"/>
        </w:rPr>
        <w:t>[A-Za-z0-9][A-Za-z0-9-]*</w:t>
      </w:r>
      <w:r>
        <w:t>），与测试样本输入元数据中给定的 ID 完全一致；</w:t>
      </w:r>
    </w:p>
    <w:p>
      <w:pPr>
        <w:pStyle w:val="14"/>
      </w:pPr>
      <w:r>
        <w:t>三段之间用</w:t>
      </w:r>
      <w:r>
        <w:rPr>
          <w:b/>
        </w:rPr>
        <w:t>下划线</w:t>
      </w:r>
      <w:r>
        <w:t>分隔——因此学号与样本 ID 内部</w:t>
      </w:r>
      <w:r>
        <w:rPr>
          <w:b/>
        </w:rPr>
        <w:t>不得含下划线</w:t>
      </w:r>
      <w:r>
        <w:t>；</w:t>
      </w:r>
    </w:p>
    <w:p>
      <w:pPr>
        <w:pStyle w:val="14"/>
      </w:pPr>
      <w:r>
        <w:t xml:space="preserve">后缀逐字符固定为小写 </w:t>
      </w:r>
      <w:r>
        <w:rPr>
          <w:rFonts w:ascii="Consolas" w:hAnsi="Consolas"/>
          <w:color w:val="C7254E"/>
          <w:sz w:val="18"/>
        </w:rPr>
        <w:t>_polished.md</w:t>
      </w:r>
      <w:r>
        <w:t xml:space="preserve"> / </w:t>
      </w:r>
      <w:r>
        <w:rPr>
          <w:rFonts w:ascii="Consolas" w:hAnsi="Consolas"/>
          <w:color w:val="C7254E"/>
          <w:sz w:val="18"/>
        </w:rPr>
        <w:t>_process.json</w:t>
      </w:r>
      <w:r>
        <w:t>；</w:t>
      </w:r>
    </w:p>
    <w:p>
      <w:pPr>
        <w:pStyle w:val="14"/>
      </w:pPr>
      <w:r>
        <w:t>两个文件必须</w:t>
      </w:r>
      <w:r>
        <w:rPr>
          <w:b/>
        </w:rPr>
        <w:t>成对出现</w:t>
      </w:r>
      <w:r>
        <w:t xml:space="preserve">且 </w:t>
      </w:r>
      <w:r>
        <w:rPr>
          <w:rFonts w:ascii="Consolas" w:hAnsi="Consolas"/>
          <w:color w:val="C7254E"/>
          <w:sz w:val="18"/>
        </w:rPr>
        <w:t>{学号}_{样本ID}</w:t>
      </w:r>
      <w:r>
        <w:t xml:space="preserve"> 前缀完全相同；</w:t>
      </w:r>
      <w:r>
        <w:rPr>
          <w:rFonts w:ascii="Consolas" w:hAnsi="Consolas"/>
          <w:color w:val="C7254E"/>
          <w:sz w:val="18"/>
        </w:rPr>
        <w:t>process.json</w:t>
      </w:r>
      <w:r>
        <w:t xml:space="preserve"> 内 </w:t>
      </w:r>
      <w:r>
        <w:rPr>
          <w:rFonts w:ascii="Consolas" w:hAnsi="Consolas"/>
          <w:color w:val="C7254E"/>
          <w:sz w:val="18"/>
        </w:rPr>
        <w:t>meta.student_id</w:t>
      </w:r>
      <w:r>
        <w:t>、</w:t>
      </w:r>
      <w:r>
        <w:rPr>
          <w:rFonts w:ascii="Consolas" w:hAnsi="Consolas"/>
          <w:color w:val="C7254E"/>
          <w:sz w:val="18"/>
        </w:rPr>
        <w:t>meta.sample_id</w:t>
      </w:r>
      <w:r>
        <w:t xml:space="preserve"> 必须与文件名一致；</w:t>
      </w:r>
    </w:p>
    <w:p>
      <w:pPr>
        <w:pStyle w:val="14"/>
      </w:pPr>
      <w:r>
        <w:t xml:space="preserve">每个样本恰好一对，不得提交 </w:t>
      </w:r>
      <w:r>
        <w:rPr>
          <w:rFonts w:ascii="Consolas" w:hAnsi="Consolas"/>
          <w:color w:val="C7254E"/>
          <w:sz w:val="18"/>
        </w:rPr>
        <w:t>_v2</w:t>
      </w:r>
      <w:r>
        <w:t>、</w:t>
      </w:r>
      <w:r>
        <w:rPr>
          <w:rFonts w:ascii="Consolas" w:hAnsi="Consolas"/>
          <w:color w:val="C7254E"/>
          <w:sz w:val="18"/>
        </w:rPr>
        <w:t>_final</w:t>
      </w:r>
      <w:r>
        <w:t>、</w:t>
      </w:r>
      <w:r>
        <w:rPr>
          <w:rFonts w:ascii="Consolas" w:hAnsi="Consolas"/>
          <w:color w:val="C7254E"/>
          <w:sz w:val="18"/>
        </w:rPr>
        <w:t>（副本）</w:t>
      </w:r>
      <w:r>
        <w:t xml:space="preserve"> 等变体文件。</w:t>
      </w:r>
    </w:p>
    <w:p>
      <w:r>
        <w:t>示例：</w:t>
      </w:r>
      <w:r>
        <w:rPr>
          <w:rFonts w:ascii="Consolas" w:hAnsi="Consolas"/>
          <w:color w:val="C7254E"/>
          <w:sz w:val="18"/>
        </w:rPr>
        <w:t>20250101_MATH01_polished.md</w:t>
      </w:r>
      <w:r>
        <w:t xml:space="preserve"> + </w:t>
      </w:r>
      <w:r>
        <w:rPr>
          <w:rFonts w:ascii="Consolas" w:hAnsi="Consolas"/>
          <w:color w:val="C7254E"/>
          <w:sz w:val="18"/>
        </w:rPr>
        <w:t>20250101_MATH01_process.json</w:t>
      </w:r>
      <w:r>
        <w:t>。</w:t>
      </w:r>
    </w:p>
    <w:p>
      <w:pPr>
        <w:spacing w:after="120"/>
      </w:pPr>
    </w:p>
    <w:p>
      <w:pPr>
        <w:pStyle w:val="4"/>
      </w:pPr>
      <w:r>
        <w:t>三、教案 Markdown 规范</w:t>
      </w:r>
    </w:p>
    <w:p>
      <w:pPr>
        <w:pStyle w:val="14"/>
      </w:pPr>
      <w:r>
        <w:rPr>
          <w:b/>
        </w:rPr>
        <w:t>单文件 · UTF-8</w:t>
      </w:r>
      <w:r>
        <w:t>：每份教案 = 单个 UTF-8 编码（无 BOM）的 Markdown 文件。禁止拆分多文件、禁止附带资源目录；</w:t>
      </w:r>
    </w:p>
    <w:p>
      <w:pPr>
        <w:pStyle w:val="14"/>
      </w:pPr>
      <w:r>
        <w:rPr>
          <w:b/>
        </w:rPr>
        <w:t>数学公式一律 LaTeX</w:t>
      </w:r>
      <w:r>
        <w:t xml:space="preserve">：行内 </w:t>
      </w:r>
      <w:r>
        <w:rPr>
          <w:rFonts w:ascii="Consolas" w:hAnsi="Consolas"/>
          <w:color w:val="C7254E"/>
          <w:sz w:val="18"/>
        </w:rPr>
        <w:t>$...$</w:t>
      </w:r>
      <w:r>
        <w:t xml:space="preserve">，独立公式块 </w:t>
      </w:r>
      <w:r>
        <w:rPr>
          <w:rFonts w:ascii="Consolas" w:hAnsi="Consolas"/>
          <w:color w:val="C7254E"/>
          <w:sz w:val="18"/>
        </w:rPr>
        <w:t>$$...$$</w:t>
      </w:r>
      <w:r>
        <w:t xml:space="preserve">。禁止 Unicode 拼凑公式、图片公式、MathML；正文中的美元符号请写 </w:t>
      </w:r>
      <w:r>
        <w:rPr>
          <w:rFonts w:ascii="Consolas" w:hAnsi="Consolas"/>
          <w:color w:val="C7254E"/>
          <w:sz w:val="18"/>
        </w:rPr>
        <w:t>\$</w:t>
      </w:r>
      <w:r>
        <w:t xml:space="preserve"> 转义（否则会破坏定界符配对校验）。公式不合规按量规 C 维度"格式合规问题"扣分（全文档一次性，封顶 −1）；</w:t>
      </w:r>
    </w:p>
    <w:p>
      <w:pPr>
        <w:pStyle w:val="14"/>
      </w:pPr>
      <w:r>
        <w:rPr>
          <w:b/>
        </w:rPr>
        <w:t>支架材料内联</w:t>
      </w:r>
      <w:r>
        <w:t>：学习单、评价量规、实验记录单、素材卡等支架材料一律以</w:t>
      </w:r>
      <w:r>
        <w:rPr>
          <w:b/>
        </w:rPr>
        <w:t>附录章节</w:t>
      </w:r>
      <w:r>
        <w:t xml:space="preserve">（如 </w:t>
      </w:r>
      <w:r>
        <w:rPr>
          <w:rFonts w:ascii="Consolas" w:hAnsi="Consolas"/>
          <w:color w:val="C7254E"/>
          <w:sz w:val="18"/>
        </w:rPr>
        <w:t>## 附录：任务一学习单</w:t>
      </w:r>
      <w:r>
        <w:t>）内联于同一文件，不得以"见附件"方式外置；</w:t>
      </w:r>
    </w:p>
    <w:p>
      <w:pPr>
        <w:pStyle w:val="14"/>
      </w:pPr>
      <w:r>
        <w:rPr>
          <w:b/>
        </w:rPr>
        <w:t>不允许外链图片</w:t>
      </w:r>
      <w:r>
        <w:t xml:space="preserve">：禁止 </w:t>
      </w:r>
      <w:r>
        <w:rPr>
          <w:rFonts w:ascii="Consolas" w:hAnsi="Consolas"/>
          <w:color w:val="C7254E"/>
          <w:sz w:val="18"/>
        </w:rPr>
        <w:t>![](http…)</w:t>
      </w:r>
      <w:r>
        <w:t xml:space="preserve"> 与 </w:t>
      </w:r>
      <w:r>
        <w:rPr>
          <w:rFonts w:ascii="Consolas" w:hAnsi="Consolas"/>
          <w:color w:val="C7254E"/>
          <w:sz w:val="18"/>
        </w:rPr>
        <w:t>&lt;img src="http…"&gt;</w:t>
      </w:r>
      <w:r>
        <w:t>。本地图片引用同样违反单文件原则，凡图示信息请转写为文字描述或 Markdown 表格；</w:t>
      </w:r>
    </w:p>
    <w:p>
      <w:pPr>
        <w:pStyle w:val="14"/>
      </w:pPr>
      <w:r>
        <w:rPr>
          <w:b/>
        </w:rPr>
        <w:t>标题层级</w:t>
      </w:r>
      <w:r>
        <w:t xml:space="preserve">：使用 </w:t>
      </w:r>
      <w:r>
        <w:rPr>
          <w:rFonts w:ascii="Consolas" w:hAnsi="Consolas"/>
          <w:color w:val="C7254E"/>
          <w:sz w:val="18"/>
        </w:rPr>
        <w:t>#</w:t>
      </w:r>
      <w:r>
        <w:t>/</w:t>
      </w:r>
      <w:r>
        <w:rPr>
          <w:rFonts w:ascii="Consolas" w:hAnsi="Consolas"/>
          <w:color w:val="C7254E"/>
          <w:sz w:val="18"/>
        </w:rPr>
        <w:t>##</w:t>
      </w:r>
      <w:r>
        <w:t xml:space="preserve"> 组织一级、二级结构件标题。结构抽取以 LLM 为主、规则为辅并配同义词典（教学目标≈学习目标；情节导入≈情境导入≈新课导入；作业布置≈课后作业……），标题措辞不强制统一，但</w:t>
      </w:r>
      <w:r>
        <w:rPr>
          <w:b/>
        </w:rPr>
        <w:t>必须存在可辨识的结构件标题</w:t>
      </w:r>
      <w:r>
        <w:t>——无标题的整篇流水文将大幅增加"缺核心件"误判风险，后果自负；</w:t>
      </w:r>
    </w:p>
    <w:p>
      <w:pPr>
        <w:pStyle w:val="14"/>
      </w:pPr>
      <w:r>
        <w:rPr>
          <w:b/>
        </w:rPr>
        <w:t>不要面向评审写作</w:t>
      </w:r>
      <w:r>
        <w:t>：教案内自述性元内容（"设计意图"自评、自带目标-活动映射表、自评分）在评审前会被程序剥离，不得作为给分证据；出现指示、暗示、操纵评审的内容按学术不端处理（量规第五节）。</w:t>
      </w:r>
    </w:p>
    <w:p>
      <w:pPr>
        <w:spacing w:after="120"/>
      </w:pPr>
    </w:p>
    <w:p>
      <w:pPr>
        <w:pStyle w:val="4"/>
      </w:pPr>
      <w:r>
        <w:t>四、process.json 规范</w:t>
      </w:r>
    </w:p>
    <w:p>
      <w:pPr>
        <w:pStyle w:val="5"/>
      </w:pPr>
      <w:r>
        <w:t>4.1 设计意图</w:t>
      </w:r>
    </w:p>
    <w:p>
      <w:r>
        <w:rPr>
          <w:rFonts w:ascii="Consolas" w:hAnsi="Consolas"/>
          <w:color w:val="C7254E"/>
          <w:sz w:val="18"/>
        </w:rPr>
        <w:t>process.json</w:t>
      </w:r>
      <w:r>
        <w:t xml:space="preserve"> 同时服务两个验收用途，字段设计围绕它们展开：</w:t>
      </w:r>
    </w:p>
    <w:p>
      <w:pPr>
        <w:pStyle w:val="16"/>
      </w:pPr>
      <w:r>
        <w:rPr>
          <w:b/>
        </w:rPr>
        <w:t>用途 A · G1 内容保真核对</w:t>
      </w:r>
      <w:r>
        <w:t>：</w:t>
      </w:r>
      <w:r>
        <w:rPr>
          <w:rFonts w:ascii="Consolas" w:hAnsi="Consolas"/>
          <w:color w:val="C7254E"/>
          <w:sz w:val="18"/>
        </w:rPr>
        <w:t>modifications[]</w:t>
      </w:r>
      <w:r>
        <w:t xml:space="preserve"> 是逐条修改说明，供验收方核对"输入教案的核心知识点与关键例题可在输出中追溯"、支撑 G2 植入缺陷差分。</w:t>
      </w:r>
      <w:r>
        <w:rPr>
          <w:b/>
        </w:rPr>
        <w:t>该数组为空 = 无法核对 = 契约违约</w:t>
      </w:r>
      <w:r>
        <w:t>；</w:t>
      </w:r>
    </w:p>
    <w:p>
      <w:pPr>
        <w:pStyle w:val="16"/>
      </w:pPr>
      <w:r>
        <w:rPr>
          <w:b/>
        </w:rPr>
        <w:t>用途 B · 研讨过程可追溯</w:t>
      </w:r>
      <w:r>
        <w:t>：</w:t>
      </w:r>
      <w:r>
        <w:rPr>
          <w:rFonts w:ascii="Consolas" w:hAnsi="Consolas"/>
          <w:color w:val="C7254E"/>
          <w:sz w:val="18"/>
        </w:rPr>
        <w:t>roles[]</w:t>
      </w:r>
      <w:r>
        <w:t xml:space="preserve"> + </w:t>
      </w:r>
      <w:r>
        <w:rPr>
          <w:rFonts w:ascii="Consolas" w:hAnsi="Consolas"/>
          <w:color w:val="C7254E"/>
          <w:sz w:val="18"/>
        </w:rPr>
        <w:t>discussion[]</w:t>
      </w:r>
      <w:r>
        <w:t xml:space="preserve"> 证明"≥3 个差异化角色、≥1 轮跨角色互评、分歧处理、每处主要修改可追溯到来源角色与理由"（需求第三节工程实现目标五项要求）。</w:t>
      </w:r>
    </w:p>
    <w:p>
      <w:pPr>
        <w:pStyle w:val="5"/>
      </w:pPr>
      <w:r>
        <w:t>4.2 JSON Schema（权威定义）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"$schema": "https://json-schema.org/draft/2020-12/schema",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"title": "process.json — 磨课研讨过程记录",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"type": "object",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"required": ["meta", "roles", "discussion", "modifications"],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"properties":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"meta":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"type": "object",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"required": ["student_id", "sample_id"],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"properties":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"student_id": { "type": "string", "pattern": "^[A-Za-z0-9]+$"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"sample_id":  { "type": "string", "pattern": "^[A-Za-z0-9][A-Za-z0-9-]*$"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"timestamp":  { "type": "string", "description": "可选。ISO 8601，如 2026-07-12T15:30:00+08:00"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"roles":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"type": "array",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"minItems":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"items":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"type": "object",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"required": ["role_id", "name", "expertise"],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"properties":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"role_id":   { "type": "string", "minLength": 1, "description": "角色唯一标识，供 discussion/modifications 引用"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"name":      { "type": "string", "minLength": 1, "description": "角色显示名，如 素养导向教研员"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"expertise": { "type": "string", "minLength": 1, "description": "专业领域/职责描述，须体现角色差异化依据"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"discussion":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"type": "array",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"items":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"type": "object",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"required": ["round", "role_id", "content"],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"properties":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"round":     { "type": "integer", "minimum": 1, "description": "轮次，从 1 起"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"role_id":   { "type": "string", "description": "发言角色，必须已在 roles[] 登记"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"content":   { "type": "string", "minLength": 1, "description": "发言内容（批注/互评/仲裁）"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"refers_to":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"type": ["string", "array", "null"],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"items": { "type": "string"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"description": "可空。被回应发言的定位，推荐 \"r{round}:{role_id}\"，可为多条；互评发言必填"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"modifications":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"type": "array",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"minItems":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"items":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"type": "object",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"required": ["mod_id", "location", "before_summary", "after_summary", "source_role", "rationale"],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"properties":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"mod_id":         { "type": "string", "minLength": 1, "description": "修改条目唯一 ID，如 M01"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"location":       { "type": "string", "minLength": 1, "description": "修改位置：输出教案中的章节/环节标题，或输入教案的对应位置"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"before_summary": { "type": "string", "description": "修改前内容摘要；新增内容写 \"（新增）\""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"after_summary":  { "type": "string", "minLength": 1, "description": "修改后内容摘要；删除内容写 \"（删除）\"并说明等价替换"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"source_role":    { "type": "string", "description": "修改来源角色，必须已在 roles[] 登记"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"rationale":      { "type": "string", "minLength": 1, "description": "修改理由，应可回溯到 discussion 中的研讨依据"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>
      <w:pPr>
        <w:pStyle w:val="5"/>
      </w:pPr>
      <w:r>
        <w:t>4.3 必填/可选划分与跨字段规则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10"/>
        <w:gridCol w:w="301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必填性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`meta.student_id` / `meta.sample_id`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必填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与文件名逐字符一致（跨字段硬校验）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`meta.timestamp`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可选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产出时间，ISO 8601；仅作审计参考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`roles[]` 三字段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必填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主持人/整合者/用户仲裁等所有在 discussion 或 modifications 中出现的 role_id 都必须登记（expertise 可写"主持与整合"、"用户拍板"）；`role_id` 全局唯一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`discussion[].round/role_id/content`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必填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完整保留研讨轨迹；`role_id` 必须能在 roles[] 中解析（跨字段硬校验）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`discussion[].refers_to`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可空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首轮独立批注可为 null；互评发言必须填写，否则"≥1 轮跨角色互评"无凭证（自查脚本对全空 refers_to 给 WARN）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`modifications[]` 六字段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必填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数组整体非空；`mod_id` 全局唯一；`source_role` 必须能在 roles[] 中解析（跨字段硬校验）</w:t>
            </w:r>
          </w:p>
        </w:tc>
      </w:tr>
    </w:tbl>
    <w:p>
      <w:r>
        <w:rPr>
          <w:b/>
        </w:rPr>
        <w:t>modifications 的粒度要求</w:t>
      </w:r>
      <w:r>
        <w:t>（G1/G2 核对口径）：以"独立修改动机"为单元逐条登记——同一处修改的连锁改动合并一条；不同位置、不同动机的修改分别登记。对输入教案中带错内容的处置（修复/保留/删除）必须各有一条，</w:t>
      </w:r>
      <w:r>
        <w:rPr>
          <w:b/>
        </w:rPr>
        <w:t>删除带错内容而不登记的，按 G2"删除以回避"与未修复同罪处理</w:t>
      </w:r>
      <w:r>
        <w:t>。凡"主要修改"（改变结构件、改动例题/数据、重写环节）漏登记的，G1 保真核对时按不可追溯处理。</w:t>
      </w:r>
    </w:p>
    <w:p>
      <w:pPr>
        <w:pStyle w:val="5"/>
      </w:pPr>
      <w:r>
        <w:t>4.4 最小合规示例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"meta": { "student_id": "20250101", "sample_id": "MATH01", "timestamp": "2026-07-12T15:30:00+08:00"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"roles":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{ "role_id": "r_literacy", "name": "素养导向教研员", "expertise": "课标素养目标行为化、思维显性化设计"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{ "role_id": "r_subject",  "name": "学科内容专家",   "expertise": "数学概念准确性、例题与变式设计"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{ "role_id": "r_learner",  "name": "学情适配专家",   "expertise": "开放度四档调适、认知负荷评估"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{ "role_id": "r_chair",    "name": "主持人",         "expertise": "主持与整合、分歧仲裁"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],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"discussion":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{ "round": 1, "role_id": "r_literacy", "content": "教学目标第 2 条仅贴素养标签，缺'能干什么'的行为描述，建议改写为可观察行为。", "refers_to": null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{ "round": 1, "role_id": "r_subject",  "content": "例题 1 解答第二步移项符号错误，须订正并补充过程。", "refers_to": null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{ "round": 2, "role_id": "r_learner",  "content": "支持 r_literacy 的改写，但按给定学情应将探究开放度降一档，给出半开放脚手架。", "refers_to": "r1:r_literacy"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{ "round": 3, "role_id": "r_chair",    "content": "采纳目标改写与例题订正；开放度分歧按学情描述裁定采用半开放方案。", "refers_to": ["r1:r_subject", "r2:r_learner"]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],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"modifications":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{ "mod_id": "M01", "location": "教学目标", "before_summary": "目标 2：培养学生数学抽象素养", "after_summary": "目标 2：能从购物折扣情境中抽象出一元一次不等式模型并解释各量含义", "source_role": "r_literacy", "rationale": "原目标贴标签无行为描述，按课标语言行为化改写（round 1 批注，round 3 采纳）"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{ "mod_id": "M02", "location": "教学过程·例题巩固", "before_summary": "例题 1 解答第二步 3x-2&gt;7 移项误作 3x&gt;5", "after_summary": "订正为 3x&gt;9, x&gt;3，并补齐检验步骤", "source_role": "r_subject", "rationale": "移项符号错误属重大知识性错误，修复而非删除（G2 义务）"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>
      <w:pPr>
        <w:spacing w:after="120"/>
      </w:pPr>
    </w:p>
    <w:p>
      <w:pPr>
        <w:pStyle w:val="4"/>
      </w:pPr>
      <w:r>
        <w:t>五、运行契约</w:t>
      </w:r>
    </w:p>
    <w:p>
      <w:pPr>
        <w:pStyle w:val="14"/>
      </w:pPr>
      <w:r>
        <w:rPr>
          <w:b/>
        </w:rPr>
        <w:t>统一 CLI 接口</w:t>
      </w:r>
      <w:r>
        <w:t>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python run.py --lesson &lt;path&gt; --profile &lt;path&gt; --out &lt;dir&gt;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含义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`--lesson`</w:t>
            </w:r>
          </w:p>
        </w:tc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输入教案路径（Markdown，UTF-8）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`--profile`</w:t>
            </w:r>
          </w:p>
        </w:tc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学情描述路径（YAML）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`--out`</w:t>
            </w:r>
          </w:p>
        </w:tc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输出目录；运行结束后其中必须出现按第二节命名的 `{学号}_{样本ID}_polished.md` 与 `{学号}_{样本ID}_process.json` 各一</w:t>
            </w:r>
          </w:p>
        </w:tc>
      </w:tr>
    </w:tbl>
    <w:p>
      <w:pPr>
        <w:pStyle w:val="14"/>
      </w:pPr>
      <w:r>
        <w:rPr>
          <w:b/>
        </w:rPr>
        <w:t>超时与重试</w:t>
      </w:r>
      <w:r>
        <w:t xml:space="preserve">：单份样本运行超时 </w:t>
      </w:r>
      <w:r>
        <w:rPr>
          <w:b/>
        </w:rPr>
        <w:t>30 分钟</w:t>
      </w:r>
      <w:r>
        <w:t xml:space="preserve">；失败（非零退出 / 超时 / 输出缺失）自动重试 </w:t>
      </w:r>
      <w:r>
        <w:rPr>
          <w:b/>
        </w:rPr>
        <w:t>1 次</w:t>
      </w:r>
      <w:r>
        <w:t>；仍失败该份 O 按"未产出"计 0；</w:t>
      </w:r>
    </w:p>
    <w:p>
      <w:pPr>
        <w:pStyle w:val="14"/>
      </w:pPr>
      <w:r>
        <w:rPr>
          <w:b/>
        </w:rPr>
        <w:t>退出码约定</w:t>
      </w:r>
      <w:r>
        <w:t>：成功产出退出码 0；任何失败非零退出——不得吞异常后返回 0，否则空产出按契约违约处理；</w:t>
      </w:r>
    </w:p>
    <w:p>
      <w:pPr>
        <w:pStyle w:val="14"/>
      </w:pPr>
      <w:r>
        <w:rPr>
          <w:b/>
        </w:rPr>
        <w:t>无人值守</w:t>
      </w:r>
      <w:r>
        <w:t>：保密测试集由验收方在受控环境批量执行，运行过程</w:t>
      </w:r>
      <w:r>
        <w:rPr>
          <w:b/>
        </w:rPr>
        <w:t>不得要求任何交互输入</w:t>
      </w:r>
      <w:r>
        <w:t>（分歧"呈报用户拍板"机制须提供自动降级路径，如超时默认仲裁）；</w:t>
      </w:r>
    </w:p>
    <w:p>
      <w:pPr>
        <w:pStyle w:val="14"/>
      </w:pPr>
      <w:r>
        <w:rPr>
          <w:b/>
        </w:rPr>
        <w:t>环境自包含</w:t>
      </w:r>
      <w:r>
        <w:t>：README 写明依赖安装与模型 API 配置方式（统一使用主办方 API，密钥经环境变量注入，不得硬编码）；</w:t>
      </w:r>
    </w:p>
    <w:p>
      <w:pPr>
        <w:pStyle w:val="14"/>
      </w:pPr>
      <w:r>
        <w:rPr>
          <w:b/>
        </w:rPr>
        <w:t>格式</w:t>
      </w:r>
      <w:r>
        <w:rPr>
          <w:rFonts w:hint="eastAsia"/>
          <w:b/>
          <w:lang w:val="en-US" w:eastAsia="zh-CN"/>
        </w:rPr>
        <w:t>与运行</w:t>
      </w:r>
      <w:r>
        <w:rPr>
          <w:b/>
        </w:rPr>
        <w:t>演练</w:t>
      </w:r>
      <w:r>
        <w:t xml:space="preserve">：用公开练习输入（附录 E）实跑上述接口并通过 </w:t>
      </w:r>
      <w:r>
        <w:rPr>
          <w:rFonts w:ascii="Consolas" w:hAnsi="Consolas"/>
          <w:color w:val="C7254E"/>
          <w:sz w:val="18"/>
        </w:rPr>
        <w:t>validate_submission.py</w:t>
      </w:r>
      <w:r>
        <w:t xml:space="preserve"> 自查。</w:t>
      </w:r>
      <w:bookmarkStart w:id="0" w:name="_GoBack"/>
      <w:bookmarkEnd w:id="0"/>
    </w:p>
    <w:p>
      <w:pPr>
        <w:spacing w:after="120"/>
      </w:pPr>
    </w:p>
    <w:p>
      <w:pPr>
        <w:pStyle w:val="4"/>
      </w:pPr>
      <w:r>
        <w:t>六、自查脚本使用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python validate_submission.py &lt;提交目录&gt;</w:t>
      </w:r>
    </w:p>
    <w:p>
      <w:pPr>
        <w:pStyle w:val="16"/>
      </w:pPr>
      <w:r>
        <w:t xml:space="preserve">脚本递归扫描目录下的 </w:t>
      </w:r>
      <w:r>
        <w:rPr>
          <w:rFonts w:ascii="Consolas" w:hAnsi="Consolas"/>
          <w:color w:val="C7254E"/>
          <w:sz w:val="18"/>
        </w:rPr>
        <w:t>*_polished.md</w:t>
      </w:r>
      <w:r>
        <w:t xml:space="preserve"> / </w:t>
      </w:r>
      <w:r>
        <w:rPr>
          <w:rFonts w:ascii="Consolas" w:hAnsi="Consolas"/>
          <w:color w:val="C7254E"/>
          <w:sz w:val="18"/>
        </w:rPr>
        <w:t>*_process.json</w:t>
      </w:r>
      <w:r>
        <w:t xml:space="preserve"> 并逐对校验：文件命名、UTF-8 单文件非空、LaTeX 定界符配对、外链图片、标题结构粗检（同义词宽松匹配，仅 WARN）、process.json 解析与 Schema/跨字段校验；</w:t>
      </w:r>
    </w:p>
    <w:p>
      <w:pPr>
        <w:pStyle w:val="16"/>
      </w:pPr>
      <w:r>
        <w:t>结论三级：</w:t>
      </w:r>
      <w:r>
        <w:rPr>
          <w:b/>
        </w:rPr>
        <w:t>PASS</w:t>
      </w:r>
      <w:r>
        <w:t xml:space="preserve">（可提交）/ </w:t>
      </w:r>
      <w:r>
        <w:rPr>
          <w:b/>
        </w:rPr>
        <w:t>WARN</w:t>
      </w:r>
      <w:r>
        <w:t xml:space="preserve">（可提交，但建议处理，结构类 WARN 不处理产生的评分后果自负）/ </w:t>
      </w:r>
      <w:r>
        <w:rPr>
          <w:b/>
        </w:rPr>
        <w:t>FAIL</w:t>
      </w:r>
      <w:r>
        <w:t>（违约项，必须修复，每项附修复方法）；退出码：0 = 无 FAIL，1 = 有 FAIL，2 = 用法错误；</w:t>
      </w:r>
    </w:p>
    <w:p>
      <w:pPr>
        <w:pStyle w:val="16"/>
      </w:pPr>
      <w:r>
        <w:rPr>
          <w:rFonts w:ascii="Consolas" w:hAnsi="Consolas"/>
          <w:color w:val="C7254E"/>
          <w:sz w:val="18"/>
        </w:rPr>
        <w:t>_selftest/sample_ok</w:t>
      </w:r>
      <w:r>
        <w:t xml:space="preserve">（合规）与 </w:t>
      </w:r>
      <w:r>
        <w:rPr>
          <w:rFonts w:ascii="Consolas" w:hAnsi="Consolas"/>
          <w:color w:val="C7254E"/>
          <w:sz w:val="18"/>
        </w:rPr>
        <w:t>_selftest/sample_bad</w:t>
      </w:r>
      <w:r>
        <w:t>(含命名、LaTeX 配对、Schema 三类典型错误) 为参考样例，可直接运行体验两种输出；</w:t>
      </w:r>
    </w:p>
    <w:p>
      <w:pPr>
        <w:pStyle w:val="16"/>
      </w:pPr>
      <w:r>
        <w:rPr>
          <w:b/>
        </w:rPr>
        <w:t>脚本自查通过 ≠ 内容达标</w:t>
      </w:r>
      <w:r>
        <w:t>：脚本只管契约层，量规六维内容质量由评分流水线判定。</w:t>
      </w:r>
    </w:p>
    <w:p>
      <w:pPr>
        <w:spacing w:after="120"/>
      </w:pPr>
    </w:p>
    <w:p>
      <w:pPr>
        <w:pStyle w:val="4"/>
      </w:pPr>
      <w:r>
        <w:t>七、违约处置条款（引用量规 v1.1 附则三）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情形</w:t>
            </w:r>
          </w:p>
        </w:tc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处置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提交不符合契约（命名/编码/单文件/公式格式/process.json 无法解析或缺必填项/modifications 为空）</w:t>
            </w:r>
          </w:p>
        </w:tc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限 4 小时仅修格式重交一次；仍失败 → 该份按 A 维度 1 档计并跳过程序化环节（能人工评的部分照评）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运行失败（超时 30 分钟且重试 1 次后仍失败 / 输出缺失 / 交互阻塞）</w:t>
            </w:r>
          </w:p>
        </w:tc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该份 O 按"未产出"计 0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逐条修改说明缺失或不可核对</w:t>
            </w:r>
          </w:p>
        </w:tc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触发 G1 人工双确认流程；确认不通过按 O := I、R := 0 计（视同未改进）</w:t>
            </w:r>
          </w:p>
        </w:tc>
      </w:tr>
    </w:tbl>
    <w:p/>
    <w:sectPr>
      <w:headerReference r:id="rId5" w:type="default"/>
      <w:footerReference r:id="rId6" w:type="default"/>
      <w:pgSz w:w="11909" w:h="16834"/>
      <w:pgMar w:top="1152" w:right="1440" w:bottom="115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130C9A"/>
    <w:rsid w:val="0D225DDC"/>
    <w:rsid w:val="14AD65F8"/>
    <w:rsid w:val="15D553E2"/>
    <w:rsid w:val="183747A4"/>
    <w:rsid w:val="37AF4CE7"/>
    <w:rsid w:val="3E9F6C42"/>
    <w:rsid w:val="5D9D665F"/>
    <w:rsid w:val="5F0A312B"/>
    <w:rsid w:val="63573855"/>
    <w:rsid w:val="65325303"/>
    <w:rsid w:val="6FF055CD"/>
    <w:rsid w:val="74E43CA8"/>
    <w:rsid w:val="78ED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sz w:val="24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Times New Roman" w:hAnsi="Times New Roman" w:eastAsia="宋体"/>
      <w:sz w:val="24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Times New Roman" w:hAnsi="Times New Roman" w:eastAsia="宋体"/>
      <w:sz w:val="24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Times New Roman" w:hAnsi="Times New Roman" w:eastAsia="宋体"/>
      <w:b/>
      <w:bCs/>
      <w:i/>
      <w:iCs/>
      <w:sz w:val="24"/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3864</Words>
  <Characters>7380</Characters>
  <Lines>0</Lines>
  <Paragraphs>0</Paragraphs>
  <TotalTime>8</TotalTime>
  <ScaleCrop>false</ScaleCrop>
  <LinksUpToDate>false</LinksUpToDate>
  <CharactersWithSpaces>8747</CharactersWithSpaces>
  <Application>WPS Office_11.8.2.12187_F1E327BC-269C-435d-A152-05C5408002CA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jzwu4</cp:lastModifiedBy>
  <dcterms:modified xsi:type="dcterms:W3CDTF">2026-07-12T07:24:07Z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5b4fa030e91711f08000354100003541">
    <vt:lpwstr>CWMfGbnaSgEwLwPfs1gGjIEc0QQ2wVUuMiHeFA5KiTXCD1Hir0NMu8mGBv4cLUtosWBE/HNIs/lDM8ILwSmPIU5Fg==</vt:lpwstr>
  </property>
  <property fmtid="{D5CDD505-2E9C-101B-9397-08002B2CF9AE}" pid="3" name="CWMa2b0b0307dbf11f1800053f5000053f5">
    <vt:lpwstr>CWMr7L+Qi6nHLFqCBwpQK8Vlvn7ZU/RdsKaovujjqfZKP5/w4Zl0XmHI6YP80oe4mRtIRi25nEoDByIeHJN43ty7A==</vt:lpwstr>
  </property>
  <property fmtid="{D5CDD505-2E9C-101B-9397-08002B2CF9AE}" pid="4" name="KSOProductBuildVer">
    <vt:lpwstr>2052-11.8.2.12187</vt:lpwstr>
  </property>
  <property fmtid="{D5CDD505-2E9C-101B-9397-08002B2CF9AE}" pid="5" name="ICV">
    <vt:lpwstr>312856AEA9324D84A4F06AF4955AD367</vt:lpwstr>
  </property>
</Properties>
</file>