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1143BE68">
      <w:pPr>
        <w:jc w:val="center"/>
        <w:rPr>
          <w:rFonts w:hint="eastAsia" w:ascii="黑体" w:eastAsia="黑体"/>
          <w:b/>
          <w:bCs/>
          <w:color w:val="000000"/>
          <w:kern w:val="0"/>
          <w:sz w:val="32"/>
          <w:szCs w:val="32"/>
        </w:rPr>
      </w:pPr>
      <w:bookmarkStart w:id="0" w:name="_Toc243840799"/>
      <w:r>
        <w:rPr>
          <w:rFonts w:hint="eastAsia" w:ascii="黑体" w:eastAsia="黑体"/>
          <w:b/>
          <w:bCs/>
          <w:color w:val="000000"/>
          <w:kern w:val="0"/>
          <w:sz w:val="32"/>
          <w:szCs w:val="32"/>
        </w:rPr>
        <w:t>毕业论文（设计）开题报告书</w:t>
      </w:r>
      <w:bookmarkEnd w:id="0"/>
    </w:p>
    <w:p w14:paraId="48B5C4BB">
      <w:pPr>
        <w:ind w:firstLine="5400" w:firstLineChars="2250"/>
        <w:rPr>
          <w:rFonts w:hint="eastAsia" w:ascii="黑体" w:eastAsia="黑体"/>
          <w:b/>
          <w:bCs/>
          <w:color w:val="000000"/>
          <w:kern w:val="0"/>
          <w:sz w:val="32"/>
          <w:szCs w:val="32"/>
        </w:rPr>
      </w:pPr>
      <w:r>
        <w:rPr>
          <w:rFonts w:hint="eastAsia" w:ascii="宋体" w:hAnsi="宋体"/>
          <w:color w:val="000000"/>
          <w:sz w:val="24"/>
        </w:rPr>
        <w:t>课题类型：论文□   设计□</w:t>
      </w:r>
      <w:r>
        <w:rPr>
          <w:rFonts w:hint="default" w:ascii="宋体" w:hAnsi="宋体"/>
          <w:color w:val="000000"/>
          <w:sz w:val="24"/>
        </w:rPr>
        <w:t>☑</w:t>
      </w:r>
      <w:r>
        <w:rPr>
          <w:rFonts w:hint="eastAsia" w:ascii="宋体" w:hAnsi="宋体"/>
          <w:color w:val="000000"/>
          <w:sz w:val="24"/>
        </w:rPr>
        <w:t xml:space="preserve">      </w:t>
      </w:r>
    </w:p>
    <w:tbl>
      <w:tblPr>
        <w:tblStyle w:val="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3"/>
        <w:gridCol w:w="1550"/>
        <w:gridCol w:w="1914"/>
        <w:gridCol w:w="3255"/>
      </w:tblGrid>
      <w:tr w14:paraId="029D2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054" w:type="pct"/>
            <w:tcBorders>
              <w:top w:val="single" w:color="auto" w:sz="12" w:space="0"/>
              <w:left w:val="single" w:color="auto" w:sz="12" w:space="0"/>
              <w:bottom w:val="single" w:color="auto" w:sz="4" w:space="0"/>
              <w:right w:val="single" w:color="auto" w:sz="4" w:space="0"/>
            </w:tcBorders>
            <w:noWrap w:val="0"/>
            <w:vAlign w:val="center"/>
          </w:tcPr>
          <w:p w14:paraId="2D232C74">
            <w:pPr>
              <w:snapToGrid w:val="0"/>
              <w:spacing w:line="400" w:lineRule="exact"/>
              <w:jc w:val="center"/>
              <w:rPr>
                <w:rFonts w:hint="eastAsia" w:ascii="微软雅黑" w:hAnsi="微软雅黑" w:eastAsia="微软雅黑" w:cs="微软雅黑"/>
                <w:color w:val="000000"/>
                <w:sz w:val="28"/>
                <w:szCs w:val="28"/>
              </w:rPr>
            </w:pPr>
            <w:r>
              <w:rPr>
                <w:rFonts w:hint="eastAsia" w:ascii="微软雅黑" w:hAnsi="微软雅黑" w:eastAsia="微软雅黑" w:cs="微软雅黑"/>
                <w:color w:val="000000"/>
                <w:sz w:val="28"/>
                <w:szCs w:val="28"/>
              </w:rPr>
              <w:t>课题题目</w:t>
            </w:r>
          </w:p>
        </w:tc>
        <w:tc>
          <w:tcPr>
            <w:tcW w:w="3945" w:type="pct"/>
            <w:gridSpan w:val="3"/>
            <w:tcBorders>
              <w:top w:val="single" w:color="auto" w:sz="12" w:space="0"/>
              <w:left w:val="single" w:color="auto" w:sz="4" w:space="0"/>
              <w:bottom w:val="single" w:color="auto" w:sz="4" w:space="0"/>
              <w:right w:val="single" w:color="auto" w:sz="12" w:space="0"/>
            </w:tcBorders>
            <w:noWrap w:val="0"/>
            <w:vAlign w:val="center"/>
          </w:tcPr>
          <w:p w14:paraId="57DBD045">
            <w:pPr>
              <w:snapToGrid w:val="0"/>
              <w:spacing w:line="400" w:lineRule="exact"/>
              <w:jc w:val="center"/>
              <w:rPr>
                <w:rFonts w:hint="eastAsia" w:ascii="微软雅黑" w:hAnsi="微软雅黑" w:eastAsia="微软雅黑" w:cs="微软雅黑"/>
                <w:color w:val="000000"/>
                <w:sz w:val="28"/>
                <w:szCs w:val="28"/>
              </w:rPr>
            </w:pPr>
            <w:r>
              <w:rPr>
                <w:rFonts w:hint="eastAsia" w:ascii="微软雅黑" w:hAnsi="微软雅黑" w:eastAsia="微软雅黑" w:cs="微软雅黑"/>
                <w:color w:val="000000"/>
                <w:sz w:val="28"/>
                <w:szCs w:val="28"/>
              </w:rPr>
              <w:t>家政服务预约平台设计与实现</w:t>
            </w:r>
          </w:p>
        </w:tc>
      </w:tr>
      <w:tr w14:paraId="33035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054" w:type="pct"/>
            <w:tcBorders>
              <w:top w:val="single" w:color="auto" w:sz="4" w:space="0"/>
              <w:left w:val="single" w:color="auto" w:sz="12" w:space="0"/>
              <w:bottom w:val="single" w:color="auto" w:sz="4" w:space="0"/>
              <w:right w:val="single" w:color="auto" w:sz="4" w:space="0"/>
            </w:tcBorders>
            <w:noWrap w:val="0"/>
            <w:vAlign w:val="center"/>
          </w:tcPr>
          <w:p w14:paraId="6B659056">
            <w:pPr>
              <w:snapToGrid w:val="0"/>
              <w:spacing w:line="400" w:lineRule="exact"/>
              <w:jc w:val="center"/>
              <w:rPr>
                <w:rFonts w:hint="eastAsia" w:ascii="微软雅黑" w:hAnsi="微软雅黑" w:eastAsia="微软雅黑" w:cs="微软雅黑"/>
                <w:color w:val="000000"/>
                <w:sz w:val="28"/>
                <w:szCs w:val="28"/>
              </w:rPr>
            </w:pPr>
            <w:r>
              <w:rPr>
                <w:rFonts w:hint="eastAsia" w:ascii="微软雅黑" w:hAnsi="微软雅黑" w:eastAsia="微软雅黑" w:cs="微软雅黑"/>
                <w:color w:val="000000"/>
                <w:sz w:val="28"/>
                <w:szCs w:val="28"/>
              </w:rPr>
              <w:t>学生姓名</w:t>
            </w:r>
          </w:p>
        </w:tc>
        <w:tc>
          <w:tcPr>
            <w:tcW w:w="902" w:type="pct"/>
            <w:tcBorders>
              <w:top w:val="single" w:color="auto" w:sz="4" w:space="0"/>
              <w:left w:val="single" w:color="auto" w:sz="4" w:space="0"/>
              <w:bottom w:val="single" w:color="auto" w:sz="4" w:space="0"/>
              <w:right w:val="single" w:color="auto" w:sz="4" w:space="0"/>
            </w:tcBorders>
            <w:noWrap w:val="0"/>
            <w:vAlign w:val="center"/>
          </w:tcPr>
          <w:p w14:paraId="30B0BE97">
            <w:pPr>
              <w:snapToGrid w:val="0"/>
              <w:spacing w:line="400" w:lineRule="exact"/>
              <w:jc w:val="center"/>
              <w:rPr>
                <w:rFonts w:hint="eastAsia" w:ascii="微软雅黑" w:hAnsi="微软雅黑" w:eastAsia="微软雅黑" w:cs="微软雅黑"/>
                <w:color w:val="000000"/>
                <w:sz w:val="28"/>
                <w:szCs w:val="28"/>
                <w:lang w:val="en-US" w:eastAsia="zh-CN"/>
              </w:rPr>
            </w:pPr>
            <w:r>
              <w:rPr>
                <w:rFonts w:hint="eastAsia" w:ascii="微软雅黑" w:hAnsi="微软雅黑" w:eastAsia="微软雅黑" w:cs="微软雅黑"/>
                <w:color w:val="000000"/>
                <w:sz w:val="28"/>
                <w:szCs w:val="28"/>
                <w:lang w:val="en-US" w:eastAsia="zh-CN"/>
              </w:rPr>
              <w:t>吴昀翰</w:t>
            </w:r>
          </w:p>
        </w:tc>
        <w:tc>
          <w:tcPr>
            <w:tcW w:w="1120" w:type="pct"/>
            <w:tcBorders>
              <w:top w:val="single" w:color="auto" w:sz="4" w:space="0"/>
              <w:left w:val="single" w:color="auto" w:sz="4" w:space="0"/>
              <w:bottom w:val="single" w:color="auto" w:sz="4" w:space="0"/>
              <w:right w:val="single" w:color="auto" w:sz="4" w:space="0"/>
            </w:tcBorders>
            <w:noWrap w:val="0"/>
            <w:vAlign w:val="center"/>
          </w:tcPr>
          <w:p w14:paraId="7B6A2B26">
            <w:pPr>
              <w:snapToGrid w:val="0"/>
              <w:spacing w:line="400" w:lineRule="exact"/>
              <w:jc w:val="center"/>
              <w:rPr>
                <w:rFonts w:hint="eastAsia" w:ascii="微软雅黑" w:hAnsi="微软雅黑" w:eastAsia="微软雅黑" w:cs="微软雅黑"/>
                <w:color w:val="000000"/>
                <w:sz w:val="28"/>
                <w:szCs w:val="28"/>
              </w:rPr>
            </w:pPr>
            <w:r>
              <w:rPr>
                <w:rFonts w:hint="eastAsia" w:ascii="微软雅黑" w:hAnsi="微软雅黑" w:eastAsia="微软雅黑" w:cs="微软雅黑"/>
                <w:color w:val="000000"/>
                <w:sz w:val="28"/>
                <w:szCs w:val="28"/>
              </w:rPr>
              <w:t>专业班级</w:t>
            </w:r>
          </w:p>
        </w:tc>
        <w:tc>
          <w:tcPr>
            <w:tcW w:w="1922" w:type="pct"/>
            <w:tcBorders>
              <w:top w:val="single" w:color="auto" w:sz="4" w:space="0"/>
              <w:left w:val="single" w:color="auto" w:sz="4" w:space="0"/>
              <w:bottom w:val="single" w:color="auto" w:sz="4" w:space="0"/>
              <w:right w:val="single" w:color="auto" w:sz="12" w:space="0"/>
            </w:tcBorders>
            <w:noWrap w:val="0"/>
            <w:vAlign w:val="center"/>
          </w:tcPr>
          <w:p w14:paraId="7CDAC2D3">
            <w:pPr>
              <w:snapToGrid w:val="0"/>
              <w:spacing w:line="400" w:lineRule="exact"/>
              <w:jc w:val="center"/>
              <w:rPr>
                <w:rFonts w:hint="default" w:ascii="微软雅黑" w:hAnsi="微软雅黑" w:eastAsia="微软雅黑" w:cs="微软雅黑"/>
                <w:color w:val="000000"/>
                <w:sz w:val="28"/>
                <w:szCs w:val="28"/>
                <w:lang w:val="en-US" w:eastAsia="zh-CN"/>
              </w:rPr>
            </w:pPr>
            <w:r>
              <w:rPr>
                <w:rFonts w:hint="eastAsia" w:ascii="微软雅黑" w:hAnsi="微软雅黑" w:eastAsia="微软雅黑" w:cs="微软雅黑"/>
                <w:color w:val="000000"/>
                <w:sz w:val="28"/>
                <w:szCs w:val="28"/>
                <w:lang w:val="en-US" w:eastAsia="zh-CN"/>
              </w:rPr>
              <w:t>22级计算机科学2班</w:t>
            </w:r>
          </w:p>
        </w:tc>
      </w:tr>
      <w:tr w14:paraId="6AC5C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054" w:type="pct"/>
            <w:tcBorders>
              <w:top w:val="single" w:color="auto" w:sz="4" w:space="0"/>
              <w:left w:val="single" w:color="auto" w:sz="12" w:space="0"/>
              <w:bottom w:val="single" w:color="auto" w:sz="4" w:space="0"/>
              <w:right w:val="single" w:color="auto" w:sz="4" w:space="0"/>
            </w:tcBorders>
            <w:noWrap w:val="0"/>
            <w:vAlign w:val="center"/>
          </w:tcPr>
          <w:p w14:paraId="2A591819">
            <w:pPr>
              <w:snapToGrid w:val="0"/>
              <w:spacing w:line="400" w:lineRule="exact"/>
              <w:jc w:val="center"/>
              <w:rPr>
                <w:rFonts w:hint="eastAsia" w:ascii="微软雅黑" w:hAnsi="微软雅黑" w:eastAsia="微软雅黑" w:cs="微软雅黑"/>
                <w:color w:val="000000"/>
                <w:sz w:val="28"/>
                <w:szCs w:val="28"/>
              </w:rPr>
            </w:pPr>
            <w:r>
              <w:rPr>
                <w:rFonts w:hint="eastAsia" w:ascii="微软雅黑" w:hAnsi="微软雅黑" w:eastAsia="微软雅黑" w:cs="微软雅黑"/>
                <w:color w:val="000000"/>
                <w:sz w:val="28"/>
                <w:szCs w:val="28"/>
              </w:rPr>
              <w:t>指导教师</w:t>
            </w:r>
          </w:p>
        </w:tc>
        <w:tc>
          <w:tcPr>
            <w:tcW w:w="902" w:type="pct"/>
            <w:tcBorders>
              <w:top w:val="single" w:color="auto" w:sz="4" w:space="0"/>
              <w:left w:val="single" w:color="auto" w:sz="4" w:space="0"/>
              <w:bottom w:val="single" w:color="auto" w:sz="4" w:space="0"/>
              <w:right w:val="single" w:color="auto" w:sz="4" w:space="0"/>
            </w:tcBorders>
            <w:noWrap w:val="0"/>
            <w:vAlign w:val="center"/>
          </w:tcPr>
          <w:p w14:paraId="2F02B905">
            <w:pPr>
              <w:snapToGrid w:val="0"/>
              <w:spacing w:line="400" w:lineRule="exact"/>
              <w:jc w:val="center"/>
              <w:rPr>
                <w:rFonts w:hint="default" w:ascii="微软雅黑" w:hAnsi="微软雅黑" w:eastAsia="微软雅黑" w:cs="微软雅黑"/>
                <w:color w:val="000000"/>
                <w:sz w:val="28"/>
                <w:szCs w:val="28"/>
                <w:lang w:val="en-US" w:eastAsia="zh-CN"/>
              </w:rPr>
            </w:pPr>
            <w:r>
              <w:rPr>
                <w:rFonts w:hint="eastAsia" w:ascii="微软雅黑" w:hAnsi="微软雅黑" w:eastAsia="微软雅黑" w:cs="微软雅黑"/>
                <w:color w:val="000000"/>
                <w:sz w:val="28"/>
                <w:szCs w:val="28"/>
                <w:lang w:val="en-US" w:eastAsia="zh-CN"/>
              </w:rPr>
              <w:t>白德华</w:t>
            </w:r>
          </w:p>
        </w:tc>
        <w:tc>
          <w:tcPr>
            <w:tcW w:w="1120" w:type="pct"/>
            <w:tcBorders>
              <w:top w:val="single" w:color="auto" w:sz="4" w:space="0"/>
              <w:left w:val="single" w:color="auto" w:sz="4" w:space="0"/>
              <w:bottom w:val="single" w:color="auto" w:sz="4" w:space="0"/>
              <w:right w:val="single" w:color="auto" w:sz="4" w:space="0"/>
            </w:tcBorders>
            <w:noWrap w:val="0"/>
            <w:vAlign w:val="center"/>
          </w:tcPr>
          <w:p w14:paraId="616FA359">
            <w:pPr>
              <w:snapToGrid w:val="0"/>
              <w:spacing w:line="400" w:lineRule="exact"/>
              <w:jc w:val="center"/>
              <w:rPr>
                <w:rFonts w:hint="eastAsia" w:ascii="微软雅黑" w:hAnsi="微软雅黑" w:eastAsia="微软雅黑" w:cs="微软雅黑"/>
                <w:color w:val="000000"/>
                <w:sz w:val="28"/>
                <w:szCs w:val="28"/>
              </w:rPr>
            </w:pPr>
            <w:r>
              <w:rPr>
                <w:rFonts w:hint="eastAsia" w:ascii="微软雅黑" w:hAnsi="微软雅黑" w:eastAsia="微软雅黑" w:cs="微软雅黑"/>
                <w:color w:val="000000"/>
                <w:sz w:val="28"/>
                <w:szCs w:val="28"/>
              </w:rPr>
              <w:t>职称/学位</w:t>
            </w:r>
          </w:p>
        </w:tc>
        <w:tc>
          <w:tcPr>
            <w:tcW w:w="1922" w:type="pct"/>
            <w:tcBorders>
              <w:top w:val="single" w:color="auto" w:sz="4" w:space="0"/>
              <w:left w:val="single" w:color="auto" w:sz="4" w:space="0"/>
              <w:bottom w:val="single" w:color="auto" w:sz="4" w:space="0"/>
              <w:right w:val="single" w:color="auto" w:sz="12" w:space="0"/>
            </w:tcBorders>
            <w:noWrap w:val="0"/>
            <w:vAlign w:val="center"/>
          </w:tcPr>
          <w:p w14:paraId="266B5F91">
            <w:pPr>
              <w:snapToGrid w:val="0"/>
              <w:spacing w:line="400" w:lineRule="exact"/>
              <w:jc w:val="center"/>
              <w:rPr>
                <w:rFonts w:hint="eastAsia" w:ascii="微软雅黑" w:hAnsi="微软雅黑" w:eastAsia="微软雅黑" w:cs="微软雅黑"/>
                <w:color w:val="000000"/>
                <w:sz w:val="28"/>
                <w:szCs w:val="28"/>
              </w:rPr>
            </w:pPr>
          </w:p>
        </w:tc>
      </w:tr>
      <w:tr w14:paraId="2FCB7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5000" w:type="pct"/>
            <w:gridSpan w:val="4"/>
            <w:tcBorders>
              <w:top w:val="single" w:color="auto" w:sz="4" w:space="0"/>
              <w:left w:val="single" w:color="auto" w:sz="12" w:space="0"/>
              <w:bottom w:val="single" w:color="auto" w:sz="12" w:space="0"/>
              <w:right w:val="single" w:color="auto" w:sz="12" w:space="0"/>
            </w:tcBorders>
            <w:noWrap w:val="0"/>
            <w:vAlign w:val="center"/>
          </w:tcPr>
          <w:p w14:paraId="4F81C0FC">
            <w:pPr>
              <w:snapToGrid w:val="0"/>
              <w:jc w:val="left"/>
              <w:rPr>
                <w:rFonts w:hint="eastAsia" w:ascii="宋体" w:hAnsi="宋体" w:eastAsia="宋体" w:cs="宋体"/>
                <w:b/>
                <w:bCs/>
                <w:color w:val="000000"/>
                <w:sz w:val="28"/>
                <w:szCs w:val="28"/>
              </w:rPr>
            </w:pPr>
            <w:r>
              <w:rPr>
                <w:rFonts w:hint="eastAsia" w:ascii="宋体" w:hAnsi="宋体" w:eastAsia="宋体" w:cs="宋体"/>
                <w:b/>
                <w:bCs/>
                <w:color w:val="000000"/>
                <w:sz w:val="28"/>
                <w:szCs w:val="28"/>
              </w:rPr>
              <w:t>目的及意义（含国内外的研究现状分析）：</w:t>
            </w:r>
          </w:p>
          <w:p w14:paraId="508958FB">
            <w:pPr>
              <w:snapToGrid w:val="0"/>
              <w:rPr>
                <w:rFonts w:hint="eastAsia" w:ascii="宋体" w:hAnsi="宋体" w:eastAsia="宋体" w:cs="宋体"/>
                <w:sz w:val="28"/>
                <w:szCs w:val="28"/>
              </w:rPr>
            </w:pPr>
            <w:r>
              <w:rPr>
                <w:rFonts w:hint="eastAsia" w:ascii="宋体" w:hAnsi="宋体" w:eastAsia="宋体" w:cs="宋体"/>
                <w:sz w:val="28"/>
                <w:szCs w:val="28"/>
              </w:rPr>
              <w:t>一．研究背景</w:t>
            </w:r>
            <w:r>
              <w:rPr>
                <w:rFonts w:hint="eastAsia" w:ascii="宋体" w:hAnsi="宋体" w:cs="宋体"/>
                <w:sz w:val="28"/>
                <w:szCs w:val="28"/>
                <w:lang w:eastAsia="zh-CN"/>
              </w:rPr>
              <w:t>：</w:t>
            </w:r>
            <w:r>
              <w:rPr>
                <w:rFonts w:hint="eastAsia" w:ascii="宋体" w:hAnsi="宋体" w:eastAsia="宋体" w:cs="宋体"/>
                <w:b/>
                <w:bCs/>
                <w:sz w:val="28"/>
                <w:szCs w:val="28"/>
              </w:rPr>
              <w:t xml:space="preserve">                                          </w:t>
            </w:r>
          </w:p>
          <w:p w14:paraId="61193752">
            <w:pPr>
              <w:snapToGrid w:val="0"/>
              <w:spacing w:line="360" w:lineRule="auto"/>
              <w:rPr>
                <w:rFonts w:hint="eastAsia" w:ascii="宋体" w:hAnsi="宋体" w:eastAsia="宋体" w:cs="宋体"/>
                <w:sz w:val="28"/>
                <w:szCs w:val="28"/>
              </w:rPr>
            </w:pPr>
            <w:r>
              <w:rPr>
                <w:rFonts w:hint="eastAsia" w:ascii="宋体" w:hAnsi="宋体" w:cs="宋体"/>
                <w:sz w:val="28"/>
                <w:szCs w:val="28"/>
                <w:lang w:eastAsia="zh-CN"/>
              </w:rPr>
              <w:t>（1）</w:t>
            </w:r>
            <w:r>
              <w:rPr>
                <w:rFonts w:hint="eastAsia" w:ascii="宋体" w:hAnsi="宋体" w:eastAsia="宋体" w:cs="宋体"/>
                <w:sz w:val="28"/>
                <w:szCs w:val="28"/>
              </w:rPr>
              <w:t>研究目的</w:t>
            </w:r>
          </w:p>
          <w:p w14:paraId="172CAA84">
            <w:pPr>
              <w:snapToGrid w:val="0"/>
              <w:spacing w:line="360" w:lineRule="auto"/>
              <w:rPr>
                <w:rFonts w:hint="default" w:ascii="宋体" w:hAnsi="宋体" w:eastAsia="宋体" w:cs="宋体"/>
                <w:sz w:val="28"/>
                <w:szCs w:val="28"/>
                <w:lang w:val="en-US" w:eastAsia="zh-CN"/>
              </w:rPr>
            </w:pPr>
            <w:r>
              <w:rPr>
                <w:rFonts w:hint="eastAsia" w:ascii="宋体" w:hAnsi="宋体" w:eastAsia="宋体" w:cs="宋体"/>
                <w:sz w:val="28"/>
                <w:szCs w:val="28"/>
              </w:rPr>
              <w:t xml:space="preserve">   随着我国经济社会的快速发展和城镇化进程的不断推进，居民生活水平显著提高，家庭结构日趋小型化、核心化。同时，双职工家庭成为主流，工作节奏加快，使得家庭事务处理时间被严重压缩。在这一社会背景下，专业化的家政服务需求呈现出爆发式增长态势，涵盖日常保洁、家电清洗、母婴护理、老人照护等多个领域。</w:t>
            </w:r>
            <w:r>
              <w:rPr>
                <w:rFonts w:hint="eastAsia" w:ascii="宋体" w:hAnsi="宋体" w:cs="宋体"/>
                <w:sz w:val="28"/>
                <w:szCs w:val="28"/>
                <w:lang w:val="en-US" w:eastAsia="zh-CN"/>
              </w:rPr>
              <w:t>以“互联网+”为代表的技术革命，为传统行业的转型提供了全新路径。《</w:t>
            </w:r>
            <w:r>
              <w:rPr>
                <w:rFonts w:hint="default" w:ascii="宋体" w:hAnsi="宋体" w:cs="宋体"/>
                <w:sz w:val="28"/>
                <w:szCs w:val="28"/>
                <w:lang w:val="en-US" w:eastAsia="zh-CN"/>
              </w:rPr>
              <w:t>“</w:t>
            </w:r>
            <w:r>
              <w:rPr>
                <w:rFonts w:hint="eastAsia" w:ascii="宋体" w:hAnsi="宋体" w:cs="宋体"/>
                <w:sz w:val="28"/>
                <w:szCs w:val="28"/>
                <w:lang w:val="en-US" w:eastAsia="zh-CN"/>
              </w:rPr>
              <w:t>十四五</w:t>
            </w:r>
            <w:r>
              <w:rPr>
                <w:rFonts w:hint="default" w:ascii="宋体" w:hAnsi="宋体" w:cs="宋体"/>
                <w:sz w:val="28"/>
                <w:szCs w:val="28"/>
                <w:lang w:val="en-US" w:eastAsia="zh-CN"/>
              </w:rPr>
              <w:t>”</w:t>
            </w:r>
            <w:r>
              <w:rPr>
                <w:rFonts w:hint="eastAsia" w:ascii="宋体" w:hAnsi="宋体" w:cs="宋体"/>
                <w:sz w:val="28"/>
                <w:szCs w:val="28"/>
                <w:lang w:val="en-US" w:eastAsia="zh-CN"/>
              </w:rPr>
              <w:t>数字经济发展规划》明确提出，要推动生活性服务业数字化转型，促进共享经济、平台经济规范健康发展。O2O商业模式通过线上精准匹配与线下服务交付相结合，已在多个领域取得巨大成功。如若将这一新业态模式引入家政服务领域，构建一个高效、透明、可信的数字化供需对接平台，既是行业发展的内在需求，也是国家数字经济的战略导向。</w:t>
            </w:r>
          </w:p>
          <w:p w14:paraId="24D8FC29">
            <w:pPr>
              <w:snapToGrid w:val="0"/>
              <w:spacing w:line="360" w:lineRule="auto"/>
              <w:rPr>
                <w:rFonts w:hint="eastAsia" w:ascii="宋体" w:hAnsi="宋体" w:eastAsia="宋体" w:cs="宋体"/>
                <w:sz w:val="28"/>
                <w:szCs w:val="28"/>
              </w:rPr>
            </w:pPr>
            <w:r>
              <w:rPr>
                <w:rFonts w:hint="eastAsia" w:ascii="宋体" w:hAnsi="宋体" w:eastAsia="宋体" w:cs="宋体"/>
                <w:sz w:val="28"/>
                <w:szCs w:val="28"/>
              </w:rPr>
              <w:t>（2）研究意义</w:t>
            </w:r>
            <w:bookmarkStart w:id="1" w:name="_GoBack"/>
            <w:bookmarkEnd w:id="1"/>
          </w:p>
          <w:p w14:paraId="7D6898B2">
            <w:pPr>
              <w:snapToGrid w:val="0"/>
              <w:spacing w:line="360" w:lineRule="auto"/>
              <w:rPr>
                <w:rFonts w:hint="default" w:ascii="宋体" w:hAnsi="宋体" w:eastAsia="宋体" w:cs="宋体"/>
                <w:sz w:val="28"/>
                <w:szCs w:val="28"/>
                <w:lang w:val="en-US" w:eastAsia="zh-CN"/>
              </w:rPr>
            </w:pPr>
            <w:r>
              <w:rPr>
                <w:rFonts w:hint="eastAsia" w:ascii="宋体" w:hAnsi="宋体" w:eastAsia="宋体" w:cs="宋体"/>
                <w:sz w:val="28"/>
                <w:szCs w:val="28"/>
              </w:rPr>
              <w:t>①</w:t>
            </w:r>
            <w:r>
              <w:rPr>
                <w:rFonts w:hint="eastAsia" w:ascii="宋体" w:hAnsi="宋体" w:cs="宋体"/>
                <w:sz w:val="28"/>
                <w:szCs w:val="28"/>
                <w:lang w:val="en-US" w:eastAsia="zh-CN"/>
              </w:rPr>
              <w:t>实践意义</w:t>
            </w:r>
          </w:p>
          <w:p w14:paraId="00290DEB">
            <w:pPr>
              <w:numPr>
                <w:ilvl w:val="0"/>
                <w:numId w:val="1"/>
              </w:numPr>
              <w:snapToGrid w:val="0"/>
              <w:spacing w:line="360" w:lineRule="auto"/>
              <w:ind w:left="560" w:leftChars="0" w:firstLine="0" w:firstLineChars="0"/>
              <w:rPr>
                <w:rFonts w:hint="eastAsia" w:ascii="宋体" w:hAnsi="宋体" w:cs="宋体"/>
                <w:sz w:val="28"/>
                <w:szCs w:val="28"/>
                <w:lang w:val="en-US" w:eastAsia="zh-CN"/>
              </w:rPr>
            </w:pPr>
            <w:r>
              <w:rPr>
                <w:rFonts w:hint="eastAsia" w:ascii="宋体" w:hAnsi="宋体" w:cs="宋体"/>
                <w:sz w:val="28"/>
                <w:szCs w:val="28"/>
                <w:lang w:val="en-US" w:eastAsia="zh-CN"/>
              </w:rPr>
              <w:t>对于客户端，平台提供了便捷的一站式预约服务。相较于传统的中介式服务，平台通过透明的价格体系、真实的评价反馈、规范的服务流程，能够显著降低客户的沉没成本，实际提升服务体验与信任度。</w:t>
            </w:r>
          </w:p>
          <w:p w14:paraId="67120A64">
            <w:pPr>
              <w:numPr>
                <w:ilvl w:val="0"/>
                <w:numId w:val="1"/>
              </w:numPr>
              <w:snapToGrid w:val="0"/>
              <w:spacing w:line="360" w:lineRule="auto"/>
              <w:ind w:left="560" w:leftChars="0" w:firstLine="0" w:firstLineChars="0"/>
              <w:rPr>
                <w:rFonts w:hint="default" w:ascii="宋体" w:hAnsi="宋体" w:cs="宋体"/>
                <w:sz w:val="28"/>
                <w:szCs w:val="28"/>
                <w:lang w:val="en-US" w:eastAsia="zh-CN"/>
              </w:rPr>
            </w:pPr>
            <w:r>
              <w:rPr>
                <w:rFonts w:hint="eastAsia" w:ascii="宋体" w:hAnsi="宋体" w:cs="宋体"/>
                <w:sz w:val="28"/>
                <w:szCs w:val="28"/>
                <w:lang w:val="en-US" w:eastAsia="zh-CN"/>
              </w:rPr>
              <w:t>对于家政服务人员，平台可成为其稳定、精准的线上获客渠道和职业发展平台。通过可视化的订单管理、收入结算和技能展示，有助于提升其职业认同感、收入稳定性，并通过信誉累积实现职业价值的良性增长。</w:t>
            </w:r>
          </w:p>
          <w:p w14:paraId="3A721895">
            <w:pPr>
              <w:numPr>
                <w:ilvl w:val="0"/>
                <w:numId w:val="1"/>
              </w:numPr>
              <w:snapToGrid w:val="0"/>
              <w:spacing w:line="360" w:lineRule="auto"/>
              <w:ind w:left="560" w:leftChars="0" w:firstLine="0" w:firstLineChars="0"/>
              <w:rPr>
                <w:rFonts w:hint="default" w:ascii="宋体" w:hAnsi="宋体" w:cs="宋体"/>
                <w:sz w:val="28"/>
                <w:szCs w:val="28"/>
                <w:lang w:val="en-US" w:eastAsia="zh-CN"/>
              </w:rPr>
            </w:pPr>
            <w:r>
              <w:rPr>
                <w:rFonts w:hint="eastAsia" w:ascii="宋体" w:hAnsi="宋体" w:cs="宋体"/>
                <w:sz w:val="28"/>
                <w:szCs w:val="28"/>
                <w:lang w:val="en-US" w:eastAsia="zh-CN"/>
              </w:rPr>
              <w:t>对于家政行业，平台的规范化、标准化管理运作有助于推动行业从分散、无序走向集中有序，促进服务标准化和人员专业化，提升整个行业的服务品质与社会形象。</w:t>
            </w:r>
          </w:p>
          <w:p w14:paraId="0D566CF7">
            <w:pPr>
              <w:numPr>
                <w:ilvl w:val="0"/>
                <w:numId w:val="1"/>
              </w:numPr>
              <w:snapToGrid w:val="0"/>
              <w:spacing w:line="360" w:lineRule="auto"/>
              <w:ind w:left="560" w:leftChars="0" w:firstLine="0" w:firstLineChars="0"/>
              <w:rPr>
                <w:rFonts w:hint="default" w:ascii="宋体" w:hAnsi="宋体" w:cs="宋体"/>
                <w:sz w:val="28"/>
                <w:szCs w:val="28"/>
                <w:lang w:val="en-US" w:eastAsia="zh-CN"/>
              </w:rPr>
            </w:pPr>
            <w:r>
              <w:rPr>
                <w:rFonts w:hint="eastAsia" w:ascii="宋体" w:hAnsi="宋体" w:cs="宋体"/>
                <w:sz w:val="28"/>
                <w:szCs w:val="28"/>
                <w:lang w:val="en-US" w:eastAsia="zh-CN"/>
              </w:rPr>
              <w:t>对于开发者与研究者，本项目提供了一个完整的前后端分离、多角色协同的互联网平台开发范本。其中涉及的技术选型、架构设计、难点解决方案等，对从事相关领域开发的技术人员具有直接的参考价值。</w:t>
            </w:r>
          </w:p>
          <w:p w14:paraId="654F5D21">
            <w:pPr>
              <w:snapToGrid w:val="0"/>
              <w:spacing w:line="360" w:lineRule="auto"/>
              <w:rPr>
                <w:rFonts w:hint="eastAsia" w:ascii="宋体" w:hAnsi="宋体" w:eastAsia="宋体" w:cs="宋体"/>
                <w:sz w:val="28"/>
                <w:szCs w:val="28"/>
              </w:rPr>
            </w:pPr>
            <w:r>
              <w:rPr>
                <w:rFonts w:hint="eastAsia" w:ascii="宋体" w:hAnsi="宋体" w:eastAsia="宋体" w:cs="宋体"/>
                <w:sz w:val="28"/>
                <w:szCs w:val="28"/>
              </w:rPr>
              <w:t>②理论意义</w:t>
            </w:r>
          </w:p>
          <w:p w14:paraId="38A14DE5">
            <w:pPr>
              <w:numPr>
                <w:ilvl w:val="0"/>
                <w:numId w:val="2"/>
              </w:numPr>
              <w:snapToGrid w:val="0"/>
              <w:spacing w:line="360" w:lineRule="auto"/>
              <w:ind w:firstLine="480"/>
              <w:rPr>
                <w:rFonts w:hint="eastAsia" w:ascii="宋体" w:hAnsi="宋体" w:cs="宋体"/>
                <w:sz w:val="28"/>
                <w:szCs w:val="28"/>
                <w:lang w:val="en-US" w:eastAsia="zh-CN"/>
              </w:rPr>
            </w:pPr>
            <w:r>
              <w:rPr>
                <w:rFonts w:hint="eastAsia" w:ascii="宋体" w:hAnsi="宋体" w:cs="宋体"/>
                <w:sz w:val="28"/>
                <w:szCs w:val="28"/>
                <w:lang w:val="en-US" w:eastAsia="zh-CN"/>
              </w:rPr>
              <w:t>本研究是对O2O电子商务理论与本地生活服务领域相结合的一次具体实践与探索。通过设计并实现一个完整的家政服务O2O平台，可以深入理解平台经济在家政这一非标准化服务领域中的运作机制、信任构建方法以及双边网络效应的激发策略，为相关理论提供案例。</w:t>
            </w:r>
          </w:p>
          <w:p w14:paraId="41096A35">
            <w:pPr>
              <w:numPr>
                <w:ilvl w:val="0"/>
                <w:numId w:val="2"/>
              </w:numPr>
              <w:snapToGrid w:val="0"/>
              <w:spacing w:line="360" w:lineRule="auto"/>
              <w:ind w:firstLine="480"/>
              <w:rPr>
                <w:rFonts w:hint="default" w:ascii="宋体" w:hAnsi="宋体" w:cs="宋体"/>
                <w:sz w:val="28"/>
                <w:szCs w:val="28"/>
                <w:lang w:val="en-US" w:eastAsia="zh-CN"/>
              </w:rPr>
            </w:pPr>
            <w:r>
              <w:rPr>
                <w:rFonts w:hint="eastAsia" w:ascii="宋体" w:hAnsi="宋体" w:cs="宋体"/>
                <w:sz w:val="28"/>
                <w:szCs w:val="28"/>
                <w:lang w:val="en-US" w:eastAsia="zh-CN"/>
              </w:rPr>
              <w:t>本研究涉及较为复杂的业务逻辑与实现，如基于时间与空间约束的服务资源调度、多角色协同的订单状态流转、基于双向评价的信誉体系构建等。对这些核心业务问题的解决方案进行归纳和抽象，可为同类型服务交易系统的设计与开发提供可参考的模型与方案。</w:t>
            </w:r>
          </w:p>
          <w:p w14:paraId="531DCA54">
            <w:pPr>
              <w:snapToGrid w:val="0"/>
              <w:jc w:val="left"/>
              <w:rPr>
                <w:rFonts w:hint="eastAsia" w:ascii="宋体" w:hAnsi="宋体" w:eastAsia="宋体" w:cs="宋体"/>
                <w:b/>
                <w:bCs/>
                <w:color w:val="000000"/>
                <w:sz w:val="28"/>
                <w:szCs w:val="28"/>
              </w:rPr>
            </w:pPr>
            <w:r>
              <w:rPr>
                <w:rFonts w:hint="eastAsia" w:ascii="宋体" w:hAnsi="宋体" w:eastAsia="宋体" w:cs="宋体"/>
                <w:b/>
                <w:bCs/>
                <w:color w:val="000000"/>
                <w:sz w:val="28"/>
                <w:szCs w:val="28"/>
              </w:rPr>
              <w:t>基本内容和技术方案：</w:t>
            </w:r>
          </w:p>
          <w:p w14:paraId="49E10EAB">
            <w:pPr>
              <w:snapToGrid w:val="0"/>
              <w:rPr>
                <w:rFonts w:hint="default" w:ascii="宋体" w:hAnsi="宋体" w:eastAsia="宋体" w:cs="宋体"/>
                <w:color w:val="000000"/>
                <w:sz w:val="28"/>
                <w:szCs w:val="28"/>
                <w:lang w:val="en-US" w:eastAsia="zh-CN"/>
              </w:rPr>
            </w:pPr>
            <w:r>
              <w:rPr>
                <w:rFonts w:hint="eastAsia" w:ascii="宋体" w:hAnsi="宋体" w:cs="宋体"/>
                <w:color w:val="000000"/>
                <w:sz w:val="28"/>
                <w:szCs w:val="28"/>
                <w:lang w:val="en-US" w:eastAsia="zh-CN"/>
              </w:rPr>
              <w:t>国内家政O2O平台发展现状</w:t>
            </w:r>
          </w:p>
          <w:p w14:paraId="6DF75938">
            <w:pPr>
              <w:snapToGrid w:val="0"/>
              <w:ind w:firstLine="560"/>
              <w:rPr>
                <w:rFonts w:hint="eastAsia" w:ascii="宋体" w:hAnsi="宋体" w:cs="宋体"/>
                <w:color w:val="000000"/>
                <w:sz w:val="28"/>
                <w:szCs w:val="28"/>
                <w:lang w:val="en-US" w:eastAsia="zh-CN"/>
              </w:rPr>
            </w:pPr>
            <w:r>
              <w:rPr>
                <w:rFonts w:hint="eastAsia" w:ascii="宋体" w:hAnsi="宋体" w:cs="宋体"/>
                <w:color w:val="000000"/>
                <w:sz w:val="28"/>
                <w:szCs w:val="28"/>
                <w:lang w:val="en-US" w:eastAsia="zh-CN"/>
              </w:rPr>
              <w:t>垂直自营模式，以“天鹅到家”（原58到家）为代表。该模式的特点是平台直接招募、培训、管理服务人员，强调服务的标准化和品控。优势在于服务流程统一，质量相对可控；劣势在于人力成本高，运营模式重，扩张受限。</w:t>
            </w:r>
          </w:p>
          <w:p w14:paraId="4CB7341E">
            <w:pPr>
              <w:snapToGrid w:val="0"/>
              <w:ind w:firstLine="560"/>
              <w:rPr>
                <w:rFonts w:hint="eastAsia" w:ascii="宋体" w:hAnsi="宋体" w:cs="宋体"/>
                <w:color w:val="000000"/>
                <w:sz w:val="28"/>
                <w:szCs w:val="28"/>
                <w:lang w:val="en-US" w:eastAsia="zh-CN"/>
              </w:rPr>
            </w:pPr>
            <w:r>
              <w:rPr>
                <w:rFonts w:hint="eastAsia" w:ascii="宋体" w:hAnsi="宋体" w:cs="宋体"/>
                <w:color w:val="000000"/>
                <w:sz w:val="28"/>
                <w:szCs w:val="28"/>
                <w:lang w:val="en-US" w:eastAsia="zh-CN"/>
              </w:rPr>
              <w:t>平台撮合模式，以“到位”“河狸家”为代表。平台做中介，连接消费者与入驻的家政公司或个人，自身不直接雇用服务人员。此模式轻资产、易扩张，能够快速汇聚海量服务供给。但其核心挑战在于对服务质量的把控能力较弱，容易存在虚假信息、服务质量参差不齐等问题。</w:t>
            </w:r>
          </w:p>
          <w:p w14:paraId="4BF279EA">
            <w:pPr>
              <w:snapToGrid w:val="0"/>
              <w:ind w:firstLine="560"/>
              <w:rPr>
                <w:rFonts w:hint="eastAsia" w:ascii="宋体" w:hAnsi="宋体" w:cs="宋体"/>
                <w:color w:val="000000"/>
                <w:sz w:val="28"/>
                <w:szCs w:val="28"/>
                <w:lang w:val="en-US" w:eastAsia="zh-CN"/>
              </w:rPr>
            </w:pPr>
            <w:r>
              <w:rPr>
                <w:rFonts w:hint="eastAsia" w:ascii="宋体" w:hAnsi="宋体" w:cs="宋体"/>
                <w:color w:val="000000"/>
                <w:sz w:val="28"/>
                <w:szCs w:val="28"/>
                <w:lang w:val="en-US" w:eastAsia="zh-CN"/>
              </w:rPr>
              <w:t>细分领域深耕模式，如专注母婴护理的“好孕妈妈”、专注于家电清洗的“海尔服务”等。这类平台在特定细分领域建立专业壁垒，通过深度服务获取用户信任。其服务专业度高，但市场容量相对有限。</w:t>
            </w:r>
          </w:p>
          <w:p w14:paraId="09DF8A11">
            <w:pPr>
              <w:snapToGrid w:val="0"/>
              <w:ind w:firstLine="560"/>
              <w:rPr>
                <w:rFonts w:hint="eastAsia" w:ascii="宋体" w:hAnsi="宋体" w:cs="宋体"/>
                <w:color w:val="000000"/>
                <w:sz w:val="28"/>
                <w:szCs w:val="28"/>
                <w:lang w:val="en-US" w:eastAsia="zh-CN"/>
              </w:rPr>
            </w:pPr>
          </w:p>
          <w:p w14:paraId="6B3098C4">
            <w:pPr>
              <w:snapToGrid w:val="0"/>
              <w:rPr>
                <w:rFonts w:hint="eastAsia" w:ascii="宋体" w:hAnsi="宋体" w:cs="宋体"/>
                <w:color w:val="000000"/>
                <w:sz w:val="28"/>
                <w:szCs w:val="28"/>
                <w:lang w:val="en-US" w:eastAsia="zh-CN"/>
              </w:rPr>
            </w:pPr>
            <w:r>
              <w:rPr>
                <w:rFonts w:hint="eastAsia" w:ascii="宋体" w:hAnsi="宋体" w:cs="宋体"/>
                <w:color w:val="000000"/>
                <w:sz w:val="28"/>
                <w:szCs w:val="28"/>
                <w:lang w:val="en-US" w:eastAsia="zh-CN"/>
              </w:rPr>
              <w:t>国外家政服务平台模式分析</w:t>
            </w:r>
          </w:p>
          <w:p w14:paraId="3916386E">
            <w:pPr>
              <w:snapToGrid w:val="0"/>
              <w:ind w:firstLine="588" w:firstLineChars="0"/>
              <w:rPr>
                <w:rFonts w:hint="eastAsia" w:ascii="宋体" w:hAnsi="宋体" w:cs="宋体"/>
                <w:color w:val="000000"/>
                <w:sz w:val="28"/>
                <w:szCs w:val="28"/>
                <w:lang w:val="en-US" w:eastAsia="zh-CN"/>
              </w:rPr>
            </w:pPr>
            <w:r>
              <w:rPr>
                <w:rFonts w:hint="eastAsia" w:ascii="宋体" w:hAnsi="宋体" w:cs="宋体"/>
                <w:color w:val="000000"/>
                <w:sz w:val="28"/>
                <w:szCs w:val="28"/>
                <w:lang w:val="en-US" w:eastAsia="zh-CN"/>
              </w:rPr>
              <w:t>美国的TaskRabbit是“跑腿杂事”共享经济的鼻祖，它将各类小型家庭服务（包括家政）平台化，采用“任务发布——服务者竞价or接单的”模式。特点是任务极度碎片化、个性化，平台通过背景审核和评价系统建立彼此信任。</w:t>
            </w:r>
          </w:p>
          <w:p w14:paraId="323A3E61">
            <w:pPr>
              <w:snapToGrid w:val="0"/>
              <w:ind w:firstLine="588" w:firstLineChars="0"/>
              <w:rPr>
                <w:rFonts w:hint="eastAsia" w:ascii="宋体" w:hAnsi="宋体" w:cs="宋体"/>
                <w:color w:val="000000"/>
                <w:sz w:val="28"/>
                <w:szCs w:val="28"/>
                <w:lang w:val="en-US" w:eastAsia="zh-CN"/>
              </w:rPr>
            </w:pPr>
            <w:r>
              <w:rPr>
                <w:rFonts w:hint="eastAsia" w:ascii="宋体" w:hAnsi="宋体" w:cs="宋体"/>
                <w:color w:val="000000"/>
                <w:sz w:val="28"/>
                <w:szCs w:val="28"/>
                <w:lang w:val="en-US" w:eastAsia="zh-CN"/>
              </w:rPr>
              <w:t>欧洲的Helpling采用典型的平台模式，业务覆盖面广，其核心子啊与强大的后台算法，能够根据客户需求、服务者评分、地理位置空闲时间等多维度数据实现智能化匹配，降低了用户筛选的沉没成本。</w:t>
            </w:r>
          </w:p>
          <w:p w14:paraId="3BF51355">
            <w:pPr>
              <w:snapToGrid w:val="0"/>
              <w:ind w:firstLine="588" w:firstLineChars="0"/>
              <w:rPr>
                <w:rFonts w:hint="eastAsia" w:ascii="宋体" w:hAnsi="宋体" w:cs="宋体"/>
                <w:color w:val="000000"/>
                <w:sz w:val="28"/>
                <w:szCs w:val="28"/>
                <w:lang w:val="en-US" w:eastAsia="zh-CN"/>
              </w:rPr>
            </w:pPr>
          </w:p>
          <w:p w14:paraId="424AF220">
            <w:pPr>
              <w:snapToGrid w:val="0"/>
              <w:rPr>
                <w:rFonts w:hint="eastAsia" w:ascii="宋体" w:hAnsi="宋体" w:cs="宋体"/>
                <w:color w:val="000000"/>
                <w:sz w:val="28"/>
                <w:szCs w:val="28"/>
                <w:lang w:val="en-US" w:eastAsia="zh-CN"/>
              </w:rPr>
            </w:pPr>
            <w:r>
              <w:rPr>
                <w:rFonts w:hint="eastAsia" w:ascii="宋体" w:hAnsi="宋体" w:cs="宋体"/>
                <w:color w:val="000000"/>
                <w:sz w:val="28"/>
                <w:szCs w:val="28"/>
                <w:lang w:val="en-US" w:eastAsia="zh-CN"/>
              </w:rPr>
              <w:t>技术栈与开发框架：</w:t>
            </w:r>
          </w:p>
          <w:p w14:paraId="7E3F1D97">
            <w:pPr>
              <w:snapToGrid w:val="0"/>
              <w:rPr>
                <w:rFonts w:hint="eastAsia" w:ascii="宋体" w:hAnsi="宋体" w:cs="宋体"/>
                <w:color w:val="000000"/>
                <w:sz w:val="28"/>
                <w:szCs w:val="28"/>
                <w:lang w:val="en-US" w:eastAsia="zh-CN"/>
              </w:rPr>
            </w:pPr>
          </w:p>
          <w:p w14:paraId="230AEAC4">
            <w:pPr>
              <w:tabs>
                <w:tab w:val="left" w:pos="639"/>
              </w:tabs>
              <w:snapToGrid w:val="0"/>
              <w:rPr>
                <w:rFonts w:hint="eastAsia" w:ascii="宋体" w:hAnsi="宋体" w:cs="宋体"/>
                <w:color w:val="000000"/>
                <w:sz w:val="28"/>
                <w:szCs w:val="28"/>
                <w:lang w:val="en-US" w:eastAsia="zh-CN"/>
              </w:rPr>
            </w:pPr>
            <w:r>
              <w:rPr>
                <w:rFonts w:hint="eastAsia" w:ascii="宋体" w:hAnsi="宋体" w:cs="宋体"/>
                <w:color w:val="000000"/>
                <w:sz w:val="28"/>
                <w:szCs w:val="28"/>
                <w:lang w:val="en-US" w:eastAsia="zh-CN"/>
              </w:rPr>
              <w:t>后端技术栈 (Backend)</w:t>
            </w:r>
          </w:p>
          <w:p w14:paraId="087D8DBF">
            <w:pPr>
              <w:tabs>
                <w:tab w:val="left" w:pos="639"/>
              </w:tabs>
              <w:snapToGrid w:val="0"/>
              <w:rPr>
                <w:rFonts w:hint="eastAsia" w:ascii="宋体" w:hAnsi="宋体" w:cs="宋体"/>
                <w:color w:val="000000"/>
                <w:sz w:val="28"/>
                <w:szCs w:val="28"/>
                <w:lang w:val="en-US" w:eastAsia="zh-CN"/>
              </w:rPr>
            </w:pPr>
            <w:r>
              <w:rPr>
                <w:rFonts w:hint="eastAsia" w:ascii="宋体" w:hAnsi="宋体" w:cs="宋体"/>
                <w:color w:val="000000"/>
                <w:sz w:val="28"/>
                <w:szCs w:val="28"/>
                <w:lang w:val="en-US" w:eastAsia="zh-CN"/>
              </w:rPr>
              <w:t>核心框架：Spring Boot 2.x</w:t>
            </w:r>
          </w:p>
          <w:p w14:paraId="0A9CAD26">
            <w:pPr>
              <w:tabs>
                <w:tab w:val="left" w:pos="639"/>
              </w:tabs>
              <w:snapToGrid w:val="0"/>
              <w:rPr>
                <w:rFonts w:hint="eastAsia" w:ascii="宋体" w:hAnsi="宋体" w:cs="宋体"/>
                <w:b/>
                <w:bCs/>
                <w:color w:val="000000"/>
                <w:sz w:val="28"/>
                <w:szCs w:val="28"/>
                <w:lang w:val="en-US" w:eastAsia="zh-CN"/>
              </w:rPr>
            </w:pPr>
            <w:r>
              <w:rPr>
                <w:rFonts w:hint="eastAsia" w:ascii="宋体" w:hAnsi="宋体" w:cs="宋体"/>
                <w:b/>
                <w:bCs/>
                <w:color w:val="000000"/>
                <w:sz w:val="28"/>
                <w:szCs w:val="28"/>
                <w:lang w:val="en-US" w:eastAsia="zh-CN"/>
              </w:rPr>
              <w:t>选型理由：</w:t>
            </w:r>
          </w:p>
          <w:p w14:paraId="7CA610C2">
            <w:pPr>
              <w:tabs>
                <w:tab w:val="left" w:pos="639"/>
              </w:tabs>
              <w:snapToGrid w:val="0"/>
              <w:rPr>
                <w:rFonts w:hint="eastAsia" w:ascii="宋体" w:hAnsi="宋体" w:cs="宋体"/>
                <w:color w:val="000000"/>
                <w:sz w:val="28"/>
                <w:szCs w:val="28"/>
                <w:lang w:val="en-US" w:eastAsia="zh-CN"/>
              </w:rPr>
            </w:pPr>
            <w:r>
              <w:rPr>
                <w:rFonts w:hint="eastAsia" w:ascii="宋体" w:hAnsi="宋体" w:cs="宋体"/>
                <w:b/>
                <w:bCs/>
                <w:color w:val="000000"/>
                <w:sz w:val="28"/>
                <w:szCs w:val="28"/>
                <w:lang w:val="en-US" w:eastAsia="zh-CN"/>
              </w:rPr>
              <w:t>约定优于配置：</w:t>
            </w:r>
            <w:r>
              <w:rPr>
                <w:rFonts w:hint="eastAsia" w:ascii="宋体" w:hAnsi="宋体" w:cs="宋体"/>
                <w:color w:val="000000"/>
                <w:sz w:val="28"/>
                <w:szCs w:val="28"/>
                <w:lang w:val="en-US" w:eastAsia="zh-CN"/>
              </w:rPr>
              <w:t xml:space="preserve"> 极大简化了Spring传统烦琐的XML配置，能快速搭建可独立运行的、生产级的应用。让你专注于业务逻辑，而非环境搭建。</w:t>
            </w:r>
          </w:p>
          <w:p w14:paraId="2F9AD539">
            <w:pPr>
              <w:tabs>
                <w:tab w:val="left" w:pos="639"/>
              </w:tabs>
              <w:snapToGrid w:val="0"/>
              <w:rPr>
                <w:rFonts w:hint="eastAsia" w:ascii="宋体" w:hAnsi="宋体" w:cs="宋体"/>
                <w:color w:val="000000"/>
                <w:sz w:val="28"/>
                <w:szCs w:val="28"/>
                <w:lang w:val="en-US" w:eastAsia="zh-CN"/>
              </w:rPr>
            </w:pPr>
            <w:r>
              <w:rPr>
                <w:rFonts w:hint="eastAsia" w:ascii="宋体" w:hAnsi="宋体" w:cs="宋体"/>
                <w:b/>
                <w:bCs/>
                <w:color w:val="000000"/>
                <w:sz w:val="28"/>
                <w:szCs w:val="28"/>
                <w:lang w:val="en-US" w:eastAsia="zh-CN"/>
              </w:rPr>
              <w:t>生态强大：</w:t>
            </w:r>
            <w:r>
              <w:rPr>
                <w:rFonts w:hint="eastAsia" w:ascii="宋体" w:hAnsi="宋体" w:cs="宋体"/>
                <w:color w:val="000000"/>
                <w:sz w:val="28"/>
                <w:szCs w:val="28"/>
                <w:lang w:val="en-US" w:eastAsia="zh-CN"/>
              </w:rPr>
              <w:t xml:space="preserve"> 拥有Spring全家桶（Security, Data, Cloud等）支持，社区资源（教程、解决方案）极其丰富，遇到问题容易搜索解决。</w:t>
            </w:r>
          </w:p>
          <w:p w14:paraId="3DA36D6C">
            <w:pPr>
              <w:tabs>
                <w:tab w:val="left" w:pos="639"/>
              </w:tabs>
              <w:snapToGrid w:val="0"/>
              <w:rPr>
                <w:rFonts w:hint="eastAsia" w:ascii="宋体" w:hAnsi="宋体" w:cs="宋体"/>
                <w:color w:val="000000"/>
                <w:sz w:val="28"/>
                <w:szCs w:val="28"/>
                <w:lang w:val="en-US" w:eastAsia="zh-CN"/>
              </w:rPr>
            </w:pPr>
            <w:r>
              <w:rPr>
                <w:rFonts w:hint="eastAsia" w:ascii="宋体" w:hAnsi="宋体" w:cs="宋体"/>
                <w:color w:val="000000"/>
                <w:sz w:val="28"/>
                <w:szCs w:val="28"/>
                <w:lang w:val="en-US" w:eastAsia="zh-CN"/>
              </w:rPr>
              <w:t>易于集成： 对MySQL、Redis、消息队列等常用中间件有非常好的“Starter”支持，引入一个依赖即可快速集成。</w:t>
            </w:r>
          </w:p>
          <w:p w14:paraId="3883C4A9">
            <w:pPr>
              <w:tabs>
                <w:tab w:val="left" w:pos="639"/>
              </w:tabs>
              <w:snapToGrid w:val="0"/>
              <w:rPr>
                <w:rFonts w:hint="eastAsia" w:ascii="宋体" w:hAnsi="宋体" w:cs="宋体"/>
                <w:color w:val="000000"/>
                <w:sz w:val="28"/>
                <w:szCs w:val="28"/>
                <w:lang w:val="en-US" w:eastAsia="zh-CN"/>
              </w:rPr>
            </w:pPr>
            <w:r>
              <w:rPr>
                <w:rFonts w:hint="eastAsia" w:ascii="宋体" w:hAnsi="宋体" w:cs="宋体"/>
                <w:b/>
                <w:bCs/>
                <w:color w:val="000000"/>
                <w:sz w:val="28"/>
                <w:szCs w:val="28"/>
                <w:lang w:val="en-US" w:eastAsia="zh-CN"/>
              </w:rPr>
              <w:t xml:space="preserve">RESTful API友好： </w:t>
            </w:r>
            <w:r>
              <w:rPr>
                <w:rFonts w:hint="eastAsia" w:ascii="宋体" w:hAnsi="宋体" w:cs="宋体"/>
                <w:color w:val="000000"/>
                <w:sz w:val="28"/>
                <w:szCs w:val="28"/>
                <w:lang w:val="en-US" w:eastAsia="zh-CN"/>
              </w:rPr>
              <w:t>天生适合构建本项目所需的前后端分离的API接口。</w:t>
            </w:r>
          </w:p>
          <w:p w14:paraId="244945DF">
            <w:pPr>
              <w:tabs>
                <w:tab w:val="left" w:pos="639"/>
              </w:tabs>
              <w:snapToGrid w:val="0"/>
              <w:rPr>
                <w:rFonts w:hint="eastAsia" w:ascii="宋体" w:hAnsi="宋体" w:cs="宋体"/>
                <w:color w:val="000000"/>
                <w:sz w:val="28"/>
                <w:szCs w:val="28"/>
                <w:lang w:val="en-US" w:eastAsia="zh-CN"/>
              </w:rPr>
            </w:pPr>
          </w:p>
          <w:p w14:paraId="432EC97A">
            <w:pPr>
              <w:tabs>
                <w:tab w:val="left" w:pos="639"/>
              </w:tabs>
              <w:snapToGrid w:val="0"/>
              <w:rPr>
                <w:rFonts w:hint="default" w:ascii="宋体" w:hAnsi="宋体" w:cs="宋体"/>
                <w:color w:val="000000"/>
                <w:sz w:val="28"/>
                <w:szCs w:val="28"/>
                <w:lang w:val="en-US" w:eastAsia="zh-CN"/>
              </w:rPr>
            </w:pPr>
            <w:r>
              <w:rPr>
                <w:rFonts w:hint="default" w:ascii="宋体" w:hAnsi="宋体" w:cs="宋体"/>
                <w:color w:val="000000"/>
                <w:sz w:val="28"/>
                <w:szCs w:val="28"/>
                <w:lang w:val="en-US" w:eastAsia="zh-CN"/>
              </w:rPr>
              <w:t>数据访问层：MyBatis-Plus</w:t>
            </w:r>
          </w:p>
          <w:p w14:paraId="46BB1436">
            <w:pPr>
              <w:tabs>
                <w:tab w:val="left" w:pos="639"/>
              </w:tabs>
              <w:snapToGrid w:val="0"/>
              <w:rPr>
                <w:rFonts w:hint="default" w:ascii="宋体" w:hAnsi="宋体" w:cs="宋体"/>
                <w:b/>
                <w:bCs/>
                <w:color w:val="000000"/>
                <w:sz w:val="28"/>
                <w:szCs w:val="28"/>
                <w:lang w:val="en-US" w:eastAsia="zh-CN"/>
              </w:rPr>
            </w:pPr>
            <w:r>
              <w:rPr>
                <w:rFonts w:hint="default" w:ascii="宋体" w:hAnsi="宋体" w:cs="宋体"/>
                <w:b/>
                <w:bCs/>
                <w:color w:val="000000"/>
                <w:sz w:val="28"/>
                <w:szCs w:val="28"/>
                <w:lang w:val="en-US" w:eastAsia="zh-CN"/>
              </w:rPr>
              <w:t>选型理由：</w:t>
            </w:r>
          </w:p>
          <w:p w14:paraId="3D9A5733">
            <w:pPr>
              <w:tabs>
                <w:tab w:val="left" w:pos="639"/>
              </w:tabs>
              <w:snapToGrid w:val="0"/>
              <w:rPr>
                <w:rFonts w:hint="default" w:ascii="宋体" w:hAnsi="宋体" w:cs="宋体"/>
                <w:color w:val="000000"/>
                <w:sz w:val="28"/>
                <w:szCs w:val="28"/>
                <w:lang w:val="en-US" w:eastAsia="zh-CN"/>
              </w:rPr>
            </w:pPr>
            <w:r>
              <w:rPr>
                <w:rFonts w:hint="default" w:ascii="宋体" w:hAnsi="宋体" w:cs="宋体"/>
                <w:b/>
                <w:bCs/>
                <w:color w:val="000000"/>
                <w:sz w:val="28"/>
                <w:szCs w:val="28"/>
                <w:lang w:val="en-US" w:eastAsia="zh-CN"/>
              </w:rPr>
              <w:t>增强的MyBatis：</w:t>
            </w:r>
            <w:r>
              <w:rPr>
                <w:rFonts w:hint="default" w:ascii="宋体" w:hAnsi="宋体" w:cs="宋体"/>
                <w:color w:val="000000"/>
                <w:sz w:val="28"/>
                <w:szCs w:val="28"/>
                <w:lang w:val="en-US" w:eastAsia="zh-CN"/>
              </w:rPr>
              <w:t xml:space="preserve"> 在MyBatis只做SQL映射的基础上，提供了强大的CRUD通用接口、条件构造器、分页插件等。</w:t>
            </w:r>
          </w:p>
          <w:p w14:paraId="3D40BA5F">
            <w:pPr>
              <w:tabs>
                <w:tab w:val="left" w:pos="639"/>
              </w:tabs>
              <w:snapToGrid w:val="0"/>
              <w:rPr>
                <w:rFonts w:hint="default" w:ascii="宋体" w:hAnsi="宋体" w:cs="宋体"/>
                <w:color w:val="000000"/>
                <w:sz w:val="28"/>
                <w:szCs w:val="28"/>
                <w:lang w:val="en-US" w:eastAsia="zh-CN"/>
              </w:rPr>
            </w:pPr>
            <w:r>
              <w:rPr>
                <w:rFonts w:hint="default" w:ascii="宋体" w:hAnsi="宋体" w:cs="宋体"/>
                <w:b/>
                <w:bCs/>
                <w:color w:val="000000"/>
                <w:sz w:val="28"/>
                <w:szCs w:val="28"/>
                <w:lang w:val="en-US" w:eastAsia="zh-CN"/>
              </w:rPr>
              <w:t>减少样板代码：</w:t>
            </w:r>
            <w:r>
              <w:rPr>
                <w:rFonts w:hint="default" w:ascii="宋体" w:hAnsi="宋体" w:cs="宋体"/>
                <w:color w:val="000000"/>
                <w:sz w:val="28"/>
                <w:szCs w:val="28"/>
                <w:lang w:val="en-US" w:eastAsia="zh-CN"/>
              </w:rPr>
              <w:t xml:space="preserve"> 对于单表的增删改查，几乎无需编写XML或注解SQL，通过Service和Mapper接口即可完成，开发效率高。</w:t>
            </w:r>
          </w:p>
          <w:p w14:paraId="0CC162E8">
            <w:pPr>
              <w:tabs>
                <w:tab w:val="left" w:pos="639"/>
              </w:tabs>
              <w:snapToGrid w:val="0"/>
              <w:rPr>
                <w:rFonts w:hint="default" w:ascii="宋体" w:hAnsi="宋体" w:cs="宋体"/>
                <w:color w:val="000000"/>
                <w:sz w:val="28"/>
                <w:szCs w:val="28"/>
                <w:lang w:val="en-US" w:eastAsia="zh-CN"/>
              </w:rPr>
            </w:pPr>
            <w:r>
              <w:rPr>
                <w:rFonts w:hint="default" w:ascii="宋体" w:hAnsi="宋体" w:cs="宋体"/>
                <w:b/>
                <w:bCs/>
                <w:color w:val="000000"/>
                <w:sz w:val="28"/>
                <w:szCs w:val="28"/>
                <w:lang w:val="en-US" w:eastAsia="zh-CN"/>
              </w:rPr>
              <w:t>SQL可控性：</w:t>
            </w:r>
            <w:r>
              <w:rPr>
                <w:rFonts w:hint="default" w:ascii="宋体" w:hAnsi="宋体" w:cs="宋体"/>
                <w:color w:val="000000"/>
                <w:sz w:val="28"/>
                <w:szCs w:val="28"/>
                <w:lang w:val="en-US" w:eastAsia="zh-CN"/>
              </w:rPr>
              <w:t xml:space="preserve"> 对于复杂的多表关联查询，仍可回归到编写原生XML SQL，保持灵活性。</w:t>
            </w:r>
          </w:p>
          <w:p w14:paraId="3A609197">
            <w:pPr>
              <w:tabs>
                <w:tab w:val="left" w:pos="639"/>
              </w:tabs>
              <w:snapToGrid w:val="0"/>
              <w:rPr>
                <w:rFonts w:hint="default" w:ascii="宋体" w:hAnsi="宋体" w:cs="宋体"/>
                <w:color w:val="000000"/>
                <w:sz w:val="28"/>
                <w:szCs w:val="28"/>
                <w:lang w:val="en-US" w:eastAsia="zh-CN"/>
              </w:rPr>
            </w:pPr>
          </w:p>
          <w:p w14:paraId="058E277F">
            <w:pPr>
              <w:snapToGrid w:val="0"/>
              <w:rPr>
                <w:rFonts w:hint="eastAsia" w:ascii="宋体" w:hAnsi="宋体" w:cs="宋体"/>
                <w:color w:val="000000"/>
                <w:sz w:val="28"/>
                <w:szCs w:val="28"/>
                <w:lang w:val="en-US" w:eastAsia="zh-CN"/>
              </w:rPr>
            </w:pPr>
            <w:r>
              <w:rPr>
                <w:rFonts w:hint="eastAsia" w:ascii="宋体" w:hAnsi="宋体" w:cs="宋体"/>
                <w:color w:val="000000"/>
                <w:sz w:val="28"/>
                <w:szCs w:val="28"/>
                <w:lang w:val="en-US" w:eastAsia="zh-CN"/>
              </w:rPr>
              <w:t>前端技术栈 (Frontend)</w:t>
            </w:r>
          </w:p>
          <w:p w14:paraId="24B46AE2">
            <w:pPr>
              <w:snapToGrid w:val="0"/>
              <w:rPr>
                <w:rFonts w:hint="eastAsia" w:ascii="宋体" w:hAnsi="宋体" w:cs="宋体"/>
                <w:color w:val="000000"/>
                <w:sz w:val="28"/>
                <w:szCs w:val="28"/>
                <w:lang w:val="en-US" w:eastAsia="zh-CN"/>
              </w:rPr>
            </w:pPr>
            <w:r>
              <w:rPr>
                <w:rFonts w:hint="eastAsia" w:ascii="宋体" w:hAnsi="宋体" w:cs="宋体"/>
                <w:color w:val="000000"/>
                <w:sz w:val="28"/>
                <w:szCs w:val="28"/>
                <w:lang w:val="en-US" w:eastAsia="zh-CN"/>
              </w:rPr>
              <w:t>用户端：微信小程序</w:t>
            </w:r>
          </w:p>
          <w:p w14:paraId="384AE2EF">
            <w:pPr>
              <w:snapToGrid w:val="0"/>
              <w:rPr>
                <w:rFonts w:hint="eastAsia" w:ascii="宋体" w:hAnsi="宋体" w:cs="宋体"/>
                <w:color w:val="000000"/>
                <w:sz w:val="28"/>
                <w:szCs w:val="28"/>
                <w:lang w:val="en-US" w:eastAsia="zh-CN"/>
              </w:rPr>
            </w:pPr>
            <w:r>
              <w:rPr>
                <w:rFonts w:hint="eastAsia" w:ascii="宋体" w:hAnsi="宋体" w:cs="宋体"/>
                <w:b/>
                <w:bCs/>
                <w:color w:val="000000"/>
                <w:sz w:val="28"/>
                <w:szCs w:val="28"/>
                <w:lang w:val="en-US" w:eastAsia="zh-CN"/>
              </w:rPr>
              <w:t>选型理由：</w:t>
            </w:r>
          </w:p>
          <w:p w14:paraId="6E2F9C70">
            <w:pPr>
              <w:snapToGrid w:val="0"/>
              <w:rPr>
                <w:rFonts w:hint="eastAsia" w:ascii="宋体" w:hAnsi="宋体" w:cs="宋体"/>
                <w:color w:val="000000"/>
                <w:sz w:val="28"/>
                <w:szCs w:val="28"/>
                <w:lang w:val="en-US" w:eastAsia="zh-CN"/>
              </w:rPr>
            </w:pPr>
            <w:r>
              <w:rPr>
                <w:rFonts w:hint="eastAsia" w:ascii="宋体" w:hAnsi="宋体" w:cs="宋体"/>
                <w:b/>
                <w:bCs/>
                <w:color w:val="000000"/>
                <w:sz w:val="28"/>
                <w:szCs w:val="28"/>
                <w:lang w:val="en-US" w:eastAsia="zh-CN"/>
              </w:rPr>
              <w:t>免安装，易演示：</w:t>
            </w:r>
            <w:r>
              <w:rPr>
                <w:rFonts w:hint="eastAsia" w:ascii="宋体" w:hAnsi="宋体" w:cs="宋体"/>
                <w:color w:val="000000"/>
                <w:sz w:val="28"/>
                <w:szCs w:val="28"/>
                <w:lang w:val="en-US" w:eastAsia="zh-CN"/>
              </w:rPr>
              <w:t xml:space="preserve"> 答辩时只需扫码即可打开，体验流畅，是最大的展示优势。</w:t>
            </w:r>
          </w:p>
          <w:p w14:paraId="36165811">
            <w:pPr>
              <w:snapToGrid w:val="0"/>
              <w:rPr>
                <w:rFonts w:hint="eastAsia" w:ascii="宋体" w:hAnsi="宋体" w:cs="宋体"/>
                <w:color w:val="000000"/>
                <w:sz w:val="28"/>
                <w:szCs w:val="28"/>
                <w:lang w:val="en-US" w:eastAsia="zh-CN"/>
              </w:rPr>
            </w:pPr>
            <w:r>
              <w:rPr>
                <w:rFonts w:hint="eastAsia" w:ascii="宋体" w:hAnsi="宋体" w:cs="宋体"/>
                <w:b/>
                <w:bCs/>
                <w:color w:val="000000"/>
                <w:sz w:val="28"/>
                <w:szCs w:val="28"/>
                <w:lang w:val="en-US" w:eastAsia="zh-CN"/>
              </w:rPr>
              <w:t>生态完善：</w:t>
            </w:r>
            <w:r>
              <w:rPr>
                <w:rFonts w:hint="eastAsia" w:ascii="宋体" w:hAnsi="宋体" w:cs="宋体"/>
                <w:color w:val="000000"/>
                <w:sz w:val="28"/>
                <w:szCs w:val="28"/>
                <w:lang w:val="en-US" w:eastAsia="zh-CN"/>
              </w:rPr>
              <w:t xml:space="preserve"> 自带用户体系（微信登录）、支付能力、消息模板，极大地简化了开发。你无需自己实现一套复杂的账号系统。</w:t>
            </w:r>
          </w:p>
          <w:p w14:paraId="37EFFB8A">
            <w:pPr>
              <w:snapToGrid w:val="0"/>
              <w:rPr>
                <w:rFonts w:hint="eastAsia" w:ascii="宋体" w:hAnsi="宋体" w:cs="宋体"/>
                <w:color w:val="000000"/>
                <w:sz w:val="28"/>
                <w:szCs w:val="28"/>
                <w:lang w:val="en-US" w:eastAsia="zh-CN"/>
              </w:rPr>
            </w:pPr>
            <w:r>
              <w:rPr>
                <w:rFonts w:hint="eastAsia" w:ascii="宋体" w:hAnsi="宋体" w:cs="宋体"/>
                <w:b/>
                <w:bCs/>
                <w:color w:val="000000"/>
                <w:sz w:val="28"/>
                <w:szCs w:val="28"/>
                <w:lang w:val="en-US" w:eastAsia="zh-CN"/>
              </w:rPr>
              <w:t>开发友好：</w:t>
            </w:r>
            <w:r>
              <w:rPr>
                <w:rFonts w:hint="eastAsia" w:ascii="宋体" w:hAnsi="宋体" w:cs="宋体"/>
                <w:color w:val="000000"/>
                <w:sz w:val="28"/>
                <w:szCs w:val="28"/>
                <w:lang w:val="en-US" w:eastAsia="zh-CN"/>
              </w:rPr>
              <w:t xml:space="preserve"> 官方工具链成熟，组件和API丰富，学习曲线平缓。</w:t>
            </w:r>
          </w:p>
          <w:p w14:paraId="45CABC21">
            <w:pPr>
              <w:snapToGrid w:val="0"/>
              <w:rPr>
                <w:rFonts w:hint="eastAsia" w:ascii="宋体" w:hAnsi="宋体" w:cs="宋体"/>
                <w:color w:val="000000"/>
                <w:sz w:val="28"/>
                <w:szCs w:val="28"/>
                <w:lang w:val="en-US" w:eastAsia="zh-CN"/>
              </w:rPr>
            </w:pPr>
          </w:p>
          <w:p w14:paraId="7B030CDB">
            <w:pPr>
              <w:snapToGrid w:val="0"/>
              <w:rPr>
                <w:rFonts w:hint="eastAsia" w:ascii="宋体" w:hAnsi="宋体" w:cs="宋体"/>
                <w:color w:val="000000"/>
                <w:sz w:val="28"/>
                <w:szCs w:val="28"/>
                <w:lang w:val="en-US" w:eastAsia="zh-CN"/>
              </w:rPr>
            </w:pPr>
            <w:r>
              <w:rPr>
                <w:rFonts w:hint="eastAsia" w:ascii="宋体" w:hAnsi="宋体" w:cs="宋体"/>
                <w:color w:val="000000"/>
                <w:sz w:val="28"/>
                <w:szCs w:val="28"/>
                <w:lang w:val="en-US" w:eastAsia="zh-CN"/>
              </w:rPr>
              <w:t>管理后台：Vue 3 + TypeScript + Element Plus</w:t>
            </w:r>
          </w:p>
          <w:p w14:paraId="75D816A3">
            <w:pPr>
              <w:snapToGrid w:val="0"/>
              <w:rPr>
                <w:rFonts w:hint="eastAsia" w:ascii="宋体" w:hAnsi="宋体" w:cs="宋体"/>
                <w:b/>
                <w:bCs/>
                <w:color w:val="000000"/>
                <w:sz w:val="28"/>
                <w:szCs w:val="28"/>
                <w:lang w:val="en-US" w:eastAsia="zh-CN"/>
              </w:rPr>
            </w:pPr>
            <w:r>
              <w:rPr>
                <w:rFonts w:hint="eastAsia" w:ascii="宋体" w:hAnsi="宋体" w:cs="宋体"/>
                <w:b/>
                <w:bCs/>
                <w:color w:val="000000"/>
                <w:sz w:val="28"/>
                <w:szCs w:val="28"/>
                <w:lang w:val="en-US" w:eastAsia="zh-CN"/>
              </w:rPr>
              <w:t>选型理由：</w:t>
            </w:r>
          </w:p>
          <w:p w14:paraId="3C515B0E">
            <w:pPr>
              <w:snapToGrid w:val="0"/>
              <w:rPr>
                <w:rFonts w:hint="eastAsia" w:ascii="宋体" w:hAnsi="宋体" w:cs="宋体"/>
                <w:color w:val="000000"/>
                <w:sz w:val="28"/>
                <w:szCs w:val="28"/>
                <w:lang w:val="en-US" w:eastAsia="zh-CN"/>
              </w:rPr>
            </w:pPr>
            <w:r>
              <w:rPr>
                <w:rFonts w:hint="eastAsia" w:ascii="宋体" w:hAnsi="宋体" w:cs="宋体"/>
                <w:b/>
                <w:bCs/>
                <w:color w:val="000000"/>
                <w:sz w:val="28"/>
                <w:szCs w:val="28"/>
                <w:lang w:val="en-US" w:eastAsia="zh-CN"/>
              </w:rPr>
              <w:t>Vue 3：</w:t>
            </w:r>
            <w:r>
              <w:rPr>
                <w:rFonts w:hint="eastAsia" w:ascii="宋体" w:hAnsi="宋体" w:cs="宋体"/>
                <w:color w:val="000000"/>
                <w:sz w:val="28"/>
                <w:szCs w:val="28"/>
                <w:lang w:val="en-US" w:eastAsia="zh-CN"/>
              </w:rPr>
              <w:t xml:space="preserve"> 渐进式框架，易于上手，响应式数据绑定让开发后台管理页面非常高效。</w:t>
            </w:r>
          </w:p>
          <w:p w14:paraId="16E3A186">
            <w:pPr>
              <w:snapToGrid w:val="0"/>
              <w:rPr>
                <w:rFonts w:hint="eastAsia" w:ascii="宋体" w:hAnsi="宋体" w:cs="宋体"/>
                <w:color w:val="000000"/>
                <w:sz w:val="28"/>
                <w:szCs w:val="28"/>
                <w:lang w:val="en-US" w:eastAsia="zh-CN"/>
              </w:rPr>
            </w:pPr>
            <w:r>
              <w:rPr>
                <w:rFonts w:hint="eastAsia" w:ascii="宋体" w:hAnsi="宋体" w:cs="宋体"/>
                <w:b/>
                <w:bCs/>
                <w:color w:val="000000"/>
                <w:sz w:val="28"/>
                <w:szCs w:val="28"/>
                <w:lang w:val="en-US" w:eastAsia="zh-CN"/>
              </w:rPr>
              <w:t xml:space="preserve">TypeScript： </w:t>
            </w:r>
            <w:r>
              <w:rPr>
                <w:rFonts w:hint="eastAsia" w:ascii="宋体" w:hAnsi="宋体" w:cs="宋体"/>
                <w:color w:val="000000"/>
                <w:sz w:val="28"/>
                <w:szCs w:val="28"/>
                <w:lang w:val="en-US" w:eastAsia="zh-CN"/>
              </w:rPr>
              <w:t>提供静态类型检查，能有效减少因拼写错误、类型不匹配导致的低级Bug，让代码更健壮、更易维护。</w:t>
            </w:r>
          </w:p>
          <w:p w14:paraId="6D8C5092">
            <w:pPr>
              <w:snapToGrid w:val="0"/>
              <w:rPr>
                <w:rFonts w:hint="eastAsia" w:ascii="宋体" w:hAnsi="宋体" w:cs="宋体"/>
                <w:color w:val="000000"/>
                <w:sz w:val="28"/>
                <w:szCs w:val="28"/>
                <w:lang w:val="en-US" w:eastAsia="zh-CN"/>
              </w:rPr>
            </w:pPr>
            <w:r>
              <w:rPr>
                <w:rFonts w:hint="eastAsia" w:ascii="宋体" w:hAnsi="宋体" w:cs="宋体"/>
                <w:b/>
                <w:bCs/>
                <w:color w:val="000000"/>
                <w:sz w:val="28"/>
                <w:szCs w:val="28"/>
                <w:lang w:val="en-US" w:eastAsia="zh-CN"/>
              </w:rPr>
              <w:t>Element Plus：</w:t>
            </w:r>
            <w:r>
              <w:rPr>
                <w:rFonts w:hint="eastAsia" w:ascii="宋体" w:hAnsi="宋体" w:cs="宋体"/>
                <w:color w:val="000000"/>
                <w:sz w:val="28"/>
                <w:szCs w:val="28"/>
                <w:lang w:val="en-US" w:eastAsia="zh-CN"/>
              </w:rPr>
              <w:t xml:space="preserve"> 基于Vue 3的桌面端UI组件库，提供了后台管理系统所需的所有组件（表格、表单、弹窗、导航等），布局美观，开发效率极高。</w:t>
            </w:r>
          </w:p>
          <w:p w14:paraId="26F174BB">
            <w:pPr>
              <w:keepNext w:val="0"/>
              <w:keepLines w:val="0"/>
              <w:pageBreakBefore w:val="0"/>
              <w:widowControl w:val="0"/>
              <w:kinsoku/>
              <w:wordWrap/>
              <w:overflowPunct/>
              <w:topLinePunct w:val="0"/>
              <w:autoSpaceDE/>
              <w:autoSpaceDN/>
              <w:bidi w:val="0"/>
              <w:adjustRightInd/>
              <w:snapToGrid w:val="0"/>
              <w:textAlignment w:val="auto"/>
              <w:rPr>
                <w:rFonts w:hint="default" w:ascii="宋体" w:hAnsi="宋体" w:cs="宋体"/>
                <w:color w:val="000000"/>
                <w:sz w:val="28"/>
                <w:szCs w:val="28"/>
                <w:lang w:val="en-US" w:eastAsia="zh-CN"/>
              </w:rPr>
            </w:pPr>
          </w:p>
          <w:p w14:paraId="0A4003F8">
            <w:pPr>
              <w:snapToGrid w:val="0"/>
              <w:jc w:val="left"/>
              <w:rPr>
                <w:rFonts w:hint="eastAsia" w:ascii="宋体" w:hAnsi="宋体" w:eastAsia="宋体" w:cs="宋体"/>
                <w:color w:val="000000"/>
                <w:sz w:val="28"/>
                <w:szCs w:val="28"/>
              </w:rPr>
            </w:pPr>
          </w:p>
          <w:p w14:paraId="07E25FCB">
            <w:pPr>
              <w:snapToGrid w:val="0"/>
              <w:jc w:val="left"/>
              <w:rPr>
                <w:rFonts w:hint="eastAsia" w:ascii="宋体" w:hAnsi="宋体" w:eastAsia="宋体" w:cs="宋体"/>
                <w:color w:val="000000"/>
                <w:sz w:val="28"/>
                <w:szCs w:val="28"/>
              </w:rPr>
            </w:pPr>
            <w:r>
              <w:rPr>
                <w:rFonts w:hint="eastAsia" w:ascii="宋体" w:hAnsi="宋体" w:eastAsia="宋体" w:cs="宋体"/>
                <w:color w:val="000000"/>
                <w:sz w:val="28"/>
                <w:szCs w:val="28"/>
              </w:rPr>
              <w:t>进度安排：</w:t>
            </w:r>
          </w:p>
          <w:p w14:paraId="703A360B">
            <w:pPr>
              <w:snapToGrid w:val="0"/>
              <w:jc w:val="left"/>
              <w:rPr>
                <w:rFonts w:hint="eastAsia" w:ascii="宋体" w:hAnsi="宋体" w:eastAsia="宋体" w:cs="宋体"/>
                <w:color w:val="000000"/>
                <w:sz w:val="28"/>
                <w:szCs w:val="28"/>
              </w:rPr>
            </w:pPr>
          </w:p>
          <w:p w14:paraId="29E31509">
            <w:pPr>
              <w:snapToGrid w:val="0"/>
              <w:jc w:val="left"/>
              <w:rPr>
                <w:rFonts w:hint="eastAsia" w:ascii="宋体" w:hAnsi="宋体" w:eastAsia="宋体" w:cs="宋体"/>
                <w:color w:val="000000"/>
                <w:sz w:val="28"/>
                <w:szCs w:val="28"/>
              </w:rPr>
            </w:pPr>
            <w:r>
              <w:rPr>
                <w:rFonts w:hint="eastAsia" w:ascii="宋体" w:hAnsi="宋体" w:eastAsia="宋体" w:cs="宋体"/>
                <w:color w:val="000000"/>
                <w:sz w:val="28"/>
                <w:szCs w:val="28"/>
              </w:rPr>
              <w:t>第1-2周：开题与准备</w:t>
            </w:r>
          </w:p>
          <w:p w14:paraId="5601F091">
            <w:pPr>
              <w:snapToGrid w:val="0"/>
              <w:jc w:val="left"/>
              <w:rPr>
                <w:rFonts w:hint="eastAsia" w:ascii="宋体" w:hAnsi="宋体" w:eastAsia="宋体" w:cs="宋体"/>
                <w:color w:val="000000"/>
                <w:sz w:val="28"/>
                <w:szCs w:val="28"/>
              </w:rPr>
            </w:pPr>
            <w:r>
              <w:rPr>
                <w:rFonts w:hint="eastAsia" w:ascii="宋体" w:hAnsi="宋体" w:eastAsia="宋体" w:cs="宋体"/>
                <w:color w:val="000000"/>
                <w:sz w:val="28"/>
                <w:szCs w:val="28"/>
              </w:rPr>
              <w:t>确定最终技术栈，搭建开发环境。</w:t>
            </w:r>
          </w:p>
          <w:p w14:paraId="0AE257F2">
            <w:pPr>
              <w:snapToGrid w:val="0"/>
              <w:jc w:val="left"/>
              <w:rPr>
                <w:rFonts w:hint="eastAsia" w:ascii="宋体" w:hAnsi="宋体" w:eastAsia="宋体" w:cs="宋体"/>
                <w:color w:val="000000"/>
                <w:sz w:val="28"/>
                <w:szCs w:val="28"/>
              </w:rPr>
            </w:pPr>
            <w:r>
              <w:rPr>
                <w:rFonts w:hint="eastAsia" w:ascii="宋体" w:hAnsi="宋体" w:eastAsia="宋体" w:cs="宋体"/>
                <w:color w:val="000000"/>
                <w:sz w:val="28"/>
                <w:szCs w:val="28"/>
              </w:rPr>
              <w:t>完成详细的需求分析和数据库设计。</w:t>
            </w:r>
          </w:p>
          <w:p w14:paraId="376E028C">
            <w:pPr>
              <w:snapToGrid w:val="0"/>
              <w:jc w:val="left"/>
              <w:rPr>
                <w:rFonts w:hint="eastAsia" w:ascii="宋体" w:hAnsi="宋体" w:eastAsia="宋体" w:cs="宋体"/>
                <w:color w:val="000000"/>
                <w:sz w:val="28"/>
                <w:szCs w:val="28"/>
              </w:rPr>
            </w:pPr>
            <w:r>
              <w:rPr>
                <w:rFonts w:hint="eastAsia" w:ascii="宋体" w:hAnsi="宋体" w:eastAsia="宋体" w:cs="宋体"/>
                <w:color w:val="000000"/>
                <w:sz w:val="28"/>
                <w:szCs w:val="28"/>
              </w:rPr>
              <w:t>撰写论文的1-3章。</w:t>
            </w:r>
          </w:p>
          <w:p w14:paraId="3B3F8180">
            <w:pPr>
              <w:snapToGrid w:val="0"/>
              <w:jc w:val="left"/>
              <w:rPr>
                <w:rFonts w:hint="eastAsia" w:ascii="宋体" w:hAnsi="宋体" w:eastAsia="宋体" w:cs="宋体"/>
                <w:color w:val="000000"/>
                <w:sz w:val="28"/>
                <w:szCs w:val="28"/>
              </w:rPr>
            </w:pPr>
          </w:p>
          <w:p w14:paraId="01EB52DE">
            <w:pPr>
              <w:snapToGrid w:val="0"/>
              <w:jc w:val="left"/>
              <w:rPr>
                <w:rFonts w:hint="eastAsia" w:ascii="宋体" w:hAnsi="宋体" w:eastAsia="宋体" w:cs="宋体"/>
                <w:color w:val="000000"/>
                <w:sz w:val="28"/>
                <w:szCs w:val="28"/>
              </w:rPr>
            </w:pPr>
            <w:r>
              <w:rPr>
                <w:rFonts w:hint="eastAsia" w:ascii="宋体" w:hAnsi="宋体" w:eastAsia="宋体" w:cs="宋体"/>
                <w:color w:val="000000"/>
                <w:sz w:val="28"/>
                <w:szCs w:val="28"/>
              </w:rPr>
              <w:t>第3-6周：核心开发</w:t>
            </w:r>
          </w:p>
          <w:p w14:paraId="3C22CC6F">
            <w:pPr>
              <w:snapToGrid w:val="0"/>
              <w:jc w:val="left"/>
              <w:rPr>
                <w:rFonts w:hint="eastAsia" w:ascii="宋体" w:hAnsi="宋体" w:eastAsia="宋体" w:cs="宋体"/>
                <w:color w:val="000000"/>
                <w:sz w:val="28"/>
                <w:szCs w:val="28"/>
              </w:rPr>
            </w:pPr>
            <w:r>
              <w:rPr>
                <w:rFonts w:hint="eastAsia" w:ascii="宋体" w:hAnsi="宋体" w:eastAsia="宋体" w:cs="宋体"/>
                <w:color w:val="000000"/>
                <w:sz w:val="28"/>
                <w:szCs w:val="28"/>
              </w:rPr>
              <w:t>后端先行： 先开发后端API，使用Postman等工具进行接口测试。</w:t>
            </w:r>
          </w:p>
          <w:p w14:paraId="42CB1D6A">
            <w:pPr>
              <w:snapToGrid w:val="0"/>
              <w:jc w:val="left"/>
              <w:rPr>
                <w:rFonts w:hint="eastAsia" w:ascii="宋体" w:hAnsi="宋体" w:eastAsia="宋体" w:cs="宋体"/>
                <w:color w:val="000000"/>
                <w:sz w:val="28"/>
                <w:szCs w:val="28"/>
              </w:rPr>
            </w:pPr>
            <w:r>
              <w:rPr>
                <w:rFonts w:hint="eastAsia" w:ascii="宋体" w:hAnsi="宋体" w:eastAsia="宋体" w:cs="宋体"/>
                <w:color w:val="000000"/>
                <w:sz w:val="28"/>
                <w:szCs w:val="28"/>
              </w:rPr>
              <w:t>核心攻克： 重点实现用户、服务者、订单、评价等核心模块的CRUD和业务逻辑。</w:t>
            </w:r>
          </w:p>
          <w:p w14:paraId="53193005">
            <w:pPr>
              <w:snapToGrid w:val="0"/>
              <w:jc w:val="left"/>
              <w:rPr>
                <w:rFonts w:hint="eastAsia" w:ascii="宋体" w:hAnsi="宋体" w:eastAsia="宋体" w:cs="宋体"/>
                <w:color w:val="000000"/>
                <w:sz w:val="28"/>
                <w:szCs w:val="28"/>
              </w:rPr>
            </w:pPr>
            <w:r>
              <w:rPr>
                <w:rFonts w:hint="eastAsia" w:ascii="宋体" w:hAnsi="宋体" w:eastAsia="宋体" w:cs="宋体"/>
                <w:color w:val="000000"/>
                <w:sz w:val="28"/>
                <w:szCs w:val="28"/>
              </w:rPr>
              <w:t>关键难点： 集中精力解决“时间冲突检测”和“订单状态流转”逻辑。</w:t>
            </w:r>
          </w:p>
          <w:p w14:paraId="172548AB">
            <w:pPr>
              <w:snapToGrid w:val="0"/>
              <w:jc w:val="left"/>
              <w:rPr>
                <w:rFonts w:hint="eastAsia" w:ascii="宋体" w:hAnsi="宋体" w:eastAsia="宋体" w:cs="宋体"/>
                <w:color w:val="000000"/>
                <w:sz w:val="28"/>
                <w:szCs w:val="28"/>
              </w:rPr>
            </w:pPr>
            <w:r>
              <w:rPr>
                <w:rFonts w:hint="eastAsia" w:ascii="宋体" w:hAnsi="宋体" w:eastAsia="宋体" w:cs="宋体"/>
                <w:color w:val="000000"/>
                <w:sz w:val="28"/>
                <w:szCs w:val="28"/>
              </w:rPr>
              <w:t>撰写论文第4章。</w:t>
            </w:r>
          </w:p>
          <w:p w14:paraId="650BA1A3">
            <w:pPr>
              <w:snapToGrid w:val="0"/>
              <w:jc w:val="left"/>
              <w:rPr>
                <w:rFonts w:hint="eastAsia" w:ascii="宋体" w:hAnsi="宋体" w:eastAsia="宋体" w:cs="宋体"/>
                <w:color w:val="000000"/>
                <w:sz w:val="28"/>
                <w:szCs w:val="28"/>
              </w:rPr>
            </w:pPr>
          </w:p>
          <w:p w14:paraId="6555F325">
            <w:pPr>
              <w:snapToGrid w:val="0"/>
              <w:jc w:val="left"/>
              <w:rPr>
                <w:rFonts w:hint="eastAsia" w:ascii="宋体" w:hAnsi="宋体" w:eastAsia="宋体" w:cs="宋体"/>
                <w:color w:val="000000"/>
                <w:sz w:val="28"/>
                <w:szCs w:val="28"/>
              </w:rPr>
            </w:pPr>
            <w:r>
              <w:rPr>
                <w:rFonts w:hint="eastAsia" w:ascii="宋体" w:hAnsi="宋体" w:eastAsia="宋体" w:cs="宋体"/>
                <w:color w:val="000000"/>
                <w:sz w:val="28"/>
                <w:szCs w:val="28"/>
              </w:rPr>
              <w:t>第7-9周：前后端联调与界面美化</w:t>
            </w:r>
          </w:p>
          <w:p w14:paraId="781341D1">
            <w:pPr>
              <w:snapToGrid w:val="0"/>
              <w:jc w:val="left"/>
              <w:rPr>
                <w:rFonts w:hint="eastAsia" w:ascii="宋体" w:hAnsi="宋体" w:eastAsia="宋体" w:cs="宋体"/>
                <w:color w:val="000000"/>
                <w:sz w:val="28"/>
                <w:szCs w:val="28"/>
              </w:rPr>
            </w:pPr>
            <w:r>
              <w:rPr>
                <w:rFonts w:hint="eastAsia" w:ascii="宋体" w:hAnsi="宋体" w:eastAsia="宋体" w:cs="宋体"/>
                <w:color w:val="000000"/>
                <w:sz w:val="28"/>
                <w:szCs w:val="28"/>
              </w:rPr>
              <w:t>开发微信小程序前端页面。</w:t>
            </w:r>
          </w:p>
          <w:p w14:paraId="75EDB759">
            <w:pPr>
              <w:snapToGrid w:val="0"/>
              <w:jc w:val="left"/>
              <w:rPr>
                <w:rFonts w:hint="eastAsia" w:ascii="宋体" w:hAnsi="宋体" w:eastAsia="宋体" w:cs="宋体"/>
                <w:color w:val="000000"/>
                <w:sz w:val="28"/>
                <w:szCs w:val="28"/>
              </w:rPr>
            </w:pPr>
            <w:r>
              <w:rPr>
                <w:rFonts w:hint="eastAsia" w:ascii="宋体" w:hAnsi="宋体" w:eastAsia="宋体" w:cs="宋体"/>
                <w:color w:val="000000"/>
                <w:sz w:val="28"/>
                <w:szCs w:val="28"/>
              </w:rPr>
              <w:t>开发管理后台Web页面。</w:t>
            </w:r>
          </w:p>
          <w:p w14:paraId="2DC7F867">
            <w:pPr>
              <w:snapToGrid w:val="0"/>
              <w:jc w:val="left"/>
              <w:rPr>
                <w:rFonts w:hint="eastAsia" w:ascii="宋体" w:hAnsi="宋体" w:eastAsia="宋体" w:cs="宋体"/>
                <w:color w:val="000000"/>
                <w:sz w:val="28"/>
                <w:szCs w:val="28"/>
              </w:rPr>
            </w:pPr>
            <w:r>
              <w:rPr>
                <w:rFonts w:hint="eastAsia" w:ascii="宋体" w:hAnsi="宋体" w:eastAsia="宋体" w:cs="宋体"/>
                <w:color w:val="000000"/>
                <w:sz w:val="28"/>
                <w:szCs w:val="28"/>
              </w:rPr>
              <w:t>前后端联调，确保核心流程（预约</w:t>
            </w:r>
            <w:r>
              <w:rPr>
                <w:rFonts w:hint="eastAsia" w:ascii="宋体" w:hAnsi="宋体" w:cs="宋体"/>
                <w:color w:val="000000"/>
                <w:sz w:val="28"/>
                <w:szCs w:val="28"/>
                <w:lang w:eastAsia="zh-CN"/>
              </w:rPr>
              <w:t>－</w:t>
            </w:r>
            <w:r>
              <w:rPr>
                <w:rFonts w:hint="eastAsia" w:ascii="宋体" w:hAnsi="宋体" w:eastAsia="宋体" w:cs="宋体"/>
                <w:color w:val="000000"/>
                <w:sz w:val="28"/>
                <w:szCs w:val="28"/>
              </w:rPr>
              <w:t>接单</w:t>
            </w:r>
            <w:r>
              <w:rPr>
                <w:rFonts w:hint="eastAsia" w:ascii="宋体" w:hAnsi="宋体" w:cs="宋体"/>
                <w:color w:val="000000"/>
                <w:sz w:val="28"/>
                <w:szCs w:val="28"/>
                <w:lang w:eastAsia="zh-CN"/>
              </w:rPr>
              <w:t>－</w:t>
            </w:r>
            <w:r>
              <w:rPr>
                <w:rFonts w:hint="eastAsia" w:ascii="宋体" w:hAnsi="宋体" w:eastAsia="宋体" w:cs="宋体"/>
                <w:color w:val="000000"/>
                <w:sz w:val="28"/>
                <w:szCs w:val="28"/>
              </w:rPr>
              <w:t>完成）跑通。</w:t>
            </w:r>
          </w:p>
          <w:p w14:paraId="41950486">
            <w:pPr>
              <w:snapToGrid w:val="0"/>
              <w:jc w:val="left"/>
              <w:rPr>
                <w:rFonts w:hint="eastAsia" w:ascii="宋体" w:hAnsi="宋体" w:eastAsia="宋体" w:cs="宋体"/>
                <w:color w:val="000000"/>
                <w:sz w:val="28"/>
                <w:szCs w:val="28"/>
              </w:rPr>
            </w:pPr>
            <w:r>
              <w:rPr>
                <w:rFonts w:hint="eastAsia" w:ascii="宋体" w:hAnsi="宋体" w:eastAsia="宋体" w:cs="宋体"/>
                <w:color w:val="000000"/>
                <w:sz w:val="28"/>
                <w:szCs w:val="28"/>
              </w:rPr>
              <w:t>撰写论文第5章。</w:t>
            </w:r>
          </w:p>
          <w:p w14:paraId="5A9F200E">
            <w:pPr>
              <w:snapToGrid w:val="0"/>
              <w:jc w:val="left"/>
              <w:rPr>
                <w:rFonts w:hint="eastAsia" w:ascii="宋体" w:hAnsi="宋体" w:eastAsia="宋体" w:cs="宋体"/>
                <w:color w:val="000000"/>
                <w:sz w:val="28"/>
                <w:szCs w:val="28"/>
              </w:rPr>
            </w:pPr>
          </w:p>
          <w:p w14:paraId="783A683A">
            <w:pPr>
              <w:snapToGrid w:val="0"/>
              <w:jc w:val="left"/>
              <w:rPr>
                <w:rFonts w:hint="eastAsia" w:ascii="宋体" w:hAnsi="宋体" w:eastAsia="宋体" w:cs="宋体"/>
                <w:color w:val="000000"/>
                <w:sz w:val="28"/>
                <w:szCs w:val="28"/>
              </w:rPr>
            </w:pPr>
            <w:r>
              <w:rPr>
                <w:rFonts w:hint="eastAsia" w:ascii="宋体" w:hAnsi="宋体" w:eastAsia="宋体" w:cs="宋体"/>
                <w:color w:val="000000"/>
                <w:sz w:val="28"/>
                <w:szCs w:val="28"/>
              </w:rPr>
              <w:t>第</w:t>
            </w:r>
            <w:r>
              <w:rPr>
                <w:rFonts w:hint="eastAsia" w:ascii="宋体" w:hAnsi="宋体" w:cs="宋体"/>
                <w:color w:val="000000"/>
                <w:sz w:val="28"/>
                <w:szCs w:val="28"/>
                <w:lang w:eastAsia="zh-CN"/>
              </w:rPr>
              <w:t>10～11周</w:t>
            </w:r>
            <w:r>
              <w:rPr>
                <w:rFonts w:hint="eastAsia" w:ascii="宋体" w:hAnsi="宋体" w:eastAsia="宋体" w:cs="宋体"/>
                <w:color w:val="000000"/>
                <w:sz w:val="28"/>
                <w:szCs w:val="28"/>
              </w:rPr>
              <w:t>：测试、部署与收尾</w:t>
            </w:r>
          </w:p>
          <w:p w14:paraId="22D6955D">
            <w:pPr>
              <w:snapToGrid w:val="0"/>
              <w:jc w:val="left"/>
              <w:rPr>
                <w:rFonts w:hint="eastAsia" w:ascii="宋体" w:hAnsi="宋体" w:eastAsia="宋体" w:cs="宋体"/>
                <w:color w:val="000000"/>
                <w:sz w:val="28"/>
                <w:szCs w:val="28"/>
              </w:rPr>
            </w:pPr>
            <w:r>
              <w:rPr>
                <w:rFonts w:hint="eastAsia" w:ascii="宋体" w:hAnsi="宋体" w:eastAsia="宋体" w:cs="宋体"/>
                <w:color w:val="000000"/>
                <w:sz w:val="28"/>
                <w:szCs w:val="28"/>
              </w:rPr>
              <w:t>进行系统测试，修复Bug。</w:t>
            </w:r>
          </w:p>
          <w:p w14:paraId="199E7FBE">
            <w:pPr>
              <w:snapToGrid w:val="0"/>
              <w:jc w:val="left"/>
              <w:rPr>
                <w:rFonts w:hint="eastAsia" w:ascii="宋体" w:hAnsi="宋体" w:eastAsia="宋体" w:cs="宋体"/>
                <w:color w:val="000000"/>
                <w:sz w:val="28"/>
                <w:szCs w:val="28"/>
              </w:rPr>
            </w:pPr>
            <w:r>
              <w:rPr>
                <w:rFonts w:hint="eastAsia" w:ascii="宋体" w:hAnsi="宋体" w:eastAsia="宋体" w:cs="宋体"/>
                <w:color w:val="000000"/>
                <w:sz w:val="28"/>
                <w:szCs w:val="28"/>
              </w:rPr>
              <w:t>将系统部署到云服务器（如腾讯云轻量应用服务器）。</w:t>
            </w:r>
          </w:p>
          <w:p w14:paraId="2940085D">
            <w:pPr>
              <w:snapToGrid w:val="0"/>
              <w:jc w:val="left"/>
              <w:rPr>
                <w:rFonts w:hint="eastAsia" w:ascii="宋体" w:hAnsi="宋体" w:eastAsia="宋体" w:cs="宋体"/>
                <w:color w:val="000000"/>
                <w:sz w:val="28"/>
                <w:szCs w:val="28"/>
              </w:rPr>
            </w:pPr>
            <w:r>
              <w:rPr>
                <w:rFonts w:hint="eastAsia" w:ascii="宋体" w:hAnsi="宋体" w:eastAsia="宋体" w:cs="宋体"/>
                <w:color w:val="000000"/>
                <w:sz w:val="28"/>
                <w:szCs w:val="28"/>
              </w:rPr>
              <w:t>录制系统演示视频（备用，防止答辩时网络问题）。</w:t>
            </w:r>
          </w:p>
          <w:p w14:paraId="2F809C5F">
            <w:pPr>
              <w:snapToGrid w:val="0"/>
              <w:jc w:val="left"/>
              <w:rPr>
                <w:rFonts w:hint="eastAsia" w:ascii="宋体" w:hAnsi="宋体" w:eastAsia="宋体" w:cs="宋体"/>
                <w:color w:val="000000"/>
                <w:sz w:val="28"/>
                <w:szCs w:val="28"/>
              </w:rPr>
            </w:pPr>
            <w:r>
              <w:rPr>
                <w:rFonts w:hint="eastAsia" w:ascii="宋体" w:hAnsi="宋体" w:eastAsia="宋体" w:cs="宋体"/>
                <w:color w:val="000000"/>
                <w:sz w:val="28"/>
                <w:szCs w:val="28"/>
              </w:rPr>
              <w:t>撰写论文第6、7章，并整理全文。</w:t>
            </w:r>
          </w:p>
          <w:p w14:paraId="0E1B34F8">
            <w:pPr>
              <w:snapToGrid w:val="0"/>
              <w:jc w:val="left"/>
              <w:rPr>
                <w:rFonts w:hint="eastAsia" w:ascii="宋体" w:hAnsi="宋体" w:eastAsia="宋体" w:cs="宋体"/>
                <w:color w:val="000000"/>
                <w:sz w:val="28"/>
                <w:szCs w:val="28"/>
              </w:rPr>
            </w:pPr>
          </w:p>
          <w:p w14:paraId="448894C8">
            <w:pPr>
              <w:snapToGrid w:val="0"/>
              <w:jc w:val="left"/>
              <w:rPr>
                <w:rFonts w:hint="eastAsia" w:ascii="宋体" w:hAnsi="宋体" w:eastAsia="宋体" w:cs="宋体"/>
                <w:color w:val="000000"/>
                <w:sz w:val="28"/>
                <w:szCs w:val="28"/>
              </w:rPr>
            </w:pPr>
            <w:r>
              <w:rPr>
                <w:rFonts w:hint="eastAsia" w:ascii="宋体" w:hAnsi="宋体" w:eastAsia="宋体" w:cs="宋体"/>
                <w:color w:val="000000"/>
                <w:sz w:val="28"/>
                <w:szCs w:val="28"/>
              </w:rPr>
              <w:t>第12周：论文修改与答辩准备</w:t>
            </w:r>
          </w:p>
          <w:p w14:paraId="42E384B5">
            <w:pPr>
              <w:snapToGrid w:val="0"/>
              <w:jc w:val="left"/>
              <w:rPr>
                <w:rFonts w:hint="eastAsia" w:ascii="宋体" w:hAnsi="宋体" w:eastAsia="宋体" w:cs="宋体"/>
                <w:color w:val="000000"/>
                <w:sz w:val="28"/>
                <w:szCs w:val="28"/>
              </w:rPr>
            </w:pPr>
            <w:r>
              <w:rPr>
                <w:rFonts w:hint="eastAsia" w:ascii="宋体" w:hAnsi="宋体" w:eastAsia="宋体" w:cs="宋体"/>
                <w:color w:val="000000"/>
                <w:sz w:val="28"/>
                <w:szCs w:val="28"/>
              </w:rPr>
              <w:t>整理所有文档、源代码、数据库脚本。</w:t>
            </w:r>
          </w:p>
          <w:p w14:paraId="60D2F640">
            <w:pPr>
              <w:snapToGrid w:val="0"/>
              <w:jc w:val="left"/>
              <w:rPr>
                <w:rFonts w:hint="eastAsia" w:ascii="宋体" w:hAnsi="宋体" w:eastAsia="宋体" w:cs="宋体"/>
                <w:color w:val="000000"/>
                <w:sz w:val="28"/>
                <w:szCs w:val="28"/>
              </w:rPr>
            </w:pPr>
            <w:r>
              <w:rPr>
                <w:rFonts w:hint="eastAsia" w:ascii="宋体" w:hAnsi="宋体" w:eastAsia="宋体" w:cs="宋体"/>
                <w:color w:val="000000"/>
                <w:sz w:val="28"/>
                <w:szCs w:val="28"/>
              </w:rPr>
              <w:t>制作答辩PPT，反复演练。</w:t>
            </w:r>
          </w:p>
          <w:p w14:paraId="16ED4369">
            <w:pPr>
              <w:snapToGrid w:val="0"/>
              <w:jc w:val="left"/>
              <w:rPr>
                <w:rFonts w:hint="eastAsia" w:ascii="宋体" w:hAnsi="宋体" w:eastAsia="宋体" w:cs="宋体"/>
                <w:color w:val="000000"/>
                <w:sz w:val="28"/>
                <w:szCs w:val="28"/>
              </w:rPr>
            </w:pPr>
          </w:p>
          <w:p w14:paraId="572A60B1">
            <w:pPr>
              <w:snapToGrid w:val="0"/>
              <w:jc w:val="left"/>
              <w:rPr>
                <w:rFonts w:hint="eastAsia" w:ascii="宋体" w:hAnsi="宋体" w:eastAsia="宋体" w:cs="宋体"/>
                <w:color w:val="000000"/>
                <w:sz w:val="28"/>
                <w:szCs w:val="28"/>
              </w:rPr>
            </w:pPr>
            <w:r>
              <w:rPr>
                <w:rFonts w:hint="eastAsia" w:ascii="宋体" w:hAnsi="宋体" w:eastAsia="宋体" w:cs="宋体"/>
                <w:color w:val="000000"/>
                <w:sz w:val="28"/>
                <w:szCs w:val="28"/>
              </w:rPr>
              <w:t>已查阅主要参考文献：</w:t>
            </w:r>
          </w:p>
          <w:p w14:paraId="6CF562F8">
            <w:pPr>
              <w:snapToGrid w:val="0"/>
              <w:spacing w:line="280" w:lineRule="exact"/>
              <w:ind w:firstLine="560" w:firstLineChars="200"/>
              <w:jc w:val="both"/>
              <w:rPr>
                <w:rFonts w:hint="eastAsia" w:ascii="宋体" w:hAnsi="宋体" w:eastAsia="宋体" w:cs="宋体"/>
                <w:sz w:val="28"/>
                <w:szCs w:val="28"/>
                <w:shd w:val="clear" w:color="auto" w:fill="FFFFFF"/>
              </w:rPr>
            </w:pPr>
            <w:r>
              <w:rPr>
                <w:rFonts w:hint="eastAsia" w:ascii="宋体" w:hAnsi="宋体" w:eastAsia="宋体" w:cs="宋体"/>
                <w:sz w:val="28"/>
                <w:szCs w:val="28"/>
                <w:shd w:val="clear" w:color="auto" w:fill="FFFFFF"/>
              </w:rPr>
              <w:t>[1]万千山.家政服务平台设计与实现[D].山东科技大学,2020.DOI:10.27275/d.cnki.gsdku.2020.000415.</w:t>
            </w:r>
          </w:p>
          <w:p w14:paraId="2F211953">
            <w:pPr>
              <w:snapToGrid w:val="0"/>
              <w:spacing w:line="280" w:lineRule="exact"/>
              <w:ind w:firstLine="560" w:firstLineChars="200"/>
              <w:jc w:val="both"/>
              <w:rPr>
                <w:rFonts w:hint="eastAsia" w:ascii="宋体" w:hAnsi="宋体" w:eastAsia="宋体" w:cs="宋体"/>
                <w:color w:val="000000"/>
                <w:sz w:val="28"/>
                <w:szCs w:val="28"/>
              </w:rPr>
            </w:pPr>
            <w:r>
              <w:rPr>
                <w:rFonts w:hint="eastAsia" w:ascii="宋体" w:hAnsi="宋体" w:eastAsia="宋体" w:cs="宋体"/>
                <w:color w:val="000000"/>
                <w:sz w:val="28"/>
                <w:szCs w:val="28"/>
              </w:rPr>
              <w:t>[</w:t>
            </w:r>
            <w:r>
              <w:rPr>
                <w:rFonts w:hint="eastAsia" w:ascii="宋体" w:hAnsi="宋体" w:cs="宋体"/>
                <w:color w:val="000000"/>
                <w:sz w:val="28"/>
                <w:szCs w:val="28"/>
                <w:lang w:val="en-US" w:eastAsia="zh-CN"/>
              </w:rPr>
              <w:t>2</w:t>
            </w:r>
            <w:r>
              <w:rPr>
                <w:rFonts w:hint="eastAsia" w:ascii="宋体" w:hAnsi="宋体" w:eastAsia="宋体" w:cs="宋体"/>
                <w:color w:val="000000"/>
                <w:sz w:val="28"/>
                <w:szCs w:val="28"/>
              </w:rPr>
              <w:t>]王丽萍.基于MVC模式和RMI的家政服务预定管理系统[D].吉林大学,2005.</w:t>
            </w:r>
          </w:p>
          <w:p w14:paraId="3CBA9923">
            <w:pPr>
              <w:snapToGrid w:val="0"/>
              <w:spacing w:line="280" w:lineRule="exact"/>
              <w:ind w:firstLine="560" w:firstLineChars="200"/>
              <w:jc w:val="both"/>
              <w:rPr>
                <w:rFonts w:hint="eastAsia" w:ascii="宋体" w:hAnsi="宋体" w:eastAsia="宋体" w:cs="宋体"/>
                <w:color w:val="000000"/>
                <w:sz w:val="28"/>
                <w:szCs w:val="28"/>
              </w:rPr>
            </w:pPr>
            <w:r>
              <w:rPr>
                <w:rFonts w:hint="eastAsia" w:ascii="宋体" w:hAnsi="宋体" w:eastAsia="宋体" w:cs="宋体"/>
                <w:color w:val="000000"/>
                <w:sz w:val="28"/>
                <w:szCs w:val="28"/>
              </w:rPr>
              <w:t>[</w:t>
            </w:r>
            <w:r>
              <w:rPr>
                <w:rFonts w:hint="eastAsia" w:ascii="宋体" w:hAnsi="宋体" w:cs="宋体"/>
                <w:color w:val="000000"/>
                <w:sz w:val="28"/>
                <w:szCs w:val="28"/>
                <w:lang w:val="en-US" w:eastAsia="zh-CN"/>
              </w:rPr>
              <w:t>3</w:t>
            </w:r>
            <w:r>
              <w:rPr>
                <w:rFonts w:hint="eastAsia" w:ascii="宋体" w:hAnsi="宋体" w:eastAsia="宋体" w:cs="宋体"/>
                <w:color w:val="000000"/>
                <w:sz w:val="28"/>
                <w:szCs w:val="28"/>
              </w:rPr>
              <w:t>]沈倪</w:t>
            </w:r>
            <w:r>
              <w:rPr>
                <w:rFonts w:hint="eastAsia" w:ascii="宋体" w:hAnsi="宋体" w:cs="宋体"/>
                <w:color w:val="000000"/>
                <w:sz w:val="28"/>
                <w:szCs w:val="28"/>
                <w:lang w:eastAsia="zh-CN"/>
              </w:rPr>
              <w:t>，</w:t>
            </w:r>
            <w:r>
              <w:rPr>
                <w:rFonts w:hint="eastAsia" w:ascii="宋体" w:hAnsi="宋体" w:eastAsia="宋体" w:cs="宋体"/>
                <w:color w:val="000000"/>
                <w:sz w:val="28"/>
                <w:szCs w:val="28"/>
              </w:rPr>
              <w:t>陈勇</w:t>
            </w:r>
            <w:r>
              <w:rPr>
                <w:rFonts w:hint="eastAsia" w:ascii="宋体" w:hAnsi="宋体" w:cs="宋体"/>
                <w:color w:val="000000"/>
                <w:sz w:val="28"/>
                <w:szCs w:val="28"/>
                <w:lang w:eastAsia="zh-CN"/>
              </w:rPr>
              <w:t>，</w:t>
            </w:r>
            <w:r>
              <w:rPr>
                <w:rFonts w:hint="eastAsia" w:ascii="宋体" w:hAnsi="宋体" w:eastAsia="宋体" w:cs="宋体"/>
                <w:color w:val="000000"/>
                <w:sz w:val="28"/>
                <w:szCs w:val="28"/>
              </w:rPr>
              <w:t>刘雨</w:t>
            </w:r>
            <w:r>
              <w:rPr>
                <w:rFonts w:hint="eastAsia" w:ascii="宋体" w:hAnsi="宋体" w:cs="宋体"/>
                <w:color w:val="000000"/>
                <w:sz w:val="28"/>
                <w:szCs w:val="28"/>
                <w:lang w:eastAsia="zh-CN"/>
              </w:rPr>
              <w:t>。</w:t>
            </w:r>
            <w:r>
              <w:rPr>
                <w:rFonts w:hint="eastAsia" w:ascii="宋体" w:hAnsi="宋体" w:eastAsia="宋体" w:cs="宋体"/>
                <w:color w:val="000000"/>
                <w:sz w:val="28"/>
                <w:szCs w:val="28"/>
              </w:rPr>
              <w:t>基于改进分支定价算法的服务时间随机的上门服务路径规划问题研究[J/OL]</w:t>
            </w:r>
            <w:r>
              <w:rPr>
                <w:rFonts w:hint="eastAsia" w:ascii="宋体" w:hAnsi="宋体" w:cs="宋体"/>
                <w:color w:val="000000"/>
                <w:sz w:val="28"/>
                <w:szCs w:val="28"/>
                <w:lang w:eastAsia="zh-CN"/>
              </w:rPr>
              <w:t>。</w:t>
            </w:r>
            <w:r>
              <w:rPr>
                <w:rFonts w:hint="eastAsia" w:ascii="宋体" w:hAnsi="宋体" w:eastAsia="宋体" w:cs="宋体"/>
                <w:color w:val="000000"/>
                <w:sz w:val="28"/>
                <w:szCs w:val="28"/>
              </w:rPr>
              <w:t>系统科学与数学</w:t>
            </w:r>
            <w:r>
              <w:rPr>
                <w:rFonts w:hint="eastAsia" w:ascii="宋体" w:hAnsi="宋体" w:cs="宋体"/>
                <w:color w:val="000000"/>
                <w:sz w:val="28"/>
                <w:szCs w:val="28"/>
                <w:lang w:eastAsia="zh-CN"/>
              </w:rPr>
              <w:t>，</w:t>
            </w:r>
            <w:r>
              <w:rPr>
                <w:rFonts w:hint="eastAsia" w:ascii="宋体" w:hAnsi="宋体" w:eastAsia="宋体" w:cs="宋体"/>
                <w:color w:val="000000"/>
                <w:sz w:val="28"/>
                <w:szCs w:val="28"/>
              </w:rPr>
              <w:t>1-19[2025-12-16].https://link.cnki.net/urlid/11.2019.O1.20250708.1336.014.</w:t>
            </w:r>
          </w:p>
          <w:p w14:paraId="14DFF25B">
            <w:pPr>
              <w:snapToGrid w:val="0"/>
              <w:spacing w:line="280" w:lineRule="exact"/>
              <w:ind w:firstLine="560" w:firstLineChars="200"/>
              <w:jc w:val="both"/>
              <w:rPr>
                <w:rFonts w:hint="eastAsia" w:ascii="宋体" w:hAnsi="宋体" w:eastAsia="宋体" w:cs="宋体"/>
                <w:color w:val="000000"/>
                <w:sz w:val="28"/>
                <w:szCs w:val="28"/>
              </w:rPr>
            </w:pPr>
            <w:r>
              <w:rPr>
                <w:rFonts w:hint="eastAsia" w:ascii="宋体" w:hAnsi="宋体" w:eastAsia="宋体" w:cs="宋体"/>
                <w:color w:val="000000"/>
                <w:sz w:val="28"/>
                <w:szCs w:val="28"/>
              </w:rPr>
              <w:t>[</w:t>
            </w:r>
            <w:r>
              <w:rPr>
                <w:rFonts w:hint="eastAsia" w:ascii="宋体" w:hAnsi="宋体" w:cs="宋体"/>
                <w:color w:val="000000"/>
                <w:sz w:val="28"/>
                <w:szCs w:val="28"/>
                <w:lang w:val="en-US" w:eastAsia="zh-CN"/>
              </w:rPr>
              <w:t>4</w:t>
            </w:r>
            <w:r>
              <w:rPr>
                <w:rFonts w:hint="eastAsia" w:ascii="宋体" w:hAnsi="宋体" w:eastAsia="宋体" w:cs="宋体"/>
                <w:color w:val="000000"/>
                <w:sz w:val="28"/>
                <w:szCs w:val="28"/>
              </w:rPr>
              <w:t>]陈彦斌</w:t>
            </w:r>
            <w:r>
              <w:rPr>
                <w:rFonts w:hint="eastAsia" w:ascii="宋体" w:hAnsi="宋体" w:cs="宋体"/>
                <w:color w:val="000000"/>
                <w:sz w:val="28"/>
                <w:szCs w:val="28"/>
                <w:lang w:eastAsia="zh-CN"/>
              </w:rPr>
              <w:t>。</w:t>
            </w:r>
            <w:r>
              <w:rPr>
                <w:rFonts w:hint="eastAsia" w:ascii="宋体" w:hAnsi="宋体" w:eastAsia="宋体" w:cs="宋体"/>
                <w:color w:val="000000"/>
                <w:sz w:val="28"/>
                <w:szCs w:val="28"/>
              </w:rPr>
              <w:t>家庭服务场景下A/B测试驱动的界面与功能优化[C]//重庆市大数据和人工智能产业协会</w:t>
            </w:r>
            <w:r>
              <w:rPr>
                <w:rFonts w:hint="eastAsia" w:ascii="宋体" w:hAnsi="宋体" w:cs="宋体"/>
                <w:color w:val="000000"/>
                <w:sz w:val="28"/>
                <w:szCs w:val="28"/>
                <w:lang w:eastAsia="zh-CN"/>
              </w:rPr>
              <w:t>，</w:t>
            </w:r>
            <w:r>
              <w:rPr>
                <w:rFonts w:hint="eastAsia" w:ascii="宋体" w:hAnsi="宋体" w:eastAsia="宋体" w:cs="宋体"/>
                <w:color w:val="000000"/>
                <w:sz w:val="28"/>
                <w:szCs w:val="28"/>
              </w:rPr>
              <w:t>重庆建筑编辑部</w:t>
            </w:r>
            <w:r>
              <w:rPr>
                <w:rFonts w:hint="eastAsia" w:ascii="宋体" w:hAnsi="宋体" w:cs="宋体"/>
                <w:color w:val="000000"/>
                <w:sz w:val="28"/>
                <w:szCs w:val="28"/>
                <w:lang w:eastAsia="zh-CN"/>
              </w:rPr>
              <w:t>，</w:t>
            </w:r>
            <w:r>
              <w:rPr>
                <w:rFonts w:hint="eastAsia" w:ascii="宋体" w:hAnsi="宋体" w:eastAsia="宋体" w:cs="宋体"/>
                <w:color w:val="000000"/>
                <w:sz w:val="28"/>
                <w:szCs w:val="28"/>
              </w:rPr>
              <w:t>重庆市建筑协会</w:t>
            </w:r>
            <w:r>
              <w:rPr>
                <w:rFonts w:hint="eastAsia" w:ascii="宋体" w:hAnsi="宋体" w:cs="宋体"/>
                <w:color w:val="000000"/>
                <w:sz w:val="28"/>
                <w:szCs w:val="28"/>
                <w:lang w:eastAsia="zh-CN"/>
              </w:rPr>
              <w:t>。</w:t>
            </w:r>
            <w:r>
              <w:rPr>
                <w:rFonts w:hint="eastAsia" w:ascii="宋体" w:hAnsi="宋体" w:eastAsia="宋体" w:cs="宋体"/>
                <w:color w:val="000000"/>
                <w:sz w:val="28"/>
                <w:szCs w:val="28"/>
              </w:rPr>
              <w:t>智慧建筑与智能经济建设学术研讨会论文集（一）</w:t>
            </w:r>
            <w:r>
              <w:rPr>
                <w:rFonts w:hint="eastAsia" w:ascii="宋体" w:hAnsi="宋体" w:cs="宋体"/>
                <w:color w:val="000000"/>
                <w:sz w:val="28"/>
                <w:szCs w:val="28"/>
                <w:lang w:eastAsia="zh-CN"/>
              </w:rPr>
              <w:t>。</w:t>
            </w:r>
            <w:r>
              <w:rPr>
                <w:rFonts w:hint="eastAsia" w:ascii="宋体" w:hAnsi="宋体" w:eastAsia="宋体" w:cs="宋体"/>
                <w:color w:val="000000"/>
                <w:sz w:val="28"/>
                <w:szCs w:val="28"/>
              </w:rPr>
              <w:t>浙江澜海卫星科技有</w:t>
            </w:r>
            <w:r>
              <w:rPr>
                <w:rFonts w:hint="eastAsia" w:ascii="宋体" w:hAnsi="宋体" w:cs="宋体"/>
                <w:color w:val="000000"/>
                <w:sz w:val="28"/>
                <w:szCs w:val="28"/>
                <w:lang w:eastAsia="zh-CN"/>
              </w:rPr>
              <w:t>限公</w:t>
            </w:r>
            <w:r>
              <w:rPr>
                <w:rFonts w:hint="eastAsia" w:ascii="宋体" w:hAnsi="宋体" w:eastAsia="宋体" w:cs="宋体"/>
                <w:color w:val="000000"/>
                <w:sz w:val="28"/>
                <w:szCs w:val="28"/>
              </w:rPr>
              <w:t>司</w:t>
            </w:r>
            <w:r>
              <w:rPr>
                <w:rFonts w:hint="eastAsia" w:ascii="宋体" w:hAnsi="宋体" w:cs="宋体"/>
                <w:color w:val="000000"/>
                <w:sz w:val="28"/>
                <w:szCs w:val="28"/>
                <w:lang w:eastAsia="zh-CN"/>
              </w:rPr>
              <w:t>;</w:t>
            </w:r>
            <w:r>
              <w:rPr>
                <w:rFonts w:hint="eastAsia" w:ascii="宋体" w:hAnsi="宋体" w:eastAsia="宋体" w:cs="宋体"/>
                <w:color w:val="000000"/>
                <w:sz w:val="28"/>
                <w:szCs w:val="28"/>
              </w:rPr>
              <w:t>2025:142-145.DOI:10.26914/c.cnkihy.2025.013104.</w:t>
            </w:r>
          </w:p>
          <w:p w14:paraId="0B015BBC">
            <w:pPr>
              <w:snapToGrid w:val="0"/>
              <w:spacing w:line="280" w:lineRule="exact"/>
              <w:ind w:firstLine="560" w:firstLineChars="200"/>
              <w:jc w:val="both"/>
              <w:rPr>
                <w:rFonts w:hint="eastAsia" w:ascii="宋体" w:hAnsi="宋体" w:eastAsia="宋体" w:cs="宋体"/>
                <w:color w:val="000000"/>
                <w:sz w:val="28"/>
                <w:szCs w:val="28"/>
              </w:rPr>
            </w:pPr>
          </w:p>
          <w:p w14:paraId="45A28451">
            <w:pPr>
              <w:snapToGrid w:val="0"/>
              <w:jc w:val="left"/>
              <w:rPr>
                <w:rFonts w:hint="eastAsia" w:ascii="宋体" w:hAnsi="宋体" w:eastAsia="宋体" w:cs="宋体"/>
                <w:color w:val="000000"/>
                <w:sz w:val="28"/>
                <w:szCs w:val="28"/>
              </w:rPr>
            </w:pPr>
          </w:p>
          <w:p w14:paraId="2094D9CF">
            <w:pPr>
              <w:snapToGrid w:val="0"/>
              <w:jc w:val="left"/>
              <w:rPr>
                <w:rFonts w:hint="eastAsia" w:ascii="宋体" w:hAnsi="宋体" w:eastAsia="宋体" w:cs="宋体"/>
                <w:color w:val="000000"/>
                <w:sz w:val="28"/>
                <w:szCs w:val="28"/>
              </w:rPr>
            </w:pPr>
            <w:r>
              <w:rPr>
                <w:rFonts w:hint="eastAsia" w:ascii="宋体" w:hAnsi="宋体" w:eastAsia="宋体" w:cs="宋体"/>
                <w:color w:val="000000"/>
                <w:sz w:val="28"/>
                <w:szCs w:val="28"/>
              </w:rPr>
              <w:t>指导教师意见：</w:t>
            </w:r>
          </w:p>
          <w:p w14:paraId="54655387">
            <w:pPr>
              <w:snapToGrid w:val="0"/>
              <w:jc w:val="left"/>
              <w:rPr>
                <w:rFonts w:hint="eastAsia" w:ascii="宋体" w:hAnsi="宋体" w:eastAsia="宋体" w:cs="宋体"/>
                <w:color w:val="000000"/>
                <w:sz w:val="28"/>
                <w:szCs w:val="28"/>
              </w:rPr>
            </w:pPr>
          </w:p>
          <w:p w14:paraId="0B9FE849">
            <w:pPr>
              <w:snapToGrid w:val="0"/>
              <w:ind w:firstLine="1680" w:firstLineChars="600"/>
              <w:jc w:val="left"/>
              <w:rPr>
                <w:rFonts w:hint="eastAsia" w:ascii="宋体" w:hAnsi="宋体" w:eastAsia="宋体" w:cs="宋体"/>
                <w:color w:val="000000"/>
                <w:sz w:val="28"/>
                <w:szCs w:val="28"/>
              </w:rPr>
            </w:pPr>
          </w:p>
          <w:p w14:paraId="18DEFA5B">
            <w:pPr>
              <w:snapToGrid w:val="0"/>
              <w:spacing w:line="400" w:lineRule="exact"/>
              <w:ind w:firstLine="4480" w:firstLineChars="1600"/>
              <w:rPr>
                <w:rFonts w:hint="eastAsia" w:ascii="微软雅黑" w:hAnsi="微软雅黑" w:eastAsia="微软雅黑" w:cs="微软雅黑"/>
                <w:color w:val="000000"/>
                <w:sz w:val="24"/>
                <w:szCs w:val="24"/>
              </w:rPr>
            </w:pPr>
            <w:r>
              <w:rPr>
                <w:rFonts w:hint="eastAsia" w:ascii="宋体" w:hAnsi="宋体" w:eastAsia="宋体" w:cs="宋体"/>
                <w:color w:val="000000"/>
                <w:sz w:val="28"/>
                <w:szCs w:val="28"/>
              </w:rPr>
              <w:t>指导教师签名：                年    月    日</w:t>
            </w:r>
          </w:p>
        </w:tc>
      </w:tr>
    </w:tbl>
    <w:p w14:paraId="5ACAFB49">
      <w:pPr>
        <w:spacing w:line="280" w:lineRule="exact"/>
        <w:ind w:left="90" w:leftChars="43" w:firstLine="360" w:firstLineChars="150"/>
        <w:rPr>
          <w:sz w:val="24"/>
          <w:szCs w:val="24"/>
        </w:rPr>
      </w:pPr>
    </w:p>
    <w:sectPr>
      <w:pgSz w:w="11906" w:h="16838"/>
      <w:pgMar w:top="1090" w:right="1800" w:bottom="935"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B899C8"/>
    <w:multiLevelType w:val="singleLevel"/>
    <w:tmpl w:val="92B899C8"/>
    <w:lvl w:ilvl="0" w:tentative="0">
      <w:start w:val="1"/>
      <w:numFmt w:val="chineseCounting"/>
      <w:suff w:val="nothing"/>
      <w:lvlText w:val="第%1，"/>
      <w:lvlJc w:val="left"/>
      <w:pPr>
        <w:ind w:left="560" w:leftChars="0" w:firstLine="0" w:firstLineChars="0"/>
      </w:pPr>
      <w:rPr>
        <w:rFonts w:hint="eastAsia"/>
      </w:rPr>
    </w:lvl>
  </w:abstractNum>
  <w:abstractNum w:abstractNumId="1">
    <w:nsid w:val="4D4B881F"/>
    <w:multiLevelType w:val="singleLevel"/>
    <w:tmpl w:val="4D4B881F"/>
    <w:lvl w:ilvl="0" w:tentative="0">
      <w:start w:val="1"/>
      <w:numFmt w:val="chineseCounting"/>
      <w:suff w:val="nothing"/>
      <w:lvlText w:val="第%1，"/>
      <w:lvlJc w:val="left"/>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794796B"/>
    <w:rsid w:val="00005841"/>
    <w:rsid w:val="00026F62"/>
    <w:rsid w:val="00050A5D"/>
    <w:rsid w:val="00053F1A"/>
    <w:rsid w:val="00062145"/>
    <w:rsid w:val="000659C4"/>
    <w:rsid w:val="00066234"/>
    <w:rsid w:val="00083572"/>
    <w:rsid w:val="00083E57"/>
    <w:rsid w:val="00096D50"/>
    <w:rsid w:val="000B245E"/>
    <w:rsid w:val="000B375F"/>
    <w:rsid w:val="000C5F05"/>
    <w:rsid w:val="000C79F3"/>
    <w:rsid w:val="000D504E"/>
    <w:rsid w:val="000E0128"/>
    <w:rsid w:val="000E7324"/>
    <w:rsid w:val="0011110D"/>
    <w:rsid w:val="00111769"/>
    <w:rsid w:val="00130540"/>
    <w:rsid w:val="00134C4A"/>
    <w:rsid w:val="00135327"/>
    <w:rsid w:val="00136448"/>
    <w:rsid w:val="00142AE2"/>
    <w:rsid w:val="001520FF"/>
    <w:rsid w:val="00155A13"/>
    <w:rsid w:val="001661E2"/>
    <w:rsid w:val="00181B98"/>
    <w:rsid w:val="001A7914"/>
    <w:rsid w:val="001B0C74"/>
    <w:rsid w:val="001C2F5B"/>
    <w:rsid w:val="001D3939"/>
    <w:rsid w:val="001E0B69"/>
    <w:rsid w:val="001E4C91"/>
    <w:rsid w:val="001E52E0"/>
    <w:rsid w:val="001F7696"/>
    <w:rsid w:val="00203B9D"/>
    <w:rsid w:val="00215ECE"/>
    <w:rsid w:val="00224DF8"/>
    <w:rsid w:val="00231B79"/>
    <w:rsid w:val="0023254A"/>
    <w:rsid w:val="00236B75"/>
    <w:rsid w:val="00236E3C"/>
    <w:rsid w:val="00237789"/>
    <w:rsid w:val="0025101D"/>
    <w:rsid w:val="0025139A"/>
    <w:rsid w:val="00255CF8"/>
    <w:rsid w:val="00265552"/>
    <w:rsid w:val="00265818"/>
    <w:rsid w:val="00270281"/>
    <w:rsid w:val="00296367"/>
    <w:rsid w:val="002B1D04"/>
    <w:rsid w:val="002C3B5F"/>
    <w:rsid w:val="002E0EE0"/>
    <w:rsid w:val="002E3812"/>
    <w:rsid w:val="002E706E"/>
    <w:rsid w:val="002E7990"/>
    <w:rsid w:val="002F3DCC"/>
    <w:rsid w:val="00307EFE"/>
    <w:rsid w:val="003137A6"/>
    <w:rsid w:val="00322ED1"/>
    <w:rsid w:val="003239DC"/>
    <w:rsid w:val="00327FA8"/>
    <w:rsid w:val="00340799"/>
    <w:rsid w:val="003510AD"/>
    <w:rsid w:val="00353CB5"/>
    <w:rsid w:val="00355012"/>
    <w:rsid w:val="00357516"/>
    <w:rsid w:val="00361040"/>
    <w:rsid w:val="00367FF7"/>
    <w:rsid w:val="00374679"/>
    <w:rsid w:val="00382BE3"/>
    <w:rsid w:val="00385C5A"/>
    <w:rsid w:val="003A5D15"/>
    <w:rsid w:val="003B3317"/>
    <w:rsid w:val="003C141A"/>
    <w:rsid w:val="003C289D"/>
    <w:rsid w:val="003C51B8"/>
    <w:rsid w:val="003D7243"/>
    <w:rsid w:val="003E4F36"/>
    <w:rsid w:val="003F3574"/>
    <w:rsid w:val="0040670B"/>
    <w:rsid w:val="00412EAA"/>
    <w:rsid w:val="00415F07"/>
    <w:rsid w:val="00420A9C"/>
    <w:rsid w:val="00433372"/>
    <w:rsid w:val="00442ACF"/>
    <w:rsid w:val="00445C85"/>
    <w:rsid w:val="004775F8"/>
    <w:rsid w:val="00487C6B"/>
    <w:rsid w:val="00492281"/>
    <w:rsid w:val="00492286"/>
    <w:rsid w:val="00496F30"/>
    <w:rsid w:val="004A0469"/>
    <w:rsid w:val="004A078E"/>
    <w:rsid w:val="004A0A56"/>
    <w:rsid w:val="004C34F9"/>
    <w:rsid w:val="0053295F"/>
    <w:rsid w:val="00541A5F"/>
    <w:rsid w:val="00551DB8"/>
    <w:rsid w:val="00582DFD"/>
    <w:rsid w:val="00594CED"/>
    <w:rsid w:val="005D3623"/>
    <w:rsid w:val="005D4CE3"/>
    <w:rsid w:val="005F6996"/>
    <w:rsid w:val="00610CFB"/>
    <w:rsid w:val="00634FF9"/>
    <w:rsid w:val="0064466B"/>
    <w:rsid w:val="00652BA2"/>
    <w:rsid w:val="0065418B"/>
    <w:rsid w:val="006712A3"/>
    <w:rsid w:val="00677547"/>
    <w:rsid w:val="00677E8E"/>
    <w:rsid w:val="006915A0"/>
    <w:rsid w:val="006934FD"/>
    <w:rsid w:val="006D062E"/>
    <w:rsid w:val="006F211E"/>
    <w:rsid w:val="00703B55"/>
    <w:rsid w:val="007153CD"/>
    <w:rsid w:val="0074095B"/>
    <w:rsid w:val="007420B6"/>
    <w:rsid w:val="00746998"/>
    <w:rsid w:val="00751364"/>
    <w:rsid w:val="00755708"/>
    <w:rsid w:val="0076096D"/>
    <w:rsid w:val="0076586E"/>
    <w:rsid w:val="00771549"/>
    <w:rsid w:val="00771CFE"/>
    <w:rsid w:val="00783FDF"/>
    <w:rsid w:val="007860A5"/>
    <w:rsid w:val="007915C5"/>
    <w:rsid w:val="007921EF"/>
    <w:rsid w:val="007A057E"/>
    <w:rsid w:val="007B18C4"/>
    <w:rsid w:val="007B3DB3"/>
    <w:rsid w:val="007B56F4"/>
    <w:rsid w:val="007C0119"/>
    <w:rsid w:val="007C4B55"/>
    <w:rsid w:val="007D0693"/>
    <w:rsid w:val="007E1DDD"/>
    <w:rsid w:val="007F4DED"/>
    <w:rsid w:val="00814512"/>
    <w:rsid w:val="00814773"/>
    <w:rsid w:val="008642FA"/>
    <w:rsid w:val="00894257"/>
    <w:rsid w:val="009132DE"/>
    <w:rsid w:val="009238C9"/>
    <w:rsid w:val="00935384"/>
    <w:rsid w:val="00935C4F"/>
    <w:rsid w:val="009434A8"/>
    <w:rsid w:val="009521BB"/>
    <w:rsid w:val="00995EC8"/>
    <w:rsid w:val="009A00F3"/>
    <w:rsid w:val="009B6C65"/>
    <w:rsid w:val="009C6875"/>
    <w:rsid w:val="009E0064"/>
    <w:rsid w:val="009E68A9"/>
    <w:rsid w:val="00A007E1"/>
    <w:rsid w:val="00A212F3"/>
    <w:rsid w:val="00A34404"/>
    <w:rsid w:val="00A37F38"/>
    <w:rsid w:val="00A43FEF"/>
    <w:rsid w:val="00A52DC3"/>
    <w:rsid w:val="00A867EC"/>
    <w:rsid w:val="00AA6830"/>
    <w:rsid w:val="00AC0911"/>
    <w:rsid w:val="00AC74DB"/>
    <w:rsid w:val="00AD2B13"/>
    <w:rsid w:val="00AD7766"/>
    <w:rsid w:val="00AF19EF"/>
    <w:rsid w:val="00AF44C5"/>
    <w:rsid w:val="00B04751"/>
    <w:rsid w:val="00B05310"/>
    <w:rsid w:val="00B1123B"/>
    <w:rsid w:val="00B16C24"/>
    <w:rsid w:val="00B219BB"/>
    <w:rsid w:val="00B456C8"/>
    <w:rsid w:val="00B52B1E"/>
    <w:rsid w:val="00B61903"/>
    <w:rsid w:val="00B66FF4"/>
    <w:rsid w:val="00B675F5"/>
    <w:rsid w:val="00B70306"/>
    <w:rsid w:val="00B757E3"/>
    <w:rsid w:val="00B83E12"/>
    <w:rsid w:val="00B83FD0"/>
    <w:rsid w:val="00B84278"/>
    <w:rsid w:val="00B91AC2"/>
    <w:rsid w:val="00B953A5"/>
    <w:rsid w:val="00B96803"/>
    <w:rsid w:val="00BB6BC8"/>
    <w:rsid w:val="00BD7446"/>
    <w:rsid w:val="00BF5FC5"/>
    <w:rsid w:val="00C10902"/>
    <w:rsid w:val="00C12719"/>
    <w:rsid w:val="00C146AF"/>
    <w:rsid w:val="00C159E7"/>
    <w:rsid w:val="00C24762"/>
    <w:rsid w:val="00C30285"/>
    <w:rsid w:val="00C40175"/>
    <w:rsid w:val="00C566F7"/>
    <w:rsid w:val="00C60B8F"/>
    <w:rsid w:val="00C765C9"/>
    <w:rsid w:val="00C844C0"/>
    <w:rsid w:val="00C90897"/>
    <w:rsid w:val="00C932A5"/>
    <w:rsid w:val="00C95DBC"/>
    <w:rsid w:val="00CA396D"/>
    <w:rsid w:val="00CB0ED2"/>
    <w:rsid w:val="00CB17C2"/>
    <w:rsid w:val="00CC1EC0"/>
    <w:rsid w:val="00CD1F31"/>
    <w:rsid w:val="00CE2339"/>
    <w:rsid w:val="00CE3928"/>
    <w:rsid w:val="00CF29E0"/>
    <w:rsid w:val="00CF34BF"/>
    <w:rsid w:val="00CF57D5"/>
    <w:rsid w:val="00D00948"/>
    <w:rsid w:val="00D1158B"/>
    <w:rsid w:val="00D35EA5"/>
    <w:rsid w:val="00D376A9"/>
    <w:rsid w:val="00D45F69"/>
    <w:rsid w:val="00D55B81"/>
    <w:rsid w:val="00D747FF"/>
    <w:rsid w:val="00D75A12"/>
    <w:rsid w:val="00D817CE"/>
    <w:rsid w:val="00D90ECA"/>
    <w:rsid w:val="00D91CE9"/>
    <w:rsid w:val="00D94D3C"/>
    <w:rsid w:val="00D9761C"/>
    <w:rsid w:val="00D97A77"/>
    <w:rsid w:val="00DA7857"/>
    <w:rsid w:val="00DD7E2D"/>
    <w:rsid w:val="00DE0916"/>
    <w:rsid w:val="00DE1274"/>
    <w:rsid w:val="00DF1A72"/>
    <w:rsid w:val="00DF317E"/>
    <w:rsid w:val="00E154B5"/>
    <w:rsid w:val="00E3422F"/>
    <w:rsid w:val="00E376F4"/>
    <w:rsid w:val="00E40913"/>
    <w:rsid w:val="00E540BB"/>
    <w:rsid w:val="00E86D1A"/>
    <w:rsid w:val="00E96F8F"/>
    <w:rsid w:val="00E975C3"/>
    <w:rsid w:val="00EA632B"/>
    <w:rsid w:val="00EB2E48"/>
    <w:rsid w:val="00EC2A27"/>
    <w:rsid w:val="00EC679E"/>
    <w:rsid w:val="00EF5442"/>
    <w:rsid w:val="00F14241"/>
    <w:rsid w:val="00F16BB3"/>
    <w:rsid w:val="00F2342E"/>
    <w:rsid w:val="00F30842"/>
    <w:rsid w:val="00F55FB1"/>
    <w:rsid w:val="00F8253C"/>
    <w:rsid w:val="00F86E76"/>
    <w:rsid w:val="00F96467"/>
    <w:rsid w:val="00FA3E34"/>
    <w:rsid w:val="00FF2FD4"/>
    <w:rsid w:val="150E2F36"/>
    <w:rsid w:val="1F15434A"/>
    <w:rsid w:val="24167185"/>
    <w:rsid w:val="3D9B0BFE"/>
    <w:rsid w:val="4DBD58EF"/>
    <w:rsid w:val="519E5822"/>
    <w:rsid w:val="544D56AD"/>
    <w:rsid w:val="6794796B"/>
    <w:rsid w:val="7DEF608B"/>
    <w:rsid w:val="7FD20D9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spacing w:before="100" w:beforeAutospacing="1" w:after="100" w:afterAutospacing="1"/>
      <w:jc w:val="left"/>
    </w:pPr>
    <w:rPr>
      <w:rFonts w:hint="eastAsia" w:ascii="宋体" w:hAnsi="宋体" w:eastAsia="宋体" w:cs="宋体"/>
      <w:b/>
      <w:kern w:val="44"/>
      <w:sz w:val="48"/>
      <w:szCs w:val="48"/>
      <w:lang w:val="en-US" w:eastAsia="zh-CN" w:bidi="ar-SA"/>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footer"/>
    <w:basedOn w:val="1"/>
    <w:uiPriority w:val="0"/>
    <w:pPr>
      <w:tabs>
        <w:tab w:val="center" w:pos="4153"/>
        <w:tab w:val="right" w:pos="8306"/>
      </w:tabs>
      <w:snapToGrid w:val="0"/>
      <w:jc w:val="left"/>
    </w:pPr>
    <w:rPr>
      <w:sz w:val="18"/>
      <w:szCs w:val="18"/>
    </w:rPr>
  </w:style>
  <w:style w:type="paragraph" w:styleId="4">
    <w:name w:val="header"/>
    <w:basedOn w:val="1"/>
    <w:qFormat/>
    <w:uiPriority w:val="0"/>
    <w:pPr>
      <w:pBdr>
        <w:bottom w:val="single" w:color="auto" w:sz="6" w:space="1"/>
      </w:pBdr>
      <w:tabs>
        <w:tab w:val="center" w:pos="4153"/>
        <w:tab w:val="right" w:pos="8306"/>
      </w:tabs>
      <w:snapToGrid w:val="0"/>
      <w:jc w:val="center"/>
    </w:pPr>
    <w:rPr>
      <w:sz w:val="18"/>
      <w:szCs w:val="18"/>
    </w:rPr>
  </w:style>
  <w:style w:type="character" w:styleId="7">
    <w:name w:val="Strong"/>
    <w:qFormat/>
    <w:uiPriority w:val="0"/>
    <w:rPr>
      <w:b/>
      <w:bCs/>
    </w:rPr>
  </w:style>
  <w:style w:type="character" w:styleId="8">
    <w:name w:val="Hyperlink"/>
    <w:qFormat/>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uyuhan\AppData\Roaming\kingsoft\office6\templates\download\7ca7e885-0bec-479a-a221-0953e8a9b946\&#24320;&#39064;&#25253;&#21578;&#20070;.doc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4b5c5395-e4eb-49ca-bfd6-8ad26a43f5d6</errorID>
      <errorWord>:</errorWord>
      <group>L1_Format</group>
      <groupName>格式问题</groupName>
      <ability>L2_HalfPunc</ability>
      <abilityName>全半角检查</abilityName>
      <candidateList>
        <item>：</item>
      </candidateList>
      <explain>文本全半角错误。</explain>
      <paraID>508958FB</paraID>
      <start>6</start>
      <end>7</end>
      <status>modified</status>
      <modifiedWord>：</modifiedWord>
      <trackRevisions>false</trackRevisions>
    </reviewItem>
    <reviewItem>
      <errorID>92c2fdd4-9829-4f16-89a3-81dcd1d1b61c</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61193752</paraID>
      <start>0</start>
      <end>3</end>
      <status>modified</status>
      <modifiedWord>（1）</modifiedWord>
      <trackRevisions>false</trackRevisions>
    </reviewItem>
    <reviewItem>
      <errorID>247e2122-a59e-4af6-8761-419f69804318</errorID>
      <errorWord>沉默成本</errorWord>
      <group>L1_Word</group>
      <groupName>字词问题</groupName>
      <ability>L2_Typo</ability>
      <abilityName>字词错误</abilityName>
      <candidateList>
        <item>沉没成本</item>
      </candidateList>
      <explain/>
      <paraID>  290DEB</paraID>
      <start>71</start>
      <end>75</end>
      <status>modified</status>
      <modifiedWord>沉没成本</modifiedWord>
      <trackRevisions>false</trackRevisions>
    </reviewItem>
    <reviewItem>
      <errorID>cf86d86c-fe94-4b5e-9f3e-7b65f6cd3d78</errorID>
      <errorWord>对于加</errorWord>
      <group>L1_Word</group>
      <groupName>字词问题</groupName>
      <ability>L2_Typo</ability>
      <abilityName>字词错误</abilityName>
      <candidateList>
        <item>对于</item>
      </candidateList>
      <explain>〈介〉引进对象或事物的关系者：～公共财产，无论大小，我们都应该爱惜｜大家～这个问题的意见是一致的。</explain>
      <paraID>3A721895</paraID>
      <start>0</start>
      <end>2</end>
      <status>modified</status>
      <modifiedWord>对于</modifiedWord>
      <trackRevisions>false</trackRevisions>
    </reviewItem>
    <reviewItem>
      <errorID>ab691bf2-c402-4180-8aa8-7f23c13c1b38</errorID>
      <errorWord>杂</errorWord>
      <group>L1_Word</group>
      <groupName>字词问题</groupName>
      <ability>L2_Typo</ability>
      <abilityName>字词错误</abilityName>
      <candidateList>
        <item>杂的</item>
      </candidateList>
      <explain/>
      <paraID>41096A35</paraID>
      <start>8</start>
      <end>10</end>
      <status>modified</status>
      <modifiedWord>杂的</modifiedWord>
      <trackRevisions>false</trackRevisions>
    </reviewItem>
    <reviewItem>
      <errorID>0d2c3b9a-bd64-4d79-aca6-aebf83f2d837</errorID>
      <errorWord>对于</errorWord>
      <group>L1_Word</group>
      <groupName>字词问题</groupName>
      <ability>L2_Typo</ability>
      <abilityName>字词错误</abilityName>
      <candidateList>
        <item>对</item>
      </candidateList>
      <explain>（對）duì❶回答：～答｜无言以～。❷〈动〉对待；对付：～事不～人｜～症下药｜刀～刀，枪～枪。❸〈动〉朝着；向着（常跟“着”）：～着镜子理理头发｜枪口～着敌人。❹二者相对；彼此相向：～调｜～流｜～立｜～抗。❺对面的；敌对的：～岸｜～方｜～手｜作～。❻〈动〉使两个东西配合或接触：～对子｜把门～上｜～个火儿。❼〈动〉投合；适合：～劲儿｜～心思｜两个人越说越投缘，越说越～脾气。❽〈动〉把两个东西放在一起互相比较，看是否符合；对证：～质｜校～｜～表｜～笔迹｜～号码。❾〈动〉调整使合于一定标准：～好照相机的焦距｜拿胡琴来～～弦。❿〈形〉相合；正确；正常：你的话很～｜～，就这么办｜数目不～，还差得多｜神气不～。○11动掺和（多指液体）：茶壶里～点儿开水｜朱砂里～上一点儿藤黄。○12平均分成两份：～半儿｜～开纸。○13（～儿）〈名〉对子：喜～｜五言～儿。○14（～儿）〈量〉双：一～鹦鹉｜一～儿椅子｜一～模范夫妻。○15介用法基本上跟“对于”相同：～他表示谢意｜决不～困难屈服｜你的话～我有启发｜大家～他这件事很不满意。注意▲“对”和“对于”的用法差不多，但是“对”所保留的动词性较强，因此有些用“对”的句子不能改用“对于”，如上面头两个例子。○16（Duì）〈名〉姓。</explain>
      <paraID>41096A35</paraID>
      <start>64</start>
      <end>65</end>
      <status>modified</status>
      <modifiedWord>对</modifiedWord>
      <trackRevisions>false</trackRevisions>
    </reviewItem>
    <reviewItem>
      <errorID>aa350482-3cbb-490e-9c13-efa3d2999a06</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4CB7341E</paraID>
      <start>11</start>
      <end>13</end>
      <status>modified</status>
      <modifiedWord>”“</modifiedWord>
      <trackRevisions>false</trackRevisions>
    </reviewItem>
    <reviewItem>
      <errorID>bd745804-34dc-479a-9380-66b505eab0c8</errorID>
      <errorWord>作</errorWord>
      <group>L1_Word</group>
      <groupName>字词问题</groupName>
      <ability>L2_Typo</ability>
      <abilityName>字词错误</abilityName>
      <candidateList>
        <item>做</item>
      </candidateList>
      <explain>存在发音相同字词的误用。</explain>
      <paraID>4CB7341E</paraID>
      <start>23</start>
      <end>24</end>
      <status>modified</status>
      <modifiedWord>做</modifiedWord>
      <trackRevisions>false</trackRevisions>
    </reviewItem>
    <reviewItem>
      <errorID>9a7458c6-ba47-409e-bcaf-641f4589359f</errorID>
      <errorWord>直接雇佣</errorWord>
      <group>L1_Word</group>
      <groupName>字词问题</groupName>
      <ability>L2_Typo</ability>
      <abilityName>字词错误</abilityName>
      <candidateList>
        <item>直接雇用</item>
      </candidateList>
      <explain/>
      <paraID>4CB7341E</paraID>
      <start>47</start>
      <end>51</end>
      <status>modified</status>
      <modifiedWord>直接雇用</modifiedWord>
      <trackRevisions>false</trackRevisions>
    </reviewItem>
    <reviewItem>
      <errorID>974310eb-8f37-4996-8ac5-3cb5db45cd66</errorID>
      <errorWord>繁琐</errorWord>
      <group>L1_Word</group>
      <groupName>字词问题</groupName>
      <ability>L2_Typo</ability>
      <abilityName>字词错误</abilityName>
      <candidateList>
        <item>烦琐</item>
      </candidateList>
      <explain/>
      <paraID>7CA610C2</paraID>
      <start>21</start>
      <end>23</end>
      <status>modified</status>
      <modifiedWord>烦琐</modifiedWord>
      <trackRevisions>false</trackRevisions>
    </reviewItem>
    <reviewItem>
      <errorID>fa9e2fce-4e67-40d8-86e5-191f44610e59</errorID>
      <errorWord>-</errorWord>
      <group>L1_Format</group>
      <groupName>格式问题</groupName>
      <ability>L2_HalfPunc</ability>
      <abilityName>全半角检查</abilityName>
      <candidateList>
        <item>－</item>
      </candidateList>
      <explain>文本全半角错误。</explain>
      <paraID>2DC7F867</paraID>
      <start>15</start>
      <end>16</end>
      <status>modified</status>
      <modifiedWord>－</modifiedWord>
      <trackRevisions>false</trackRevisions>
    </reviewItem>
    <reviewItem>
      <errorID>0e7f2884-3961-4c64-b275-fd883f29dcc8</errorID>
      <errorWord>-</errorWord>
      <group>L1_Format</group>
      <groupName>格式问题</groupName>
      <ability>L2_HalfPunc</ability>
      <abilityName>全半角检查</abilityName>
      <candidateList>
        <item>－</item>
      </candidateList>
      <explain>文本全半角错误。</explain>
      <paraID>2DC7F867</paraID>
      <start>18</start>
      <end>19</end>
      <status>modified</status>
      <modifiedWord>－</modifiedWord>
      <trackRevisions>false</trackRevisions>
    </reviewItem>
    <reviewItem>
      <errorID>e9cb0d08-32fc-4393-800f-a052721510b1</errorID>
      <errorWord>10-11周</errorWord>
      <group>L1_Word</group>
      <groupName>字词问题</groupName>
      <ability>L2_Typo</ability>
      <abilityName>字词错误</abilityName>
      <candidateList>
        <item>10～11周</item>
      </candidateList>
      <explain/>
      <paraID>783A683A</paraID>
      <start>1</start>
      <end>7</end>
      <status>modified</status>
      <modifiedWord>10～11周</modifiedWord>
      <trackRevisions>false</trackRevisions>
    </reviewItem>
    <reviewItem>
      <errorID>a0dbb135-63fe-4804-8d93-23fa4031406f</errorID>
      <errorWord>,</errorWord>
      <group>L1_Format</group>
      <groupName>格式问题</groupName>
      <ability>L2_HalfPunc</ability>
      <abilityName>全半角检查</abilityName>
      <candidateList>
        <item>，</item>
      </candidateList>
      <explain>文本全半角错误。</explain>
      <paraID>3CBA9923</paraID>
      <start>5</start>
      <end>6</end>
      <status>modified</status>
      <modifiedWord>，</modifiedWord>
      <trackRevisions>false</trackRevisions>
    </reviewItem>
    <reviewItem>
      <errorID>035b3aa8-1fd7-432e-ab25-9443dcd74c1a</errorID>
      <errorWord>,</errorWord>
      <group>L1_Format</group>
      <groupName>格式问题</groupName>
      <ability>L2_HalfPunc</ability>
      <abilityName>全半角检查</abilityName>
      <candidateList>
        <item>，</item>
      </candidateList>
      <explain>文本全半角错误。</explain>
      <paraID>3CBA9923</paraID>
      <start>8</start>
      <end>9</end>
      <status>modified</status>
      <modifiedWord>，</modifiedWord>
      <trackRevisions>false</trackRevisions>
    </reviewItem>
    <reviewItem>
      <errorID>cab15571-bdaa-4d47-abbb-e9ea5645b1c5</errorID>
      <errorWord>.</errorWord>
      <group>L1_Format</group>
      <groupName>格式问题</groupName>
      <ability>L2_HalfPunc</ability>
      <abilityName>全半角检查</abilityName>
      <candidateList>
        <item>。</item>
      </candidateList>
      <explain>文本全半角错误。</explain>
      <paraID>3CBA9923</paraID>
      <start>11</start>
      <end>12</end>
      <status>modified</status>
      <modifiedWord>。</modifiedWord>
      <trackRevisions>false</trackRevisions>
    </reviewItem>
    <reviewItem>
      <errorID>a0933add-5a70-43d3-96fd-fa6556914f6b</errorID>
      <errorWord>.</errorWord>
      <group>L1_Format</group>
      <groupName>格式问题</groupName>
      <ability>L2_HalfPunc</ability>
      <abilityName>全半角检查</abilityName>
      <candidateList>
        <item>。</item>
      </candidateList>
      <explain>文本全半角错误。</explain>
      <paraID>3CBA9923</paraID>
      <start>48</start>
      <end>49</end>
      <status>modified</status>
      <modifiedWord>。</modifiedWord>
      <trackRevisions>false</trackRevisions>
    </reviewItem>
    <reviewItem>
      <errorID>9714c80b-42c9-4cde-bb46-31ece4f16826</errorID>
      <errorWord>,</errorWord>
      <group>L1_Format</group>
      <groupName>格式问题</groupName>
      <ability>L2_HalfPunc</ability>
      <abilityName>全半角检查</abilityName>
      <candidateList>
        <item>，</item>
      </candidateList>
      <explain>文本全半角错误。</explain>
      <paraID>3CBA9923</paraID>
      <start>56</start>
      <end>57</end>
      <status>modified</status>
      <modifiedWord>，</modifiedWord>
      <trackRevisions>false</trackRevisions>
    </reviewItem>
    <reviewItem>
      <errorID>4594e72a-0b48-485f-ab12-5f8e1833a362</errorID>
      <errorWord>.</errorWord>
      <group>L1_Format</group>
      <groupName>格式问题</groupName>
      <ability>L2_HalfPunc</ability>
      <abilityName>全半角检查</abilityName>
      <candidateList>
        <item>。</item>
      </candidateList>
      <explain>文本全半角错误。</explain>
      <paraID>14DFF25B</paraID>
      <start>6</start>
      <end>7</end>
      <status>modified</status>
      <modifiedWord>。</modifiedWord>
      <trackRevisions>false</trackRevisions>
    </reviewItem>
    <reviewItem>
      <errorID>9a5a15d1-e914-430e-ad68-58857b9f9c70</errorID>
      <errorWord>,</errorWord>
      <group>L1_Format</group>
      <groupName>格式问题</groupName>
      <ability>L2_HalfPunc</ability>
      <abilityName>全半角检查</abilityName>
      <candidateList>
        <item>，</item>
      </candidateList>
      <explain>文本全半角错误。</explain>
      <paraID>14DFF25B</paraID>
      <start>49</start>
      <end>50</end>
      <status>modified</status>
      <modifiedWord>，</modifiedWord>
      <trackRevisions>false</trackRevisions>
    </reviewItem>
    <reviewItem>
      <errorID>1f52a91e-9122-4d97-8887-71dbfd90a987</errorID>
      <errorWord>,</errorWord>
      <group>L1_Format</group>
      <groupName>格式问题</groupName>
      <ability>L2_HalfPunc</ability>
      <abilityName>全半角检查</abilityName>
      <candidateList>
        <item>，</item>
      </candidateList>
      <explain>文本全半角错误。</explain>
      <paraID>14DFF25B</paraID>
      <start>57</start>
      <end>58</end>
      <status>modified</status>
      <modifiedWord>，</modifiedWord>
      <trackRevisions>false</trackRevisions>
    </reviewItem>
    <reviewItem>
      <errorID>c46aaa52-cc71-4149-88d4-f2990d5d7be1</errorID>
      <errorWord>.</errorWord>
      <group>L1_Format</group>
      <groupName>格式问题</groupName>
      <ability>L2_HalfPunc</ability>
      <abilityName>全半角检查</abilityName>
      <candidateList>
        <item>。</item>
      </candidateList>
      <explain>文本全半角错误。</explain>
      <paraID>14DFF25B</paraID>
      <start>65</start>
      <end>66</end>
      <status>modified</status>
      <modifiedWord>。</modifiedWord>
      <trackRevisions>false</trackRevisions>
    </reviewItem>
    <reviewItem>
      <errorID>0feed369-de04-4562-834b-20338179e1b8</errorID>
      <errorWord>.</errorWord>
      <group>L1_Format</group>
      <groupName>格式问题</groupName>
      <ability>L2_HalfPunc</ability>
      <abilityName>全半角检查</abilityName>
      <candidateList>
        <item>。</item>
      </candidateList>
      <explain>文本全半角错误。</explain>
      <paraID>14DFF25B</paraID>
      <start>88</start>
      <end>89</end>
      <status>modified</status>
      <modifiedWord>。</modifiedWord>
      <trackRevisions>false</trackRevisions>
    </reviewItem>
    <reviewItem>
      <errorID>ca246483-0031-4ede-b39e-a44bd96384ca</errorID>
      <errorWord>限</errorWord>
      <group>L1_Word</group>
      <groupName>字词问题</groupName>
      <ability>L2_Typo</ability>
      <abilityName>字词错误</abilityName>
      <candidateList>
        <item>限公</item>
      </candidateList>
      <explain/>
      <paraID>14DFF25B</paraID>
      <start>98</start>
      <end>100</end>
      <status>modified</status>
      <modifiedWord>限公</modifiedWord>
      <trackRevisions>false</trackRevisions>
    </reviewItem>
    <reviewItem>
      <errorID>cbaaf14c-f806-4add-9966-b406ae880f88</errorID>
      <errorWord>;,</errorWord>
      <group>L1_Punc</group>
      <groupName>标点问题</groupName>
      <ability>L2_Punc</ability>
      <abilityName>标点符号检查</abilityName>
      <candidateList>
        <item>;</item>
      </candidateList>
      <explain/>
      <paraID>14DFF25B</paraID>
      <start>101</start>
      <end>102</end>
      <status>modified</status>
      <modifiedWord>;</modifiedWord>
      <trackRevisions>false</trackRevisions>
    </reviewItem>
  </reviewItems>
  <config/>
</contractReview>
</file>

<file path=customXml/itemProps1.xml><?xml version="1.0" encoding="utf-8"?>
<ds:datastoreItem xmlns:ds="http://schemas.openxmlformats.org/officeDocument/2006/customXml" ds:itemID="{e2c58beb-d5f4-4af1-a8da-26d4ee5fc395}">
  <ds:schemaRefs/>
</ds:datastoreItem>
</file>

<file path=docProps/app.xml><?xml version="1.0" encoding="utf-8"?>
<Properties xmlns="http://schemas.openxmlformats.org/officeDocument/2006/extended-properties" xmlns:vt="http://schemas.openxmlformats.org/officeDocument/2006/docPropsVTypes">
  <Template>开题报告书.docx</Template>
  <Pages>5</Pages>
  <Words>2765</Words>
  <Characters>3199</Characters>
  <Lines>16</Lines>
  <Paragraphs>4</Paragraphs>
  <TotalTime>74</TotalTime>
  <ScaleCrop>false</ScaleCrop>
  <LinksUpToDate>false</LinksUpToDate>
  <CharactersWithSpaces>3312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2025-12-13T05:28:00Z</dcterms:created>
  <dc:creator>wyh'</dc:creator>
  <cp:lastModifiedBy>wyh'</cp:lastModifiedBy>
  <dcterms:modified xsi:type="dcterms:W3CDTF">2025-12-16T08:05:08Z</dcterms:modified>
  <dc:title>华中农业大学楚天学院毕业论文（设计）开题报告书</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ED55F83C7C8A418CADA286E0E63A852C_11</vt:lpwstr>
  </property>
  <property fmtid="{D5CDD505-2E9C-101B-9397-08002B2CF9AE}" pid="4" name="KSOTemplateUUID">
    <vt:lpwstr>v1.0_mb_Pma7hQ2xyiZVn5O3g2MwwQ==</vt:lpwstr>
  </property>
  <property fmtid="{D5CDD505-2E9C-101B-9397-08002B2CF9AE}" pid="5" name="KSOTemplateDocerSaveRecord">
    <vt:lpwstr>eyJoZGlkIjoiOTMzMDJiYTJmNTJhYWU4ZjJlNGRhNTk3NGY0YzA2MmEiLCJ1c2VySWQiOiI4Nzk3ODM4OTMifQ==</vt:lpwstr>
  </property>
</Properties>
</file>