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left"/>
      </w:pPr>
      <w:r>
        <w:rPr>
          <w:rFonts w:ascii="Arial" w:cs="Arial" w:eastAsia="Arial" w:hAnsi="Arial"/>
          <w:b/>
          <w:bCs/>
          <w:i w:val="false"/>
          <w:iCs w:val="false"/>
          <w:color w:val="1F3A5F"/>
          <w:sz w:val="48"/>
          <w:szCs w:val="48"/>
        </w:rPr>
        <w:t xml:space="preserve">The Back-Office Reprice</w:t>
      </w:r>
    </w:p>
    <w:p>
      <w:pPr>
        <w:spacing w:after="240" w:before="0"/>
        <w:jc w:val="left"/>
      </w:pPr>
      <w:r>
        <w:rPr>
          <w:rFonts w:ascii="Arial" w:cs="Arial" w:eastAsia="Arial" w:hAnsi="Arial"/>
          <w:b w:val="false"/>
          <w:bCs w:val="false"/>
          <w:i/>
          <w:iCs/>
          <w:color w:val="595959"/>
          <w:sz w:val="28"/>
          <w:szCs w:val="28"/>
        </w:rPr>
        <w:t xml:space="preserve">A Line-by-Line Analysis of Automation Exposure at Patriot Growth Insurance Services</w:t>
      </w:r>
    </w:p>
    <w:p>
      <w:pPr>
        <w:pBdr>
          <w:bottom w:val="single" w:color="1F3A5F" w:sz="6" w:space="4"/>
        </w:pBdr>
        <w:spacing w:after="100" w:before="100"/>
      </w:pPr>
      <w:r>
        <w:t xml:space="preserve"/>
      </w:r>
    </w:p>
    <w:p>
      <w:pPr>
        <w:spacing w:after="80" w:before="0"/>
        <w:jc w:val="left"/>
      </w:pPr>
      <w:r>
        <w:rPr>
          <w:rFonts w:ascii="Arial" w:cs="Arial" w:eastAsia="Arial" w:hAnsi="Arial"/>
          <w:b/>
          <w:bCs/>
          <w:sz w:val="22"/>
          <w:szCs w:val="22"/>
        </w:rPr>
        <w:t xml:space="preserve">Prepared for: </w:t>
      </w:r>
      <w:r>
        <w:rPr>
          <w:rFonts w:ascii="Arial" w:cs="Arial" w:eastAsia="Arial" w:hAnsi="Arial"/>
          <w:sz w:val="22"/>
          <w:szCs w:val="22"/>
        </w:rPr>
        <w:t xml:space="preserve">Patriot Growth Insurance Services leadership</w:t>
      </w:r>
    </w:p>
    <w:p>
      <w:pPr>
        <w:spacing w:after="80" w:before="0"/>
        <w:jc w:val="left"/>
      </w:pPr>
      <w:r>
        <w:rPr>
          <w:rFonts w:ascii="Arial" w:cs="Arial" w:eastAsia="Arial" w:hAnsi="Arial"/>
          <w:b/>
          <w:bCs/>
          <w:sz w:val="22"/>
          <w:szCs w:val="22"/>
        </w:rPr>
        <w:t xml:space="preserve">Format: </w:t>
      </w:r>
      <w:r>
        <w:rPr>
          <w:rFonts w:ascii="Arial" w:cs="Arial" w:eastAsia="Arial" w:hAnsi="Arial"/>
          <w:sz w:val="22"/>
          <w:szCs w:val="22"/>
        </w:rPr>
        <w:t xml:space="preserve">Meeting leave-behind — depth, not concision</w:t>
      </w:r>
    </w:p>
    <w:p>
      <w:pPr>
        <w:spacing w:after="240" w:before="0"/>
        <w:jc w:val="left"/>
      </w:pPr>
      <w:r>
        <w:rPr>
          <w:rFonts w:ascii="Arial" w:cs="Arial" w:eastAsia="Arial" w:hAnsi="Arial"/>
          <w:b/>
          <w:bCs/>
          <w:sz w:val="22"/>
          <w:szCs w:val="22"/>
        </w:rPr>
        <w:t xml:space="preserve">Framework source: </w:t>
      </w:r>
      <w:r>
        <w:rPr>
          <w:rFonts w:ascii="Arial" w:cs="Arial" w:eastAsia="Arial" w:hAnsi="Arial"/>
          <w:sz w:val="22"/>
          <w:szCs w:val="22"/>
        </w:rPr>
        <w:t xml:space="preserve">Gans &amp; Goldfarb (NBER, Jan 2026) • Imas &amp; Shukla (Mar 2026) • Glorikian (Apr 20, 2026)</w:t>
      </w:r>
    </w:p>
    <w:p>
      <w:pPr>
        <w:pStyle w:val="Heading2"/>
        <w:spacing w:after="160" w:before="280"/>
      </w:pPr>
      <w:r>
        <w:rPr>
          <w:rFonts w:ascii="Arial" w:cs="Arial" w:eastAsia="Arial" w:hAnsi="Arial"/>
          <w:b/>
          <w:bCs/>
          <w:color w:val="1F3A5F"/>
          <w:sz w:val="28"/>
          <w:szCs w:val="28"/>
        </w:rPr>
        <w:t xml:space="preserve">How to Read This Document</w:t>
      </w:r>
    </w:p>
    <w:p>
      <w:pPr>
        <w:spacing w:after="120" w:before="0"/>
        <w:jc w:val="left"/>
      </w:pPr>
      <w:r>
        <w:rPr>
          <w:rFonts w:ascii="Arial" w:cs="Arial" w:eastAsia="Arial" w:hAnsi="Arial"/>
          <w:b w:val="false"/>
          <w:bCs w:val="false"/>
          <w:i w:val="false"/>
          <w:iCs w:val="false"/>
          <w:color w:val="000000"/>
          <w:sz w:val="22"/>
          <w:szCs w:val="22"/>
        </w:rPr>
        <w:t xml:space="preserve">This is a meeting leave-behind, not a cold outbound. We built it to survive scrutiny from the operations leadership, sponsor portfolio-operations contacts, and whichever technical leader will vet any implementation engagement. The length is deliberate. The matrices are the argument, not ornamentation.</w:t>
      </w:r>
    </w:p>
    <w:p>
      <w:pPr>
        <w:spacing w:after="120" w:before="0"/>
        <w:jc w:val="left"/>
      </w:pPr>
      <w:r>
        <w:rPr>
          <w:rFonts w:ascii="Arial" w:cs="Arial" w:eastAsia="Arial" w:hAnsi="Arial"/>
          <w:b w:val="false"/>
          <w:bCs w:val="false"/>
          <w:i w:val="false"/>
          <w:iCs w:val="false"/>
          <w:color w:val="000000"/>
          <w:sz w:val="22"/>
          <w:szCs w:val="22"/>
        </w:rPr>
        <w:t xml:space="preserve">The document runs in this order:</w:t>
      </w:r>
    </w:p>
    <w:p>
      <w:pPr>
        <w:spacing w:after="120" w:before="0"/>
        <w:jc w:val="left"/>
      </w:pPr>
      <w:r>
        <w:rPr>
          <w:rFonts w:ascii="Arial" w:cs="Arial" w:eastAsia="Arial" w:hAnsi="Arial"/>
          <w:b/>
          <w:bCs/>
          <w:sz w:val="22"/>
          <w:szCs w:val="22"/>
        </w:rPr>
        <w:t xml:space="preserve">1. The thesis — </w:t>
      </w:r>
      <w:r>
        <w:rPr>
          <w:rFonts w:ascii="Arial" w:cs="Arial" w:eastAsia="Arial" w:hAnsi="Arial"/>
          <w:sz w:val="22"/>
          <w:szCs w:val="22"/>
        </w:rPr>
        <w:t xml:space="preserve">why we believe back-office automation at Patriot is a valuation project, not a cost project</w:t>
      </w:r>
    </w:p>
    <w:p>
      <w:pPr>
        <w:spacing w:after="120" w:before="0"/>
        <w:jc w:val="left"/>
      </w:pPr>
      <w:r>
        <w:rPr>
          <w:rFonts w:ascii="Arial" w:cs="Arial" w:eastAsia="Arial" w:hAnsi="Arial"/>
          <w:b/>
          <w:bCs/>
          <w:sz w:val="22"/>
          <w:szCs w:val="22"/>
        </w:rPr>
        <w:t xml:space="preserve">2. The framework — </w:t>
      </w:r>
      <w:r>
        <w:rPr>
          <w:rFonts w:ascii="Arial" w:cs="Arial" w:eastAsia="Arial" w:hAnsi="Arial"/>
          <w:sz w:val="22"/>
          <w:szCs w:val="22"/>
        </w:rPr>
        <w:t xml:space="preserve">the four-question screen we applied, in brief</w:t>
      </w:r>
    </w:p>
    <w:p>
      <w:pPr>
        <w:spacing w:after="120" w:before="0"/>
        <w:jc w:val="left"/>
      </w:pPr>
      <w:r>
        <w:rPr>
          <w:rFonts w:ascii="Arial" w:cs="Arial" w:eastAsia="Arial" w:hAnsi="Arial"/>
          <w:b/>
          <w:bCs/>
          <w:sz w:val="22"/>
          <w:szCs w:val="22"/>
        </w:rPr>
        <w:t xml:space="preserve">3. The Patriot-specific context — </w:t>
      </w:r>
      <w:r>
        <w:rPr>
          <w:rFonts w:ascii="Arial" w:cs="Arial" w:eastAsia="Arial" w:hAnsi="Arial"/>
          <w:sz w:val="22"/>
          <w:szCs w:val="22"/>
        </w:rPr>
        <w:t xml:space="preserve">four facts that shape every recommendation</w:t>
      </w:r>
    </w:p>
    <w:p>
      <w:pPr>
        <w:spacing w:after="120" w:before="0"/>
        <w:jc w:val="left"/>
      </w:pPr>
      <w:r>
        <w:rPr>
          <w:rFonts w:ascii="Arial" w:cs="Arial" w:eastAsia="Arial" w:hAnsi="Arial"/>
          <w:b/>
          <w:bCs/>
          <w:sz w:val="22"/>
          <w:szCs w:val="22"/>
        </w:rPr>
        <w:t xml:space="preserve">4. Five matrices, one per line of business plus shared services — </w:t>
      </w:r>
      <w:r>
        <w:rPr>
          <w:rFonts w:ascii="Arial" w:cs="Arial" w:eastAsia="Arial" w:hAnsi="Arial"/>
          <w:sz w:val="22"/>
          <w:szCs w:val="22"/>
        </w:rPr>
        <w:t xml:space="preserve">75 roles total, scored 1–5 on four dimensions</w:t>
      </w:r>
    </w:p>
    <w:p>
      <w:pPr>
        <w:spacing w:after="120" w:before="0"/>
        <w:jc w:val="left"/>
      </w:pPr>
      <w:r>
        <w:rPr>
          <w:rFonts w:ascii="Arial" w:cs="Arial" w:eastAsia="Arial" w:hAnsi="Arial"/>
          <w:b/>
          <w:bCs/>
          <w:sz w:val="22"/>
          <w:szCs w:val="22"/>
        </w:rPr>
        <w:t xml:space="preserve">5. Cross-line observations — </w:t>
      </w:r>
      <w:r>
        <w:rPr>
          <w:rFonts w:ascii="Arial" w:cs="Arial" w:eastAsia="Arial" w:hAnsi="Arial"/>
          <w:sz w:val="22"/>
          <w:szCs w:val="22"/>
        </w:rPr>
        <w:t xml:space="preserve">patterns only visible when you compare the five matrices</w:t>
      </w:r>
    </w:p>
    <w:p>
      <w:pPr>
        <w:spacing w:after="120" w:before="0"/>
        <w:jc w:val="left"/>
      </w:pPr>
      <w:r>
        <w:rPr>
          <w:rFonts w:ascii="Arial" w:cs="Arial" w:eastAsia="Arial" w:hAnsi="Arial"/>
          <w:b/>
          <w:bCs/>
          <w:sz w:val="22"/>
          <w:szCs w:val="22"/>
        </w:rPr>
        <w:t xml:space="preserve">6. A concrete first engagement — </w:t>
      </w:r>
      <w:r>
        <w:rPr>
          <w:rFonts w:ascii="Arial" w:cs="Arial" w:eastAsia="Arial" w:hAnsi="Arial"/>
          <w:sz w:val="22"/>
          <w:szCs w:val="22"/>
        </w:rPr>
        <w:t xml:space="preserve">scoped narrowly enough to ship, broad enough to prove the pattern</w:t>
      </w:r>
    </w:p>
    <w:p>
      <w:pPr>
        <w:spacing w:after="120" w:before="0"/>
        <w:jc w:val="left"/>
      </w:pPr>
      <w:r>
        <w:rPr>
          <w:rFonts w:ascii="Arial" w:cs="Arial" w:eastAsia="Arial" w:hAnsi="Arial"/>
          <w:b/>
          <w:bCs/>
          <w:sz w:val="22"/>
          <w:szCs w:val="22"/>
        </w:rPr>
        <w:t xml:space="preserve">7. Honest caveats — </w:t>
      </w:r>
      <w:r>
        <w:rPr>
          <w:rFonts w:ascii="Arial" w:cs="Arial" w:eastAsia="Arial" w:hAnsi="Arial"/>
          <w:sz w:val="22"/>
          <w:szCs w:val="22"/>
        </w:rPr>
        <w:t xml:space="preserve">what we are not claiming</w:t>
      </w:r>
    </w:p>
    <w:p>
      <w:pPr>
        <w:spacing w:after="120" w:before="0"/>
        <w:jc w:val="left"/>
      </w:pPr>
      <w:r>
        <w:rPr>
          <w:rFonts w:ascii="Arial" w:cs="Arial" w:eastAsia="Arial" w:hAnsi="Arial"/>
          <w:b w:val="false"/>
          <w:bCs w:val="false"/>
          <w:i/>
          <w:iCs/>
          <w:color w:val="000000"/>
          <w:sz w:val="22"/>
          <w:szCs w:val="22"/>
        </w:rPr>
        <w:t xml:space="preserve">If you only have ten minutes, read sections 1, 3, 5, and 6. The matrices are the reference material you come back to.</w:t>
      </w:r>
    </w:p>
    <w:p>
      <w:pPr>
        <w:pStyle w:val="Heading2"/>
        <w:spacing w:after="160" w:before="280"/>
      </w:pPr>
      <w:r>
        <w:rPr>
          <w:rFonts w:ascii="Arial" w:cs="Arial" w:eastAsia="Arial" w:hAnsi="Arial"/>
          <w:b/>
          <w:bCs/>
          <w:color w:val="1F3A5F"/>
          <w:sz w:val="28"/>
          <w:szCs w:val="28"/>
        </w:rPr>
        <w:t xml:space="preserve">1. The Thesis in Three Sentences</w:t>
      </w:r>
    </w:p>
    <w:p>
      <w:pPr>
        <w:spacing w:after="120" w:before="0"/>
        <w:jc w:val="left"/>
      </w:pPr>
      <w:r>
        <w:rPr>
          <w:rFonts w:ascii="Arial" w:cs="Arial" w:eastAsia="Arial" w:hAnsi="Arial"/>
          <w:b/>
          <w:bCs/>
          <w:sz w:val="22"/>
          <w:szCs w:val="22"/>
        </w:rPr>
        <w:t xml:space="preserve">Insurance brokerage back-office work is unusually concentrated in the structural profile that the O-Ring Automation framework predicts for displacement</w:t>
      </w:r>
      <w:r>
        <w:rPr>
          <w:rFonts w:ascii="Arial" w:cs="Arial" w:eastAsia="Arial" w:hAnsi="Arial"/>
          <w:sz w:val="22"/>
          <w:szCs w:val="22"/>
        </w:rPr>
        <w:t xml:space="preserve"> — low-dimensionality, inelastic-demand, deterministic, high-ROI-to-full-automation, with named competitors already at scale. The profile is sharper in insurance than in any other financial-services intermediary we have analyzed: sharper than freight brokerage, sharper than wealth advisory, sharper than commercial banking operations.</w:t>
      </w:r>
    </w:p>
    <w:p>
      <w:pPr>
        <w:spacing w:after="120" w:before="0"/>
        <w:jc w:val="left"/>
      </w:pPr>
      <w:r>
        <w:rPr>
          <w:rFonts w:ascii="Arial" w:cs="Arial" w:eastAsia="Arial" w:hAnsi="Arial"/>
          <w:b/>
          <w:bCs/>
          <w:sz w:val="22"/>
          <w:szCs w:val="22"/>
        </w:rPr>
        <w:t xml:space="preserve">Patriot’s specific situation sharpens it further. </w:t>
      </w:r>
      <w:r>
        <w:rPr>
          <w:rFonts w:ascii="Arial" w:cs="Arial" w:eastAsia="Arial" w:hAnsi="Arial"/>
          <w:sz w:val="22"/>
          <w:szCs w:val="22"/>
        </w:rPr>
        <w:t xml:space="preserve">A PE-backed platform trading against 16–18x EV/EBITDA exit multiples, built through 65+ acquisitions since 2019, operating under an explicit “highly autonomous” model that preserves AMS heterogeneity across 100+ locations, with an active M&amp;A cadence that guarantees continued heterogeneity — this is not a typical broker’s automation problem. It is a more valuable one, and it requires a more specific answer than off-the-shelf vendors provide.</w:t>
      </w:r>
    </w:p>
    <w:p>
      <w:pPr>
        <w:spacing w:after="120" w:before="0"/>
        <w:jc w:val="left"/>
      </w:pPr>
      <w:r>
        <w:rPr>
          <w:rFonts w:ascii="Arial" w:cs="Arial" w:eastAsia="Arial" w:hAnsi="Arial"/>
          <w:b/>
          <w:bCs/>
          <w:sz w:val="22"/>
          <w:szCs w:val="22"/>
        </w:rPr>
        <w:t xml:space="preserve">We are proposing custom AI implementation services built on top of your existing AMS and carrier portal footprint</w:t>
      </w:r>
      <w:r>
        <w:rPr>
          <w:rFonts w:ascii="Arial" w:cs="Arial" w:eastAsia="Arial" w:hAnsi="Arial"/>
          <w:sz w:val="22"/>
          <w:szCs w:val="22"/>
        </w:rPr>
        <w:t xml:space="preserve"> — not vendor selection advisory, not off-the-shelf deployment, not a transformation program. The distinction matters for a firm with your operational profile, and this document explains why.</w:t>
      </w:r>
    </w:p>
    <w:p>
      <w:pPr>
        <w:pStyle w:val="Heading2"/>
        <w:spacing w:after="160" w:before="280"/>
      </w:pPr>
      <w:r>
        <w:rPr>
          <w:rFonts w:ascii="Arial" w:cs="Arial" w:eastAsia="Arial" w:hAnsi="Arial"/>
          <w:b/>
          <w:bCs/>
          <w:color w:val="1F3A5F"/>
          <w:sz w:val="28"/>
          <w:szCs w:val="28"/>
        </w:rPr>
        <w:t xml:space="preserve">2. The Framework, Briefly</w:t>
      </w:r>
    </w:p>
    <w:p>
      <w:pPr>
        <w:spacing w:after="120" w:before="0"/>
        <w:jc w:val="left"/>
      </w:pPr>
      <w:r>
        <w:rPr>
          <w:rFonts w:ascii="Arial" w:cs="Arial" w:eastAsia="Arial" w:hAnsi="Arial"/>
          <w:b w:val="false"/>
          <w:bCs w:val="false"/>
          <w:i w:val="false"/>
          <w:iCs w:val="false"/>
          <w:color w:val="000000"/>
          <w:sz w:val="22"/>
          <w:szCs w:val="22"/>
        </w:rPr>
        <w:t xml:space="preserve">Four questions, each scored 1–5, summed to a total out of 20. Totals of 16 or higher are red-zone: serious displacement risk within three to five years. Twelve to fifteen is yellow-zone: augmentation territory. Below twelve is green-zone for now, re-scored every six to twelve months.</w:t>
      </w:r>
    </w:p>
    <w:p>
      <w:pPr>
        <w:spacing w:after="120" w:before="0"/>
        <w:jc w:val="left"/>
      </w:pPr>
      <w:r>
        <w:rPr>
          <w:rFonts w:ascii="Arial" w:cs="Arial" w:eastAsia="Arial" w:hAnsi="Arial"/>
          <w:b/>
          <w:bCs/>
          <w:sz w:val="22"/>
          <w:szCs w:val="22"/>
        </w:rPr>
        <w:t xml:space="preserve">1. Dimensionality — </w:t>
      </w:r>
      <w:r>
        <w:rPr>
          <w:rFonts w:ascii="Arial" w:cs="Arial" w:eastAsia="Arial" w:hAnsi="Arial"/>
          <w:sz w:val="22"/>
          <w:szCs w:val="22"/>
        </w:rPr>
        <w:t xml:space="preserve">How few essential tasks make up this role? One essential task scores 5; more than ten scores 1. Low-dimensionality roles are displacement-prone because there is nothing to reallocate human time to once automation succeeds.</w:t>
      </w:r>
    </w:p>
    <w:p>
      <w:pPr>
        <w:spacing w:after="120" w:before="0"/>
        <w:jc w:val="left"/>
      </w:pPr>
      <w:r>
        <w:rPr>
          <w:rFonts w:ascii="Arial" w:cs="Arial" w:eastAsia="Arial" w:hAnsi="Arial"/>
          <w:b/>
          <w:bCs/>
          <w:sz w:val="22"/>
          <w:szCs w:val="22"/>
        </w:rPr>
        <w:t xml:space="preserve">2. Demand elasticity — </w:t>
      </w:r>
      <w:r>
        <w:rPr>
          <w:rFonts w:ascii="Arial" w:cs="Arial" w:eastAsia="Arial" w:hAnsi="Arial"/>
          <w:sz w:val="22"/>
          <w:szCs w:val="22"/>
        </w:rPr>
        <w:t xml:space="preserve">If the price of this role’s output drops 30%, does demand expand? Flat demand scores 5; explosive latent demand scores 1. If customers do not buy more when the product gets cheaper, productivity gains turn directly into layoffs.</w:t>
      </w:r>
    </w:p>
    <w:p>
      <w:pPr>
        <w:spacing w:after="120" w:before="0"/>
        <w:jc w:val="left"/>
      </w:pPr>
      <w:r>
        <w:rPr>
          <w:rFonts w:ascii="Arial" w:cs="Arial" w:eastAsia="Arial" w:hAnsi="Arial"/>
          <w:b/>
          <w:bCs/>
          <w:sz w:val="22"/>
          <w:szCs w:val="22"/>
        </w:rPr>
        <w:t xml:space="preserve">3. ROI to full automation — </w:t>
      </w:r>
      <w:r>
        <w:rPr>
          <w:rFonts w:ascii="Arial" w:cs="Arial" w:eastAsia="Arial" w:hAnsi="Arial"/>
          <w:sz w:val="22"/>
          <w:szCs w:val="22"/>
        </w:rPr>
        <w:t xml:space="preserve">How clear and large is the business case for eliminating the role entirely, not piecewise? Full wage-bill capture with a clean integration path scores 5.</w:t>
      </w:r>
    </w:p>
    <w:p>
      <w:pPr>
        <w:spacing w:after="120" w:before="0"/>
        <w:jc w:val="left"/>
      </w:pPr>
      <w:r>
        <w:rPr>
          <w:rFonts w:ascii="Arial" w:cs="Arial" w:eastAsia="Arial" w:hAnsi="Arial"/>
          <w:b/>
          <w:bCs/>
          <w:sz w:val="22"/>
          <w:szCs w:val="22"/>
        </w:rPr>
        <w:t xml:space="preserve">4. Competitive pressure — </w:t>
      </w:r>
      <w:r>
        <w:rPr>
          <w:rFonts w:ascii="Arial" w:cs="Arial" w:eastAsia="Arial" w:hAnsi="Arial"/>
          <w:sz w:val="22"/>
          <w:szCs w:val="22"/>
        </w:rPr>
        <w:t xml:space="preserve">How fast are competitors moving? Competitors at scale score 5; regulatory protection scores 1.</w:t>
      </w:r>
    </w:p>
    <w:p>
      <w:pPr>
        <w:spacing w:after="120" w:before="0"/>
        <w:jc w:val="left"/>
      </w:pPr>
      <w:r>
        <w:rPr>
          <w:rFonts w:ascii="Arial" w:cs="Arial" w:eastAsia="Arial" w:hAnsi="Arial"/>
          <w:b w:val="false"/>
          <w:bCs w:val="false"/>
          <w:i/>
          <w:iCs/>
          <w:color w:val="000000"/>
          <w:sz w:val="22"/>
          <w:szCs w:val="22"/>
        </w:rPr>
        <w:t xml:space="preserve">The framework is agnostic to the buyer’s preferences. We did not shape the scores to support a pitch.</w:t>
      </w:r>
    </w:p>
    <w:p>
      <w:pPr>
        <w:pStyle w:val="Heading2"/>
        <w:spacing w:after="160" w:before="280"/>
      </w:pPr>
      <w:r>
        <w:rPr>
          <w:rFonts w:ascii="Arial" w:cs="Arial" w:eastAsia="Arial" w:hAnsi="Arial"/>
          <w:b/>
          <w:bCs/>
          <w:color w:val="1F3A5F"/>
          <w:sz w:val="28"/>
          <w:szCs w:val="28"/>
        </w:rPr>
        <w:t xml:space="preserve">3. The Patriot Context That Shapes Everything Below</w:t>
      </w:r>
    </w:p>
    <w:p>
      <w:pPr>
        <w:spacing w:after="120" w:before="0"/>
        <w:jc w:val="left"/>
      </w:pPr>
      <w:r>
        <w:rPr>
          <w:rFonts w:ascii="Arial" w:cs="Arial" w:eastAsia="Arial" w:hAnsi="Arial"/>
          <w:b w:val="false"/>
          <w:bCs w:val="false"/>
          <w:i w:val="false"/>
          <w:iCs w:val="false"/>
          <w:color w:val="000000"/>
          <w:sz w:val="22"/>
          <w:szCs w:val="22"/>
        </w:rPr>
        <w:t xml:space="preserve">Four facts about Patriot that shape every recommendation in this document:</w:t>
      </w:r>
    </w:p>
    <w:p>
      <w:pPr>
        <w:spacing w:after="120" w:before="0"/>
        <w:jc w:val="left"/>
      </w:pPr>
      <w:r>
        <w:rPr>
          <w:rFonts w:ascii="Arial" w:cs="Arial" w:eastAsia="Arial" w:hAnsi="Arial"/>
          <w:b/>
          <w:bCs/>
          <w:sz w:val="22"/>
          <w:szCs w:val="22"/>
        </w:rPr>
        <w:t xml:space="preserve">Growth-by-acquisition at unusual velocity. </w:t>
      </w:r>
      <w:r>
        <w:rPr>
          <w:rFonts w:ascii="Arial" w:cs="Arial" w:eastAsia="Arial" w:hAnsi="Arial"/>
          <w:sz w:val="22"/>
          <w:szCs w:val="22"/>
        </w:rPr>
        <w:t xml:space="preserve">Founded January 2019. 64 partner agencies by September 2021. Top-25 by 2025. 2,200 employees across 100+ locations in 29 states as of early 2026. Most recent partnership: Morse Insurance Agency, December 2025. At roughly 10–15 deals per year over six years, Patriot has built the fastest-growing top-25 broker platform in the US market.</w:t>
      </w:r>
    </w:p>
    <w:p>
      <w:pPr>
        <w:spacing w:after="120" w:before="0"/>
        <w:jc w:val="left"/>
      </w:pPr>
      <w:r>
        <w:rPr>
          <w:rFonts w:ascii="Arial" w:cs="Arial" w:eastAsia="Arial" w:hAnsi="Arial"/>
          <w:b/>
          <w:bCs/>
          <w:sz w:val="22"/>
          <w:szCs w:val="22"/>
        </w:rPr>
        <w:t xml:space="preserve">Explicit operational autonomy as strategic choice. </w:t>
      </w:r>
      <w:r>
        <w:rPr>
          <w:rFonts w:ascii="Arial" w:cs="Arial" w:eastAsia="Arial" w:hAnsi="Arial"/>
          <w:sz w:val="22"/>
          <w:szCs w:val="22"/>
        </w:rPr>
        <w:t xml:space="preserve">Your public materials describe a “highly autonomous operating model” where partner agencies maintain meaningful ownership and continue to operate with independence in their local markets. This is a deliberate contrast to the centralizing playbooks of Hub International, Acrisure, Alliant, and NFP. It is a GTM advantage. It is also a substantial technical constraint on off-the-shelf automation, and it is the core reason we believe custom implementation is the right fit rather than vendor deployment.</w:t>
      </w:r>
    </w:p>
    <w:p>
      <w:pPr>
        <w:spacing w:after="120" w:before="0"/>
        <w:jc w:val="left"/>
      </w:pPr>
      <w:r>
        <w:rPr>
          <w:rFonts w:ascii="Arial" w:cs="Arial" w:eastAsia="Arial" w:hAnsi="Arial"/>
          <w:b/>
          <w:bCs/>
          <w:sz w:val="22"/>
          <w:szCs w:val="22"/>
        </w:rPr>
        <w:t xml:space="preserve">PE sponsor structure with explicit multiple-expansion mandate. </w:t>
      </w:r>
      <w:r>
        <w:rPr>
          <w:rFonts w:ascii="Arial" w:cs="Arial" w:eastAsia="Arial" w:hAnsi="Arial"/>
          <w:sz w:val="22"/>
          <w:szCs w:val="22"/>
        </w:rPr>
        <w:t xml:space="preserve">GI Partners led the 2021 recapitalization; Summit Partners retained minority; Golub Capital and Antares provide the debt facility. Insurance broker platforms trade at 16–18x EV/EBITDA at public-market exit, while tuck-in acquisitions happen at 7.5–12x (averaging 11.8x in 2025 per Sica Fletcher). Every dollar of permanent back-office cost removed from Patriot’s EBITDA creates roughly $16–18 of enterprise value at exit. This math drives everything downstream.</w:t>
      </w:r>
    </w:p>
    <w:p>
      <w:pPr>
        <w:spacing w:after="120" w:before="0"/>
        <w:jc w:val="left"/>
      </w:pPr>
      <w:r>
        <w:rPr>
          <w:rFonts w:ascii="Arial" w:cs="Arial" w:eastAsia="Arial" w:hAnsi="Arial"/>
          <w:b/>
          <w:bCs/>
          <w:sz w:val="22"/>
          <w:szCs w:val="22"/>
        </w:rPr>
        <w:t xml:space="preserve">Four distinct lines of business with substantially different automation profiles. </w:t>
      </w:r>
      <w:r>
        <w:rPr>
          <w:rFonts w:ascii="Arial" w:cs="Arial" w:eastAsia="Arial" w:hAnsi="Arial"/>
          <w:sz w:val="22"/>
          <w:szCs w:val="22"/>
        </w:rPr>
        <w:t xml:space="preserve">Property &amp; Casualty, Employee Benefits, Personal Insurance, and Consulting &amp; Other Services (cyber, OSHA). The matrices that follow treat each line separately because the automation case is genuinely different across them.</w:t>
      </w:r>
    </w:p>
    <w:p>
      <w:pPr>
        <w:pageBreakBefore/>
      </w:pPr>
      <w:r>
        <w:br/>
      </w:r>
    </w:p>
    <w:p>
      <w:pPr>
        <w:pStyle w:val="Heading2"/>
        <w:spacing w:after="160" w:before="280"/>
      </w:pPr>
      <w:r>
        <w:rPr>
          <w:rFonts w:ascii="Arial" w:cs="Arial" w:eastAsia="Arial" w:hAnsi="Arial"/>
          <w:b/>
          <w:bCs/>
          <w:color w:val="1F3A5F"/>
          <w:sz w:val="28"/>
          <w:szCs w:val="28"/>
        </w:rPr>
        <w:t xml:space="preserve">4. The Five Matrices</w:t>
      </w:r>
    </w:p>
    <w:p>
      <w:pPr>
        <w:pStyle w:val="Heading3"/>
        <w:spacing w:after="120" w:before="220"/>
      </w:pPr>
      <w:r>
        <w:rPr>
          <w:rFonts w:ascii="Arial" w:cs="Arial" w:eastAsia="Arial" w:hAnsi="Arial"/>
          <w:b/>
          <w:bCs/>
          <w:color w:val="1F3A5F"/>
          <w:sz w:val="24"/>
          <w:szCs w:val="24"/>
        </w:rPr>
        <w:t xml:space="preserve">Matrix 1 — Property &amp; Casualty (25 roles)</w:t>
      </w:r>
    </w:p>
    <w:p>
      <w:pPr>
        <w:spacing w:after="120" w:before="0"/>
        <w:jc w:val="left"/>
      </w:pPr>
      <w:r>
        <w:rPr>
          <w:rFonts w:ascii="Arial" w:cs="Arial" w:eastAsia="Arial" w:hAnsi="Arial"/>
          <w:b w:val="false"/>
          <w:bCs w:val="false"/>
          <w:i w:val="false"/>
          <w:iCs w:val="false"/>
          <w:color w:val="000000"/>
          <w:sz w:val="22"/>
          <w:szCs w:val="22"/>
        </w:rPr>
        <w:t xml:space="preserve">P&amp;C is the revenue core of a commercial-focused broker like Patriot and the richest automation opportunity. The matrix is the longest because the role taxonomy is the deepest. This is the line where your wedge lives.</w:t>
      </w:r>
    </w:p>
    <w:p>
      <w:pPr>
        <w:spacing w:after="160" w:before="0"/>
        <w:jc w:val="left"/>
      </w:pPr>
      <w:r>
        <w:rPr>
          <w:rFonts w:ascii="Arial" w:cs="Arial" w:eastAsia="Arial" w:hAnsi="Arial"/>
          <w:b/>
          <w:bCs/>
          <w:sz w:val="22"/>
          <w:szCs w:val="22"/>
        </w:rPr>
        <w:t xml:space="preserve">Column key: </w:t>
      </w:r>
      <w:r>
        <w:rPr>
          <w:rFonts w:ascii="Arial" w:cs="Arial" w:eastAsia="Arial" w:hAnsi="Arial"/>
          <w:sz w:val="22"/>
          <w:szCs w:val="22"/>
        </w:rPr>
        <w:t xml:space="preserve">Dim (dimensionality, 1–5) • Elast (demand elasticity, 1–5) • ROI (to full automation, 1–5) • Comp (competitive pressure, 1–5) • Total (out of 20) • Zone (Red ≥16, Yellow 12–15, Green &lt;12)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860"/>
        <w:gridCol w:w="450"/>
        <w:gridCol w:w="500"/>
        <w:gridCol w:w="450"/>
        <w:gridCol w:w="500"/>
        <w:gridCol w:w="600"/>
        <w:gridCol w:w="900"/>
      </w:tblGrid>
      <w:tr>
        <w:trPr>
          <w:tblHeader/>
        </w:trPr>
        <w:tc>
          <w:tcPr>
            <w:tcW w:type="dxa" w:w="4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w:t>
            </w:r>
          </w:p>
        </w:tc>
        <w:tc>
          <w:tcPr>
            <w:tcW w:type="dxa" w:w="17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Role</w:t>
            </w:r>
          </w:p>
        </w:tc>
        <w:tc>
          <w:tcPr>
            <w:tcW w:type="dxa" w:w="386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Essential Tasks</w:t>
            </w:r>
          </w:p>
        </w:tc>
        <w:tc>
          <w:tcPr>
            <w:tcW w:type="dxa" w:w="45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Dim</w:t>
            </w:r>
          </w:p>
        </w:tc>
        <w:tc>
          <w:tcPr>
            <w:tcW w:type="dxa" w:w="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Elast</w:t>
            </w:r>
          </w:p>
        </w:tc>
        <w:tc>
          <w:tcPr>
            <w:tcW w:type="dxa" w:w="45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ROI</w:t>
            </w:r>
          </w:p>
        </w:tc>
        <w:tc>
          <w:tcPr>
            <w:tcW w:type="dxa" w:w="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Comp</w:t>
            </w:r>
          </w:p>
        </w:tc>
        <w:tc>
          <w:tcPr>
            <w:tcW w:type="dxa" w:w="6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Total</w:t>
            </w:r>
          </w:p>
        </w:tc>
        <w:tc>
          <w:tcPr>
            <w:tcW w:type="dxa" w:w="9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Zone</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Commercial Lines CSR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Policy inquiries, endorsement intake, COI requests, billing Q&amp;A, document pulls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Personal Lines CSR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Policy inquiries, ID cards, endorsement intake, billing Q&amp;A, claim filing assist</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Account Manager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Renewal mgmt, client comms, coverage review, carrier liaison, upsell, E&amp;O discipline</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10</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Account Manager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Renewal mgmt, cross-sell, policy review, carrier liaison (simpler book)</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13</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Account Executive</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Client relationship, strategic advice, book mgmt, cross-sell, retention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7</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6</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Producer / Sales</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Prospecting, pitching, closing, relationships, expansion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7</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7</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Producer Assistant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Quote gathering, submissions prep, proposal draft, calendar, CRM</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8</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Policy Processor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Data entry from carrier, AMS update, document filing, verification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18</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9</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Policy Processor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Data entry from carrier, AMS update, doc filing (higher volume, simpler)</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10</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Endorsement Processor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Change request intake, carrier coordination, AMS update, client notification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18</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11</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Endorsement Processor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Change request intake, carrier portal update, client notification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12</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COI Clerk</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Certificate request intake, template match, generation, delivery, AI tracking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13</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Submissions Coordinator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Risk intake, data gathering, ACORD app prep, carrier submission, clearance</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14</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Data Entry / AMS Admin</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Ingest paper, email, carrier download; update AMS records across systems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15</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Carrier Download Manager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IVANS/download mgmt, carrier feed troubleshooting, reconciliation, mapping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16</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Marketing Specialist (Placement)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Submission packaging, multi-carrier marketing, quote comparison, bind</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17</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Underwriting Assistant (broker-side)</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Application completion, rate quotes, loss run requests, supplemental data</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18</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Renewal Analyst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Renewal prep, benchmarking, loss history pull, proposal draft</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15</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 (high)</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19</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Proposal Writer / Presenter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Client presentation draft, coverage comparison, benefits summary</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20</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Certificate Compliance Checker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Audit outbound COIs against contract reqs, flag discrepancies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18</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21</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FNOL Intake Clerk (P&amp;C)</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First notice of loss capture, triage, routing to carrier</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22</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Claims Advocate (P&amp;C)</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Client representation, carrier negotiation, documentation, status updates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12</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23</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Loss Control Consultant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Site inspection, loss prevention advice, risk scoring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8</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24</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Surplus Lines Filer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State-specific surplus lines tax filing, stamping, affidavit prep</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25</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Audit Coordinator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Policy audit processing, premium audit reconciliation, dispute resolution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15</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 (high)</w:t>
            </w:r>
          </w:p>
        </w:tc>
      </w:tr>
    </w:tbl>
    <w:p>
      <w:pPr>
        <w:spacing w:before="160"/>
      </w:pPr>
      <w:r>
        <w:t xml:space="preserve"/>
      </w:r>
    </w:p>
    <w:p>
      <w:pPr>
        <w:pStyle w:val="Heading4"/>
        <w:spacing w:after="100" w:before="180"/>
      </w:pPr>
      <w:r>
        <w:rPr>
          <w:rFonts w:ascii="Arial" w:cs="Arial" w:eastAsia="Arial" w:hAnsi="Arial"/>
          <w:b/>
          <w:bCs/>
          <w:color w:val="1F3A5F"/>
          <w:sz w:val="22"/>
          <w:szCs w:val="22"/>
        </w:rPr>
        <w:t xml:space="preserve">P&amp;C Distribution</w:t>
      </w:r>
    </w:p>
    <w:p>
      <w:pPr>
        <w:spacing w:after="100" w:before="0"/>
        <w:jc w:val="left"/>
      </w:pPr>
      <w:r>
        <w:rPr>
          <w:rFonts w:ascii="Arial" w:cs="Arial" w:eastAsia="Arial" w:hAnsi="Arial"/>
          <w:b/>
          <w:bCs/>
          <w:color w:val="9C2A2A"/>
          <w:sz w:val="22"/>
          <w:szCs w:val="22"/>
        </w:rPr>
        <w:t xml:space="preserve">Red (≥16): </w:t>
      </w:r>
      <w:r>
        <w:rPr>
          <w:rFonts w:ascii="Arial" w:cs="Arial" w:eastAsia="Arial" w:hAnsi="Arial"/>
          <w:sz w:val="22"/>
          <w:szCs w:val="22"/>
        </w:rPr>
        <w:t xml:space="preserve">12 roles — PL Policy Processor (19), PL Endorsement Processor (19), COI Clerk (19), Data Entry/AMS Admin (19), FNOL Intake (19), Certificate Compliance Checker (18), CL Policy Processor (18), CL Endorsement Processor (18), CL CSR (17), PL CSR (17), CL Submissions (17), CL Underwriting Assistant (17), Surplus Lines Filer (17)</w:t>
      </w:r>
    </w:p>
    <w:p>
      <w:pPr>
        <w:spacing w:after="100" w:before="0"/>
        <w:jc w:val="left"/>
      </w:pPr>
      <w:r>
        <w:rPr>
          <w:rFonts w:ascii="Arial" w:cs="Arial" w:eastAsia="Arial" w:hAnsi="Arial"/>
          <w:b/>
          <w:bCs/>
          <w:color w:val="8B6914"/>
          <w:sz w:val="22"/>
          <w:szCs w:val="22"/>
        </w:rPr>
        <w:t xml:space="preserve">Yellow (12–15): </w:t>
      </w:r>
      <w:r>
        <w:rPr>
          <w:rFonts w:ascii="Arial" w:cs="Arial" w:eastAsia="Arial" w:hAnsi="Arial"/>
          <w:sz w:val="22"/>
          <w:szCs w:val="22"/>
        </w:rPr>
        <w:t xml:space="preserve">7 roles — CL Renewal Analyst (15), CL Audit Coordinator (15), Producer Assistant (14), Carrier Download Manager (14), CL Marketing Specialist (14), CL Proposal Writer (14), PL Account Manager (13), Claims Advocate (12)</w:t>
      </w:r>
    </w:p>
    <w:p>
      <w:pPr>
        <w:spacing w:after="160" w:before="0"/>
        <w:jc w:val="left"/>
      </w:pPr>
      <w:r>
        <w:rPr>
          <w:rFonts w:ascii="Arial" w:cs="Arial" w:eastAsia="Arial" w:hAnsi="Arial"/>
          <w:b/>
          <w:bCs/>
          <w:color w:val="2A5C2A"/>
          <w:sz w:val="22"/>
          <w:szCs w:val="22"/>
        </w:rPr>
        <w:t xml:space="preserve">Green (&lt;12): </w:t>
      </w:r>
      <w:r>
        <w:rPr>
          <w:rFonts w:ascii="Arial" w:cs="Arial" w:eastAsia="Arial" w:hAnsi="Arial"/>
          <w:sz w:val="22"/>
          <w:szCs w:val="22"/>
        </w:rPr>
        <w:t xml:space="preserve">5 roles — CL Account Manager (10), Loss Control Consultant (8), CL Account Executive (7), CL Producer (7)</w:t>
      </w:r>
    </w:p>
    <w:p>
      <w:pPr>
        <w:spacing w:after="120" w:before="0"/>
        <w:jc w:val="left"/>
      </w:pPr>
      <w:r>
        <w:rPr>
          <w:rFonts w:ascii="Arial" w:cs="Arial" w:eastAsia="Arial" w:hAnsi="Arial"/>
          <w:b/>
          <w:bCs/>
          <w:sz w:val="22"/>
          <w:szCs w:val="22"/>
        </w:rPr>
        <w:t xml:space="preserve">P&amp;C takeaway: </w:t>
      </w:r>
      <w:r>
        <w:rPr>
          <w:rFonts w:ascii="Arial" w:cs="Arial" w:eastAsia="Arial" w:hAnsi="Arial"/>
          <w:sz w:val="22"/>
          <w:szCs w:val="22"/>
        </w:rPr>
        <w:t xml:space="preserve">This is the reddest line. Twelve red-zone roles, most scoring 17–19. P&amp;C operations and processing concentrate the low-dimensionality work that Glorikian’s framework flags hardest. This is where Phase 1 should start and it is where the first $5–10M of annualized run-rate savings are most likely to be recoverable.</w:t>
      </w:r>
      <w:r>
        <w:rPr>
          <w:rFonts w:ascii="Arial" w:cs="Arial" w:eastAsia="Arial" w:hAnsi="Arial"/>
          <w:i/>
          <w:iCs/>
          <w:sz w:val="22"/>
          <w:szCs w:val="22"/>
        </w:rPr>
      </w:r>
    </w:p>
    <w:p>
      <w:pPr>
        <w:pageBreakBefore/>
      </w:pPr>
      <w:r>
        <w:br/>
      </w:r>
    </w:p>
    <w:p>
      <w:pPr>
        <w:pStyle w:val="Heading3"/>
        <w:spacing w:after="120" w:before="220"/>
      </w:pPr>
      <w:r>
        <w:rPr>
          <w:rFonts w:ascii="Arial" w:cs="Arial" w:eastAsia="Arial" w:hAnsi="Arial"/>
          <w:b/>
          <w:bCs/>
          <w:color w:val="1F3A5F"/>
          <w:sz w:val="24"/>
          <w:szCs w:val="24"/>
        </w:rPr>
        <w:t xml:space="preserve">Matrix 2 — Employee Benefits (20 roles)</w:t>
      </w:r>
    </w:p>
    <w:p>
      <w:pPr>
        <w:spacing w:after="120" w:before="0"/>
        <w:jc w:val="left"/>
      </w:pPr>
      <w:r>
        <w:rPr>
          <w:rFonts w:ascii="Arial" w:cs="Arial" w:eastAsia="Arial" w:hAnsi="Arial"/>
          <w:b w:val="false"/>
          <w:bCs w:val="false"/>
          <w:i w:val="false"/>
          <w:iCs w:val="false"/>
          <w:color w:val="000000"/>
          <w:sz w:val="22"/>
          <w:szCs w:val="22"/>
        </w:rPr>
        <w:t xml:space="preserve">EB is Patriot’s second line and structurally distinct from P&amp;C. The work is more cyclical (open enrollment dominates Q3–Q4), more compliance-heavy (ACA, ERISA, HIPAA, COBRA, 5500s), and has a different buyer relationship (HR director or CFO rather than risk manager). Automation profile shifts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860"/>
        <w:gridCol w:w="450"/>
        <w:gridCol w:w="500"/>
        <w:gridCol w:w="450"/>
        <w:gridCol w:w="500"/>
        <w:gridCol w:w="600"/>
        <w:gridCol w:w="900"/>
      </w:tblGrid>
      <w:tr>
        <w:trPr>
          <w:tblHeader/>
        </w:trPr>
        <w:tc>
          <w:tcPr>
            <w:tcW w:type="dxa" w:w="4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w:t>
            </w:r>
          </w:p>
        </w:tc>
        <w:tc>
          <w:tcPr>
            <w:tcW w:type="dxa" w:w="17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Role</w:t>
            </w:r>
          </w:p>
        </w:tc>
        <w:tc>
          <w:tcPr>
            <w:tcW w:type="dxa" w:w="386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Essential Tasks</w:t>
            </w:r>
          </w:p>
        </w:tc>
        <w:tc>
          <w:tcPr>
            <w:tcW w:type="dxa" w:w="45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Dim</w:t>
            </w:r>
          </w:p>
        </w:tc>
        <w:tc>
          <w:tcPr>
            <w:tcW w:type="dxa" w:w="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Elast</w:t>
            </w:r>
          </w:p>
        </w:tc>
        <w:tc>
          <w:tcPr>
            <w:tcW w:type="dxa" w:w="45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ROI</w:t>
            </w:r>
          </w:p>
        </w:tc>
        <w:tc>
          <w:tcPr>
            <w:tcW w:type="dxa" w:w="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Comp</w:t>
            </w:r>
          </w:p>
        </w:tc>
        <w:tc>
          <w:tcPr>
            <w:tcW w:type="dxa" w:w="6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Total</w:t>
            </w:r>
          </w:p>
        </w:tc>
        <w:tc>
          <w:tcPr>
            <w:tcW w:type="dxa" w:w="9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Zone</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EB CSR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Employee benefit inquiries, carrier escalation, claim assistance, ID cards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16</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EB Account Manager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Client relationship, renewal mgmt, carrier liaison, open enrollment coord</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10</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EB Account Executive</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Strategic advice, plan design consultation, retention, cross-sell</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7</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EB Producer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Prospecting, pitching, consultative sale, closing, relationships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7</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EB Producer Assistant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Quote gathering, RFP prep, proposal draft, market research</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6</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Benefits Analyst / Consultant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Plan comparison, financial modeling, renewal recommendation, benchmarking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12</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7</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Enrollment Admin</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Open enrollment setup, eligibility file mgmt, carrier data exchange, portal config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16</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8</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Open Enrollment Communications Specialist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Benefits guide creation, employee meetings, Q&amp;A, decision support</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12</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9</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EDI / Eligibility File Administrator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File mapping, carrier EDI setup, error reconciliation, 834 files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10</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ACA Compliance Specialist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1094/1095 filing, measurement period tracking, affordability calcs, ALE</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15</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 (high)</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11</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COBRA Administrator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Qualifying event processing, notice generation, premium collection, compliance</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12</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5500 / Form Preparer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Form 5500 prep, SPD drafting, SAR prep, DOL filings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13</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Actuarial / Financial Modeling Analyst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Self-funded plan modeling, IBNR projection, budget forecasting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8</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14</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Wellness Program Coordinator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Program design, vendor coordination, participation tracking, ROI reporting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7</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15</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Benefits Claims Advocate</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Employee claims escalation, carrier negotiation, appeal support</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12</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16</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EB Renewal Analyst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Renewal prep, claims experience analysis, RFP stewardship</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17</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EB Proposal Writer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Presentation draft, plan comparison matrices, benefit summaries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18</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EB Marketing Specialist (Placement)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Carrier RFP distribution, quote collection, comparison spreadsheet</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19</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Benefits Billing Reconciler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Carrier billing audit, enrollment reconciliation, discrepancy resolution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16</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20</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EB Technology Consultant (BenAdmin, HRIS)</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Platform implementation, config, training, troubleshooting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8</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bl>
    <w:p>
      <w:pPr>
        <w:spacing w:before="160"/>
      </w:pPr>
      <w:r>
        <w:t xml:space="preserve"/>
      </w:r>
    </w:p>
    <w:p>
      <w:pPr>
        <w:pStyle w:val="Heading4"/>
        <w:spacing w:after="100" w:before="180"/>
      </w:pPr>
      <w:r>
        <w:rPr>
          <w:rFonts w:ascii="Arial" w:cs="Arial" w:eastAsia="Arial" w:hAnsi="Arial"/>
          <w:b/>
          <w:bCs/>
          <w:color w:val="1F3A5F"/>
          <w:sz w:val="22"/>
          <w:szCs w:val="22"/>
        </w:rPr>
        <w:t xml:space="preserve">EB Distribution</w:t>
      </w:r>
    </w:p>
    <w:p>
      <w:pPr>
        <w:spacing w:after="100" w:before="0"/>
        <w:jc w:val="left"/>
      </w:pPr>
      <w:r>
        <w:rPr>
          <w:rFonts w:ascii="Arial" w:cs="Arial" w:eastAsia="Arial" w:hAnsi="Arial"/>
          <w:b/>
          <w:bCs/>
          <w:color w:val="9C2A2A"/>
          <w:sz w:val="22"/>
          <w:szCs w:val="22"/>
        </w:rPr>
        <w:t xml:space="preserve">Red (≥16): </w:t>
      </w:r>
      <w:r>
        <w:rPr>
          <w:rFonts w:ascii="Arial" w:cs="Arial" w:eastAsia="Arial" w:hAnsi="Arial"/>
          <w:sz w:val="22"/>
          <w:szCs w:val="22"/>
        </w:rPr>
        <w:t xml:space="preserve">5 roles — EDI/Eligibility File Admin (17), COBRA Administrator (17), EB CSR (16), Enrollment Admin (16), Benefits Billing Reconciler (16)</w:t>
      </w:r>
    </w:p>
    <w:p>
      <w:pPr>
        <w:spacing w:after="100" w:before="0"/>
        <w:jc w:val="left"/>
      </w:pPr>
      <w:r>
        <w:rPr>
          <w:rFonts w:ascii="Arial" w:cs="Arial" w:eastAsia="Arial" w:hAnsi="Arial"/>
          <w:b/>
          <w:bCs/>
          <w:color w:val="8B6914"/>
          <w:sz w:val="22"/>
          <w:szCs w:val="22"/>
        </w:rPr>
        <w:t xml:space="preserve">Yellow (12–15): </w:t>
      </w:r>
      <w:r>
        <w:rPr>
          <w:rFonts w:ascii="Arial" w:cs="Arial" w:eastAsia="Arial" w:hAnsi="Arial"/>
          <w:sz w:val="22"/>
          <w:szCs w:val="22"/>
        </w:rPr>
        <w:t xml:space="preserve">10 roles — ACA Compliance (15), EB Producer Assistant (14), 5500 Preparer (14), EB Renewal Analyst (14), EB Proposal Writer (14), EB Marketing Specialist (14), Open Enrollment Comms (12), Benefits Analyst (12), Benefits Claims Advocate (12)</w:t>
      </w:r>
    </w:p>
    <w:p>
      <w:pPr>
        <w:spacing w:after="160" w:before="0"/>
        <w:jc w:val="left"/>
      </w:pPr>
      <w:r>
        <w:rPr>
          <w:rFonts w:ascii="Arial" w:cs="Arial" w:eastAsia="Arial" w:hAnsi="Arial"/>
          <w:b/>
          <w:bCs/>
          <w:color w:val="2A5C2A"/>
          <w:sz w:val="22"/>
          <w:szCs w:val="22"/>
        </w:rPr>
        <w:t xml:space="preserve">Green (&lt;12): </w:t>
      </w:r>
      <w:r>
        <w:rPr>
          <w:rFonts w:ascii="Arial" w:cs="Arial" w:eastAsia="Arial" w:hAnsi="Arial"/>
          <w:sz w:val="22"/>
          <w:szCs w:val="22"/>
        </w:rPr>
        <w:t xml:space="preserve">5 roles — EB Account Manager (10), Actuarial Analyst (8), EB Technology Consultant (8), EB Producer (7), EB Account Executive (7), Wellness Coordinator (7)</w:t>
      </w:r>
    </w:p>
    <w:p>
      <w:pPr>
        <w:spacing w:after="120" w:before="0"/>
        <w:jc w:val="left"/>
      </w:pPr>
      <w:r>
        <w:rPr>
          <w:rFonts w:ascii="Arial" w:cs="Arial" w:eastAsia="Arial" w:hAnsi="Arial"/>
          <w:b/>
          <w:bCs/>
          <w:sz w:val="22"/>
          <w:szCs w:val="22"/>
        </w:rPr>
        <w:t xml:space="preserve">EB takeaway: </w:t>
      </w:r>
      <w:r>
        <w:rPr>
          <w:rFonts w:ascii="Arial" w:cs="Arial" w:eastAsia="Arial" w:hAnsi="Arial"/>
          <w:sz w:val="22"/>
          <w:szCs w:val="22"/>
        </w:rPr>
        <w:t xml:space="preserve">Less red than P&amp;C (5 red vs. 12), more yellow (10 vs. 7). Automation is real but narrower — enrollment administration, COBRA, EDI file management, billing reconciliation. The compliance roles (ACA, 5500) are yellow because regulatory accountability requires a human signature but the prep work is heavily automatable. The sales and advisory roles stay green because benefits plan design is genuinely complex consultative work. A pitch that promises to automate “employee benefits operations” wholesale will fail; a pitch that names EDI, COBRA, and enrollment file management specifically will land.</w:t>
      </w:r>
      <w:r>
        <w:rPr>
          <w:rFonts w:ascii="Arial" w:cs="Arial" w:eastAsia="Arial" w:hAnsi="Arial"/>
          <w:i/>
          <w:iCs/>
          <w:sz w:val="22"/>
          <w:szCs w:val="22"/>
        </w:rPr>
      </w:r>
    </w:p>
    <w:p>
      <w:pPr>
        <w:pageBreakBefore/>
      </w:pPr>
      <w:r>
        <w:br/>
      </w:r>
    </w:p>
    <w:p>
      <w:pPr>
        <w:pStyle w:val="Heading3"/>
        <w:spacing w:after="120" w:before="220"/>
      </w:pPr>
      <w:r>
        <w:rPr>
          <w:rFonts w:ascii="Arial" w:cs="Arial" w:eastAsia="Arial" w:hAnsi="Arial"/>
          <w:b/>
          <w:bCs/>
          <w:color w:val="1F3A5F"/>
          <w:sz w:val="24"/>
          <w:szCs w:val="24"/>
        </w:rPr>
        <w:t xml:space="preserve">Matrix 3 — Personal Insurance (10 roles)</w:t>
      </w:r>
    </w:p>
    <w:p>
      <w:pPr>
        <w:spacing w:after="120" w:before="0"/>
        <w:jc w:val="left"/>
      </w:pPr>
      <w:r>
        <w:rPr>
          <w:rFonts w:ascii="Arial" w:cs="Arial" w:eastAsia="Arial" w:hAnsi="Arial"/>
          <w:b w:val="false"/>
          <w:bCs w:val="false"/>
          <w:i w:val="false"/>
          <w:iCs w:val="false"/>
          <w:color w:val="000000"/>
          <w:sz w:val="22"/>
          <w:szCs w:val="22"/>
        </w:rPr>
        <w:t xml:space="preserve">Personal Insurance at a top-25 broker is typically 5–15% of revenue and has a fundamentally different operational shape. Most of the processing happens at carrier level; brokers handle service, relationship, and high-net-worth cases. Ten roles is the honest count; twenty-five would be padding.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860"/>
        <w:gridCol w:w="450"/>
        <w:gridCol w:w="500"/>
        <w:gridCol w:w="450"/>
        <w:gridCol w:w="500"/>
        <w:gridCol w:w="600"/>
        <w:gridCol w:w="900"/>
      </w:tblGrid>
      <w:tr>
        <w:trPr>
          <w:tblHeader/>
        </w:trPr>
        <w:tc>
          <w:tcPr>
            <w:tcW w:type="dxa" w:w="4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w:t>
            </w:r>
          </w:p>
        </w:tc>
        <w:tc>
          <w:tcPr>
            <w:tcW w:type="dxa" w:w="17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Role</w:t>
            </w:r>
          </w:p>
        </w:tc>
        <w:tc>
          <w:tcPr>
            <w:tcW w:type="dxa" w:w="386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Essential Tasks</w:t>
            </w:r>
          </w:p>
        </w:tc>
        <w:tc>
          <w:tcPr>
            <w:tcW w:type="dxa" w:w="45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Dim</w:t>
            </w:r>
          </w:p>
        </w:tc>
        <w:tc>
          <w:tcPr>
            <w:tcW w:type="dxa" w:w="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Elast</w:t>
            </w:r>
          </w:p>
        </w:tc>
        <w:tc>
          <w:tcPr>
            <w:tcW w:type="dxa" w:w="45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ROI</w:t>
            </w:r>
          </w:p>
        </w:tc>
        <w:tc>
          <w:tcPr>
            <w:tcW w:type="dxa" w:w="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Comp</w:t>
            </w:r>
          </w:p>
        </w:tc>
        <w:tc>
          <w:tcPr>
            <w:tcW w:type="dxa" w:w="6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Total</w:t>
            </w:r>
          </w:p>
        </w:tc>
        <w:tc>
          <w:tcPr>
            <w:tcW w:type="dxa" w:w="9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Zone</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Personal Lines CSR (standard)</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Policy inquiries, endorsement intake, ID cards, claim filing, billing Q&amp;A</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Account Manager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Book mgmt, renewal, cross-sell, simple coverage review</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13</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Producer / Agent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Prospecting, quoting, closing for individual clients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11</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Premier Client / HNW Account Executive</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HNW risk advisory, art/collections coverage, complex estate cases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7</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Renewal Processor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Renewal data review, carrier rate comparison, renewal issuance</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16</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6</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Claims Intake</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FNOL capture for auto/home/umbrella, triage, carrier routing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18</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7</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Policy Processor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Data entry from carrier download, AMS update, doc filing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8</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Billing Specialist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Premium billing, payment posting, lapse management</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9</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Marketing / Comparative Rater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Multi-carrier quote comparison, binding instruction, PL rating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10</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HNW Claims Advocate</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High-value claim navigation, appraisal coordination, complex loss support</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8</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bl>
    <w:p>
      <w:pPr>
        <w:spacing w:before="160"/>
      </w:pPr>
      <w:r>
        <w:t xml:space="preserve"/>
      </w:r>
    </w:p>
    <w:p>
      <w:pPr>
        <w:pStyle w:val="Heading4"/>
        <w:spacing w:after="100" w:before="180"/>
      </w:pPr>
      <w:r>
        <w:rPr>
          <w:rFonts w:ascii="Arial" w:cs="Arial" w:eastAsia="Arial" w:hAnsi="Arial"/>
          <w:b/>
          <w:bCs/>
          <w:color w:val="1F3A5F"/>
          <w:sz w:val="22"/>
          <w:szCs w:val="22"/>
        </w:rPr>
        <w:t xml:space="preserve">PL Distribution</w:t>
      </w:r>
    </w:p>
    <w:p>
      <w:pPr>
        <w:spacing w:after="100" w:before="0"/>
        <w:jc w:val="left"/>
      </w:pPr>
      <w:r>
        <w:rPr>
          <w:rFonts w:ascii="Arial" w:cs="Arial" w:eastAsia="Arial" w:hAnsi="Arial"/>
          <w:b/>
          <w:bCs/>
          <w:color w:val="9C2A2A"/>
          <w:sz w:val="22"/>
          <w:szCs w:val="22"/>
        </w:rPr>
        <w:t xml:space="preserve">Red (≥16): </w:t>
      </w:r>
      <w:r>
        <w:rPr>
          <w:rFonts w:ascii="Arial" w:cs="Arial" w:eastAsia="Arial" w:hAnsi="Arial"/>
          <w:sz w:val="22"/>
          <w:szCs w:val="22"/>
        </w:rPr>
        <w:t xml:space="preserve">5 roles — PL Policy Processor (19), PL Claims Intake (18), PL CSR (17), PL Billing Specialist (17), PL Renewal Processor (16)</w:t>
      </w:r>
    </w:p>
    <w:p>
      <w:pPr>
        <w:spacing w:after="100" w:before="0"/>
        <w:jc w:val="left"/>
      </w:pPr>
      <w:r>
        <w:rPr>
          <w:rFonts w:ascii="Arial" w:cs="Arial" w:eastAsia="Arial" w:hAnsi="Arial"/>
          <w:b/>
          <w:bCs/>
          <w:color w:val="8B6914"/>
          <w:sz w:val="22"/>
          <w:szCs w:val="22"/>
        </w:rPr>
        <w:t xml:space="preserve">Yellow (12–15): </w:t>
      </w:r>
      <w:r>
        <w:rPr>
          <w:rFonts w:ascii="Arial" w:cs="Arial" w:eastAsia="Arial" w:hAnsi="Arial"/>
          <w:sz w:val="22"/>
          <w:szCs w:val="22"/>
        </w:rPr>
        <w:t xml:space="preserve">2 roles — PL Marketing/Rater (14), PL Account Manager (13)</w:t>
      </w:r>
    </w:p>
    <w:p>
      <w:pPr>
        <w:spacing w:after="160" w:before="0"/>
        <w:jc w:val="left"/>
      </w:pPr>
      <w:r>
        <w:rPr>
          <w:rFonts w:ascii="Arial" w:cs="Arial" w:eastAsia="Arial" w:hAnsi="Arial"/>
          <w:b/>
          <w:bCs/>
          <w:color w:val="2A5C2A"/>
          <w:sz w:val="22"/>
          <w:szCs w:val="22"/>
        </w:rPr>
        <w:t xml:space="preserve">Green (&lt;12): </w:t>
      </w:r>
      <w:r>
        <w:rPr>
          <w:rFonts w:ascii="Arial" w:cs="Arial" w:eastAsia="Arial" w:hAnsi="Arial"/>
          <w:sz w:val="22"/>
          <w:szCs w:val="22"/>
        </w:rPr>
        <w:t xml:space="preserve">3 roles — PL Producer (11), HNW Claims Advocate (8), HNW Account Executive (7)</w:t>
      </w:r>
    </w:p>
    <w:p>
      <w:pPr>
        <w:spacing w:after="120" w:before="0"/>
        <w:jc w:val="left"/>
      </w:pPr>
      <w:r>
        <w:rPr>
          <w:rFonts w:ascii="Arial" w:cs="Arial" w:eastAsia="Arial" w:hAnsi="Arial"/>
          <w:b/>
          <w:bCs/>
          <w:sz w:val="22"/>
          <w:szCs w:val="22"/>
        </w:rPr>
        <w:t xml:space="preserve">PL takeaway: </w:t>
      </w:r>
      <w:r>
        <w:rPr>
          <w:rFonts w:ascii="Arial" w:cs="Arial" w:eastAsia="Arial" w:hAnsi="Arial"/>
          <w:sz w:val="22"/>
          <w:szCs w:val="22"/>
        </w:rPr>
        <w:t xml:space="preserve">Fifty percent red-zone concentration, which looks alarming, but with a crucial qualification: Personal Insurance headcount at a commercial-focused platform like Patriot is small relative to P&amp;C and EB. A handful of red-zone roles represent dozens of FTEs, not hundreds. The ROI math is real but narrower. Premier Client / HNW is where the human judgment lives and where Patriot’s premium positioning comes from — explicitly a green zone. The practical recommendation for PL: piggyback on P&amp;C automation infrastructure (same COI, FNOL, policy processor patterns) rather than treating it as a separate build.</w:t>
      </w:r>
      <w:r>
        <w:rPr>
          <w:rFonts w:ascii="Arial" w:cs="Arial" w:eastAsia="Arial" w:hAnsi="Arial"/>
          <w:i/>
          <w:iCs/>
          <w:sz w:val="22"/>
          <w:szCs w:val="22"/>
        </w:rPr>
      </w:r>
    </w:p>
    <w:p>
      <w:pPr>
        <w:pageBreakBefore/>
      </w:pPr>
      <w:r>
        <w:br/>
      </w:r>
    </w:p>
    <w:p>
      <w:pPr>
        <w:pStyle w:val="Heading3"/>
        <w:spacing w:after="120" w:before="220"/>
      </w:pPr>
      <w:r>
        <w:rPr>
          <w:rFonts w:ascii="Arial" w:cs="Arial" w:eastAsia="Arial" w:hAnsi="Arial"/>
          <w:b/>
          <w:bCs/>
          <w:color w:val="1F3A5F"/>
          <w:sz w:val="24"/>
          <w:szCs w:val="24"/>
        </w:rPr>
        <w:t xml:space="preserve">Matrix 4 — Consulting &amp; Other Services (8 roles)</w:t>
      </w:r>
    </w:p>
    <w:p>
      <w:pPr>
        <w:spacing w:after="120" w:before="0"/>
        <w:jc w:val="left"/>
      </w:pPr>
      <w:r>
        <w:rPr>
          <w:rFonts w:ascii="Arial" w:cs="Arial" w:eastAsia="Arial" w:hAnsi="Arial"/>
          <w:b w:val="false"/>
          <w:bCs w:val="false"/>
          <w:i w:val="false"/>
          <w:iCs w:val="false"/>
          <w:color w:val="000000"/>
          <w:sz w:val="22"/>
          <w:szCs w:val="22"/>
        </w:rPr>
        <w:t xml:space="preserve">Cyber Liability, Cybersecurity Program Design, OSHA Professional Services. These are credentialed, consultative, low-volume offerings. The automation case is narrow on purpose. Eight roles is the honest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860"/>
        <w:gridCol w:w="450"/>
        <w:gridCol w:w="500"/>
        <w:gridCol w:w="450"/>
        <w:gridCol w:w="500"/>
        <w:gridCol w:w="600"/>
        <w:gridCol w:w="900"/>
      </w:tblGrid>
      <w:tr>
        <w:trPr>
          <w:tblHeader/>
        </w:trPr>
        <w:tc>
          <w:tcPr>
            <w:tcW w:type="dxa" w:w="4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w:t>
            </w:r>
          </w:p>
        </w:tc>
        <w:tc>
          <w:tcPr>
            <w:tcW w:type="dxa" w:w="17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Role</w:t>
            </w:r>
          </w:p>
        </w:tc>
        <w:tc>
          <w:tcPr>
            <w:tcW w:type="dxa" w:w="386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Essential Tasks</w:t>
            </w:r>
          </w:p>
        </w:tc>
        <w:tc>
          <w:tcPr>
            <w:tcW w:type="dxa" w:w="45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Dim</w:t>
            </w:r>
          </w:p>
        </w:tc>
        <w:tc>
          <w:tcPr>
            <w:tcW w:type="dxa" w:w="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Elast</w:t>
            </w:r>
          </w:p>
        </w:tc>
        <w:tc>
          <w:tcPr>
            <w:tcW w:type="dxa" w:w="45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ROI</w:t>
            </w:r>
          </w:p>
        </w:tc>
        <w:tc>
          <w:tcPr>
            <w:tcW w:type="dxa" w:w="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Comp</w:t>
            </w:r>
          </w:p>
        </w:tc>
        <w:tc>
          <w:tcPr>
            <w:tcW w:type="dxa" w:w="6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Total</w:t>
            </w:r>
          </w:p>
        </w:tc>
        <w:tc>
          <w:tcPr>
            <w:tcW w:type="dxa" w:w="9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Zone</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Cyber Liability Producer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Cyber risk consultation, placement, client education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7</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Cybersecurity Program Designer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Security assessment, framework design, remediation planning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5</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OSHA Compliance Professional</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Site audits, safety program design, training delivery, regulatory response</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6</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Captive Insurance Specialist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Captive structure design, domicile selection, actuarial coordination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6</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Alternative Risk Analyst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Retention analysis, SIR modeling, deductible program design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8</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6</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Executive Protection Consultant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EPLI, D&amp;O, fiduciary liability advisory</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7</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7</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Cyber Claims Specialist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Cyber incident response coordination, forensic vendor mgmt</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8</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8</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Compliance &amp; Resource Consultant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HR/employment law consultation, policy drafting, client training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8</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bl>
    <w:p>
      <w:pPr>
        <w:spacing w:before="160"/>
      </w:pPr>
      <w:r>
        <w:t xml:space="preserve"/>
      </w:r>
    </w:p>
    <w:p>
      <w:pPr>
        <w:pStyle w:val="Heading4"/>
        <w:spacing w:after="100" w:before="180"/>
      </w:pPr>
      <w:r>
        <w:rPr>
          <w:rFonts w:ascii="Arial" w:cs="Arial" w:eastAsia="Arial" w:hAnsi="Arial"/>
          <w:b/>
          <w:bCs/>
          <w:color w:val="1F3A5F"/>
          <w:sz w:val="22"/>
          <w:szCs w:val="22"/>
        </w:rPr>
        <w:t xml:space="preserve">Consulting Distribution</w:t>
      </w:r>
    </w:p>
    <w:p>
      <w:pPr>
        <w:spacing w:after="160" w:before="0"/>
        <w:jc w:val="left"/>
      </w:pPr>
      <w:r>
        <w:rPr>
          <w:rFonts w:ascii="Arial" w:cs="Arial" w:eastAsia="Arial" w:hAnsi="Arial"/>
          <w:b/>
          <w:bCs/>
          <w:sz w:val="22"/>
          <w:szCs w:val="22"/>
        </w:rPr>
        <w:t xml:space="preserve">Red: 0 roles. Yellow: 0 roles. Green: 8 roles — all green.</w:t>
      </w:r>
    </w:p>
    <w:p>
      <w:pPr>
        <w:spacing w:after="120" w:before="0"/>
        <w:jc w:val="left"/>
      </w:pPr>
      <w:r>
        <w:rPr>
          <w:rFonts w:ascii="Arial" w:cs="Arial" w:eastAsia="Arial" w:hAnsi="Arial"/>
          <w:b/>
          <w:bCs/>
          <w:sz w:val="22"/>
          <w:szCs w:val="22"/>
        </w:rPr>
        <w:t xml:space="preserve">Consulting takeaway: </w:t>
      </w:r>
      <w:r>
        <w:rPr>
          <w:rFonts w:ascii="Arial" w:cs="Arial" w:eastAsia="Arial" w:hAnsi="Arial"/>
          <w:sz w:val="22"/>
          <w:szCs w:val="22"/>
        </w:rPr>
        <w:t xml:space="preserve">Almost entirely green. This is credentialed, high-judgment, low-volume work where the “product” is expert opinion and regulatory navigation. Automation is additive (research tools, document drafting assistance, client-facing chatbots for basic questions) but does not displace the core role. Including this matrix in the analysis matters because it proves the scoring is honest. If everything came up red we would have lost credibility. Consulting being 100% green signals the opposite: the framework is doing real work. The practical recommendation for Consulting: not a primary automation target. It is in-scope for cross-sell analytics (which Patriot clients are candidates for cyber review based on P&amp;C profile?) and for productivity augmentation of individual consultants, but the wage-bill-capture math is absent.</w:t>
      </w:r>
      <w:r>
        <w:rPr>
          <w:rFonts w:ascii="Arial" w:cs="Arial" w:eastAsia="Arial" w:hAnsi="Arial"/>
          <w:i/>
          <w:iCs/>
          <w:sz w:val="22"/>
          <w:szCs w:val="22"/>
        </w:rPr>
      </w:r>
    </w:p>
    <w:p>
      <w:pPr>
        <w:pageBreakBefore/>
      </w:pPr>
      <w:r>
        <w:br/>
      </w:r>
    </w:p>
    <w:p>
      <w:pPr>
        <w:pStyle w:val="Heading3"/>
        <w:spacing w:after="120" w:before="220"/>
      </w:pPr>
      <w:r>
        <w:rPr>
          <w:rFonts w:ascii="Arial" w:cs="Arial" w:eastAsia="Arial" w:hAnsi="Arial"/>
          <w:b/>
          <w:bCs/>
          <w:color w:val="1F3A5F"/>
          <w:sz w:val="24"/>
          <w:szCs w:val="24"/>
        </w:rPr>
        <w:t xml:space="preserve">Matrix 5 — Shared Services &amp; Cross-Cutting (12 roles)</w:t>
      </w:r>
    </w:p>
    <w:p>
      <w:pPr>
        <w:spacing w:after="120" w:before="0"/>
        <w:jc w:val="left"/>
      </w:pPr>
      <w:r>
        <w:rPr>
          <w:rFonts w:ascii="Arial" w:cs="Arial" w:eastAsia="Arial" w:hAnsi="Arial"/>
          <w:b w:val="false"/>
          <w:bCs w:val="false"/>
          <w:i w:val="false"/>
          <w:iCs w:val="false"/>
          <w:color w:val="000000"/>
          <w:sz w:val="22"/>
          <w:szCs w:val="22"/>
        </w:rPr>
        <w:t xml:space="preserve">These are the roles that span all lines and are where the acquisition-integration story lives most sharply. Several of these roles replicate across every partner agency — meaning the cumulative wage-bill capture is the sum across 100+ locations, even if per-agency headcount looks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860"/>
        <w:gridCol w:w="450"/>
        <w:gridCol w:w="500"/>
        <w:gridCol w:w="450"/>
        <w:gridCol w:w="500"/>
        <w:gridCol w:w="600"/>
        <w:gridCol w:w="900"/>
      </w:tblGrid>
      <w:tr>
        <w:trPr>
          <w:tblHeader/>
        </w:trPr>
        <w:tc>
          <w:tcPr>
            <w:tcW w:type="dxa" w:w="4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w:t>
            </w:r>
          </w:p>
        </w:tc>
        <w:tc>
          <w:tcPr>
            <w:tcW w:type="dxa" w:w="17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Role</w:t>
            </w:r>
          </w:p>
        </w:tc>
        <w:tc>
          <w:tcPr>
            <w:tcW w:type="dxa" w:w="386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Essential Tasks</w:t>
            </w:r>
          </w:p>
        </w:tc>
        <w:tc>
          <w:tcPr>
            <w:tcW w:type="dxa" w:w="45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Dim</w:t>
            </w:r>
          </w:p>
        </w:tc>
        <w:tc>
          <w:tcPr>
            <w:tcW w:type="dxa" w:w="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Elast</w:t>
            </w:r>
          </w:p>
        </w:tc>
        <w:tc>
          <w:tcPr>
            <w:tcW w:type="dxa" w:w="45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ROI</w:t>
            </w:r>
          </w:p>
        </w:tc>
        <w:tc>
          <w:tcPr>
            <w:tcW w:type="dxa" w:w="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Comp</w:t>
            </w:r>
          </w:p>
        </w:tc>
        <w:tc>
          <w:tcPr>
            <w:tcW w:type="dxa" w:w="6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Total</w:t>
            </w:r>
          </w:p>
        </w:tc>
        <w:tc>
          <w:tcPr>
            <w:tcW w:type="dxa" w:w="9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Zone</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Commission Reconciliation Clerk</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Carrier statement intake, commission calc, variance flagging, producer payout</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Premium Accounting / AR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Premium billing, collection follow-up, trust account posting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Trust Account Reconciler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Fiduciary account reconciliation, premium trust accounting, escheat</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15</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 (high)</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Producer Licensing Coordinator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Producer licensing, appointment tracking, CE, NIPR, state DOI filings</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13</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Surplus Lines Tax Filer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Cross-line surplus lines filing, stamping, state remittance</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17</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6</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Carrier Appointment Coordinator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Carrier appointments, broker of record, contract admin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12</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7</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E&amp;O Risk Administrator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File discipline, E&amp;O audit prep, errors-and-omissions claim handling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8</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8</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Data Governance / Reporting Analyst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Cross-agency book-of-business analytics, mgmt reporting, carrier reporting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11</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9</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M&amp;A Integration Coordinator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New partner onboarding, AMS migration, data mapping, workflow integration</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6</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10</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AMS System Administrator</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Applied Epic / AMS360 config, user mgmt, workflow setup, reporting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2</w:t>
            </w:r>
          </w:p>
        </w:tc>
        <w:tc>
          <w:tcPr>
            <w:tcW w:type="dxa" w:w="6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9</w:t>
            </w:r>
          </w:p>
        </w:tc>
        <w:tc>
          <w:tcPr>
            <w:tcW w:type="dxa" w:w="9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Green</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11</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IT Helpdesk / Tier 1 Support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Password resets, software issues, basic troubleshooting</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5</w:t>
            </w:r>
          </w:p>
        </w:tc>
        <w:tc>
          <w:tcPr>
            <w:tcW w:type="dxa" w:w="6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9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Red</w:t>
            </w:r>
          </w:p>
        </w:tc>
      </w:tr>
      <w:tr>
        <w:tc>
          <w:tcPr>
            <w:tcW w:type="dxa" w:w="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12</w:t>
            </w:r>
          </w:p>
        </w:tc>
        <w:tc>
          <w:tcPr>
            <w:tcW w:type="dxa" w:w="17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HR / Onboarding Specialist</w:t>
            </w:r>
          </w:p>
        </w:tc>
        <w:tc>
          <w:tcPr>
            <w:tcW w:type="dxa" w:w="38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New hire processing, benefits enrollment for Patriot staff, I-9</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3</w:t>
            </w:r>
          </w:p>
        </w:tc>
        <w:tc>
          <w:tcPr>
            <w:tcW w:type="dxa" w:w="45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4</w:t>
            </w:r>
          </w:p>
        </w:tc>
        <w:tc>
          <w:tcPr>
            <w:tcW w:type="dxa" w:w="6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Yellow</w:t>
            </w:r>
          </w:p>
        </w:tc>
      </w:tr>
    </w:tbl>
    <w:p>
      <w:pPr>
        <w:spacing w:before="160"/>
      </w:pPr>
      <w:r>
        <w:t xml:space="preserve"/>
      </w:r>
    </w:p>
    <w:p>
      <w:pPr>
        <w:pStyle w:val="Heading4"/>
        <w:spacing w:after="100" w:before="180"/>
      </w:pPr>
      <w:r>
        <w:rPr>
          <w:rFonts w:ascii="Arial" w:cs="Arial" w:eastAsia="Arial" w:hAnsi="Arial"/>
          <w:b/>
          <w:bCs/>
          <w:color w:val="1F3A5F"/>
          <w:sz w:val="22"/>
          <w:szCs w:val="22"/>
        </w:rPr>
        <w:t xml:space="preserve">Shared Services Distribution</w:t>
      </w:r>
    </w:p>
    <w:p>
      <w:pPr>
        <w:spacing w:after="100" w:before="0"/>
        <w:jc w:val="left"/>
      </w:pPr>
      <w:r>
        <w:rPr>
          <w:rFonts w:ascii="Arial" w:cs="Arial" w:eastAsia="Arial" w:hAnsi="Arial"/>
          <w:b/>
          <w:bCs/>
          <w:color w:val="9C2A2A"/>
          <w:sz w:val="22"/>
          <w:szCs w:val="22"/>
        </w:rPr>
        <w:t xml:space="preserve">Red (≥16): </w:t>
      </w:r>
      <w:r>
        <w:rPr>
          <w:rFonts w:ascii="Arial" w:cs="Arial" w:eastAsia="Arial" w:hAnsi="Arial"/>
          <w:sz w:val="22"/>
          <w:szCs w:val="22"/>
        </w:rPr>
        <w:t xml:space="preserve">4 roles — IT Helpdesk (19), Commission Reconciliation (17), Premium Accounting (17), Surplus Lines Tax Filer (17)</w:t>
      </w:r>
    </w:p>
    <w:p>
      <w:pPr>
        <w:spacing w:after="100" w:before="0"/>
        <w:jc w:val="left"/>
      </w:pPr>
      <w:r>
        <w:rPr>
          <w:rFonts w:ascii="Arial" w:cs="Arial" w:eastAsia="Arial" w:hAnsi="Arial"/>
          <w:b/>
          <w:bCs/>
          <w:color w:val="8B6914"/>
          <w:sz w:val="22"/>
          <w:szCs w:val="22"/>
        </w:rPr>
        <w:t xml:space="preserve">Yellow (12–15): </w:t>
      </w:r>
      <w:r>
        <w:rPr>
          <w:rFonts w:ascii="Arial" w:cs="Arial" w:eastAsia="Arial" w:hAnsi="Arial"/>
          <w:sz w:val="22"/>
          <w:szCs w:val="22"/>
        </w:rPr>
        <w:t xml:space="preserve">4 roles — Trust Account Reconciler (15), HR/Onboarding (14), Producer Licensing (13), Carrier Appointment Coordinator (12)</w:t>
      </w:r>
    </w:p>
    <w:p>
      <w:pPr>
        <w:spacing w:after="160" w:before="0"/>
        <w:jc w:val="left"/>
      </w:pPr>
      <w:r>
        <w:rPr>
          <w:rFonts w:ascii="Arial" w:cs="Arial" w:eastAsia="Arial" w:hAnsi="Arial"/>
          <w:b/>
          <w:bCs/>
          <w:color w:val="2A5C2A"/>
          <w:sz w:val="22"/>
          <w:szCs w:val="22"/>
        </w:rPr>
        <w:t xml:space="preserve">Green (&lt;12): </w:t>
      </w:r>
      <w:r>
        <w:rPr>
          <w:rFonts w:ascii="Arial" w:cs="Arial" w:eastAsia="Arial" w:hAnsi="Arial"/>
          <w:sz w:val="22"/>
          <w:szCs w:val="22"/>
        </w:rPr>
        <w:t xml:space="preserve">4 roles — Data Governance (11), AMS System Administrator (9), E&amp;O Risk Administrator (8), M&amp;A Integration Coordinator (6)</w:t>
      </w:r>
    </w:p>
    <w:p>
      <w:pPr>
        <w:spacing w:after="120" w:before="0"/>
        <w:jc w:val="left"/>
      </w:pPr>
      <w:r>
        <w:rPr>
          <w:rFonts w:ascii="Arial" w:cs="Arial" w:eastAsia="Arial" w:hAnsi="Arial"/>
          <w:b/>
          <w:bCs/>
          <w:sz w:val="22"/>
          <w:szCs w:val="22"/>
        </w:rPr>
        <w:t xml:space="preserve">Shared Services takeaway — and this is the one that matters most for Patriot specifically: </w:t>
      </w:r>
      <w:r>
        <w:rPr>
          <w:rFonts w:ascii="Arial" w:cs="Arial" w:eastAsia="Arial" w:hAnsi="Arial"/>
          <w:sz w:val="22"/>
          <w:szCs w:val="22"/>
        </w:rPr>
        <w:t xml:space="preserve">The M&amp;A Integration Coordinator role scores 6 (green) because Patriot needs it desperately and will need it more every year. This role is expansionary under any realistic scenario. Likewise the AMS System Administrator (9, green) — you will need more of these, not fewer, as heterogeneity grows. The roles that do score red (commission reconciliation, premium accounting, surplus lines, IT helpdesk) are roles that scale linearly with the number of agencies you own. Each new acquisition adds to the wage bill in these functions. Automating them captures value not just once but at every subsequent acquisition. This is the compounding argument for committing to a permanent capability rather than a one-time project.</w:t>
      </w:r>
      <w:r>
        <w:rPr>
          <w:rFonts w:ascii="Arial" w:cs="Arial" w:eastAsia="Arial" w:hAnsi="Arial"/>
          <w:i/>
          <w:iCs/>
          <w:sz w:val="22"/>
          <w:szCs w:val="22"/>
        </w:rPr>
      </w:r>
    </w:p>
    <w:p>
      <w:pPr>
        <w:pageBreakBefore/>
      </w:pPr>
      <w:r>
        <w:br/>
      </w:r>
    </w:p>
    <w:p>
      <w:pPr>
        <w:pStyle w:val="Heading2"/>
        <w:spacing w:after="160" w:before="280"/>
      </w:pPr>
      <w:r>
        <w:rPr>
          <w:rFonts w:ascii="Arial" w:cs="Arial" w:eastAsia="Arial" w:hAnsi="Arial"/>
          <w:b/>
          <w:bCs/>
          <w:color w:val="1F3A5F"/>
          <w:sz w:val="28"/>
          <w:szCs w:val="28"/>
        </w:rPr>
        <w:t xml:space="preserve">5. Cross-Line Observations</w:t>
      </w:r>
    </w:p>
    <w:p>
      <w:pPr>
        <w:spacing w:after="120" w:before="0"/>
        <w:jc w:val="left"/>
      </w:pPr>
      <w:r>
        <w:rPr>
          <w:rFonts w:ascii="Arial" w:cs="Arial" w:eastAsia="Arial" w:hAnsi="Arial"/>
          <w:b w:val="false"/>
          <w:bCs w:val="false"/>
          <w:i w:val="false"/>
          <w:iCs w:val="false"/>
          <w:color w:val="000000"/>
          <w:sz w:val="22"/>
          <w:szCs w:val="22"/>
        </w:rPr>
        <w:t xml:space="preserve">Patterns only visible when you read the five matrices together.</w:t>
      </w:r>
    </w:p>
    <w:p>
      <w:pPr>
        <w:pStyle w:val="Heading3"/>
        <w:spacing w:after="120" w:before="220"/>
      </w:pPr>
      <w:r>
        <w:rPr>
          <w:rFonts w:ascii="Arial" w:cs="Arial" w:eastAsia="Arial" w:hAnsi="Arial"/>
          <w:b/>
          <w:bCs/>
          <w:color w:val="1F3A5F"/>
          <w:sz w:val="24"/>
          <w:szCs w:val="24"/>
        </w:rPr>
        <w:t xml:space="preserve">Roll-up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200"/>
        <w:gridCol w:w="2060"/>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Line</w:t>
            </w:r>
          </w:p>
        </w:tc>
        <w:tc>
          <w:tcPr>
            <w:tcW w:type="dxa" w:w="12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Red</w:t>
            </w:r>
          </w:p>
        </w:tc>
        <w:tc>
          <w:tcPr>
            <w:tcW w:type="dxa" w:w="12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Yellow</w:t>
            </w:r>
          </w:p>
        </w:tc>
        <w:tc>
          <w:tcPr>
            <w:tcW w:type="dxa" w:w="12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Green</w:t>
            </w:r>
          </w:p>
        </w:tc>
        <w:tc>
          <w:tcPr>
            <w:tcW w:type="dxa" w:w="12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Total</w:t>
            </w:r>
          </w:p>
        </w:tc>
        <w:tc>
          <w:tcPr>
            <w:tcW w:type="dxa" w:w="206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Red %</w:t>
            </w:r>
          </w:p>
        </w:tc>
      </w:tr>
      <w:tr>
        <w:tc>
          <w:tcPr>
            <w:tcW w:type="dxa" w:w="2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8"/>
                <w:szCs w:val="18"/>
              </w:rPr>
              <w:t xml:space="preserve">Property &amp; Casualty</w:t>
            </w:r>
          </w:p>
        </w:tc>
        <w:tc>
          <w:tcPr>
            <w:tcW w:type="dxa" w:w="12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12</w:t>
            </w:r>
          </w:p>
        </w:tc>
        <w:tc>
          <w:tcPr>
            <w:tcW w:type="dxa" w:w="12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7</w:t>
            </w:r>
          </w:p>
        </w:tc>
        <w:tc>
          <w:tcPr>
            <w:tcW w:type="dxa" w:w="12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5</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25</w:t>
            </w:r>
          </w:p>
        </w:tc>
        <w:tc>
          <w:tcPr>
            <w:tcW w:type="dxa" w:w="20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8"/>
                <w:szCs w:val="18"/>
              </w:rPr>
              <w:t xml:space="preserve">48%</w:t>
            </w:r>
          </w:p>
        </w:tc>
      </w:tr>
      <w:tr>
        <w:tc>
          <w:tcPr>
            <w:tcW w:type="dxa" w:w="2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8"/>
                <w:szCs w:val="18"/>
              </w:rPr>
              <w:t xml:space="preserve">Employee Benefits</w:t>
            </w:r>
          </w:p>
        </w:tc>
        <w:tc>
          <w:tcPr>
            <w:tcW w:type="dxa" w:w="12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5</w:t>
            </w:r>
          </w:p>
        </w:tc>
        <w:tc>
          <w:tcPr>
            <w:tcW w:type="dxa" w:w="12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10</w:t>
            </w:r>
          </w:p>
        </w:tc>
        <w:tc>
          <w:tcPr>
            <w:tcW w:type="dxa" w:w="12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5</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20</w:t>
            </w:r>
          </w:p>
        </w:tc>
        <w:tc>
          <w:tcPr>
            <w:tcW w:type="dxa" w:w="20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8"/>
                <w:szCs w:val="18"/>
              </w:rPr>
              <w:t xml:space="preserve">25%</w:t>
            </w:r>
          </w:p>
        </w:tc>
      </w:tr>
      <w:tr>
        <w:tc>
          <w:tcPr>
            <w:tcW w:type="dxa" w:w="2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8"/>
                <w:szCs w:val="18"/>
              </w:rPr>
              <w:t xml:space="preserve">Personal Insurance</w:t>
            </w:r>
          </w:p>
        </w:tc>
        <w:tc>
          <w:tcPr>
            <w:tcW w:type="dxa" w:w="12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5</w:t>
            </w:r>
          </w:p>
        </w:tc>
        <w:tc>
          <w:tcPr>
            <w:tcW w:type="dxa" w:w="12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2</w:t>
            </w:r>
          </w:p>
        </w:tc>
        <w:tc>
          <w:tcPr>
            <w:tcW w:type="dxa" w:w="12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3</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10</w:t>
            </w:r>
          </w:p>
        </w:tc>
        <w:tc>
          <w:tcPr>
            <w:tcW w:type="dxa" w:w="20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8"/>
                <w:szCs w:val="18"/>
              </w:rPr>
              <w:t xml:space="preserve">50%</w:t>
            </w:r>
          </w:p>
        </w:tc>
      </w:tr>
      <w:tr>
        <w:tc>
          <w:tcPr>
            <w:tcW w:type="dxa" w:w="2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8"/>
                <w:szCs w:val="18"/>
              </w:rPr>
              <w:t xml:space="preserve">Consulting &amp; Other</w:t>
            </w:r>
          </w:p>
        </w:tc>
        <w:tc>
          <w:tcPr>
            <w:tcW w:type="dxa" w:w="12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0</w:t>
            </w:r>
          </w:p>
        </w:tc>
        <w:tc>
          <w:tcPr>
            <w:tcW w:type="dxa" w:w="12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0</w:t>
            </w:r>
          </w:p>
        </w:tc>
        <w:tc>
          <w:tcPr>
            <w:tcW w:type="dxa" w:w="12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8</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8</w:t>
            </w:r>
          </w:p>
        </w:tc>
        <w:tc>
          <w:tcPr>
            <w:tcW w:type="dxa" w:w="20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8"/>
                <w:szCs w:val="18"/>
              </w:rPr>
              <w:t xml:space="preserve">0%</w:t>
            </w:r>
          </w:p>
        </w:tc>
      </w:tr>
      <w:tr>
        <w:tc>
          <w:tcPr>
            <w:tcW w:type="dxa" w:w="2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8"/>
                <w:szCs w:val="18"/>
              </w:rPr>
              <w:t xml:space="preserve">Shared Services</w:t>
            </w:r>
          </w:p>
        </w:tc>
        <w:tc>
          <w:tcPr>
            <w:tcW w:type="dxa" w:w="12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4</w:t>
            </w:r>
          </w:p>
        </w:tc>
        <w:tc>
          <w:tcPr>
            <w:tcW w:type="dxa" w:w="12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4</w:t>
            </w:r>
          </w:p>
        </w:tc>
        <w:tc>
          <w:tcPr>
            <w:tcW w:type="dxa" w:w="12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4</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12</w:t>
            </w:r>
          </w:p>
        </w:tc>
        <w:tc>
          <w:tcPr>
            <w:tcW w:type="dxa" w:w="20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8"/>
                <w:szCs w:val="18"/>
              </w:rPr>
              <w:t xml:space="preserve">33%</w:t>
            </w:r>
          </w:p>
        </w:tc>
      </w:tr>
      <w:tr>
        <w:tc>
          <w:tcPr>
            <w:tcW w:type="dxa" w:w="2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8"/>
                <w:szCs w:val="18"/>
              </w:rPr>
              <w:t xml:space="preserve">TOTAL</w:t>
            </w:r>
          </w:p>
        </w:tc>
        <w:tc>
          <w:tcPr>
            <w:tcW w:type="dxa" w:w="12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26</w:t>
            </w:r>
          </w:p>
        </w:tc>
        <w:tc>
          <w:tcPr>
            <w:tcW w:type="dxa" w:w="1200"/>
            <w:tcBorders>
              <w:top w:val="single" w:color="BFBFBF" w:sz="4"/>
              <w:left w:val="single" w:color="BFBFBF" w:sz="4"/>
              <w:bottom w:val="single" w:color="BFBFBF" w:sz="4"/>
              <w:right w:val="single" w:color="BFBFBF" w:sz="4"/>
            </w:tcBorders>
            <w:shd w:fill="F5E6A8"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23</w:t>
            </w:r>
          </w:p>
        </w:tc>
        <w:tc>
          <w:tcPr>
            <w:tcW w:type="dxa" w:w="1200"/>
            <w:tcBorders>
              <w:top w:val="single" w:color="BFBFBF" w:sz="4"/>
              <w:left w:val="single" w:color="BFBFBF" w:sz="4"/>
              <w:bottom w:val="single" w:color="BFBFBF" w:sz="4"/>
              <w:right w:val="single" w:color="BFBFBF" w:sz="4"/>
            </w:tcBorders>
            <w:shd w:fill="C8E0C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26</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75</w:t>
            </w:r>
          </w:p>
        </w:tc>
        <w:tc>
          <w:tcPr>
            <w:tcW w:type="dxa" w:w="20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35%</w:t>
            </w:r>
          </w:p>
        </w:tc>
      </w:tr>
    </w:tbl>
    <w:p>
      <w:pPr>
        <w:spacing w:before="200"/>
      </w:pPr>
      <w:r>
        <w:t xml:space="preserve"/>
      </w:r>
    </w:p>
    <w:p>
      <w:pPr>
        <w:spacing w:after="120" w:before="0"/>
        <w:jc w:val="left"/>
      </w:pPr>
      <w:r>
        <w:rPr>
          <w:rFonts w:ascii="Arial" w:cs="Arial" w:eastAsia="Arial" w:hAnsi="Arial"/>
          <w:b w:val="false"/>
          <w:bCs w:val="false"/>
          <w:i w:val="false"/>
          <w:iCs w:val="false"/>
          <w:color w:val="000000"/>
          <w:sz w:val="22"/>
          <w:szCs w:val="22"/>
        </w:rPr>
        <w:t xml:space="preserve">Thirty-five percent of the analyzed roles are red-zone. That is a larger concentration than freight brokerage (32% in our parallel analysis) and substantially larger than what we would expect for a typical financial-services intermediary.</w:t>
      </w:r>
    </w:p>
    <w:p>
      <w:pPr>
        <w:pStyle w:val="Heading4"/>
        <w:spacing w:after="100" w:before="180"/>
      </w:pPr>
      <w:r>
        <w:rPr>
          <w:rFonts w:ascii="Arial" w:cs="Arial" w:eastAsia="Arial" w:hAnsi="Arial"/>
          <w:b/>
          <w:bCs/>
          <w:color w:val="1F3A5F"/>
          <w:sz w:val="22"/>
          <w:szCs w:val="22"/>
        </w:rPr>
        <w:t xml:space="preserve">Observation 1: P&amp;C and PL share a processing backbone.</w:t>
      </w:r>
    </w:p>
    <w:p>
      <w:pPr>
        <w:spacing w:after="120" w:before="0"/>
        <w:jc w:val="left"/>
      </w:pPr>
      <w:r>
        <w:rPr>
          <w:rFonts w:ascii="Arial" w:cs="Arial" w:eastAsia="Arial" w:hAnsi="Arial"/>
          <w:b w:val="false"/>
          <w:bCs w:val="false"/>
          <w:i w:val="false"/>
          <w:iCs w:val="false"/>
          <w:color w:val="000000"/>
          <w:sz w:val="22"/>
          <w:szCs w:val="22"/>
        </w:rPr>
        <w:t xml:space="preserve">Roles 8–14 in P&amp;C and roles 5–8 in PL are essentially the same work on different inputs: policy processing, endorsement processing, COI handling, claims intake, policy data entry. A build that addresses P&amp;C processing delivers most of PL processing for free. This is an architectural fact that affects the Phase 1/Phase 2 sequencing substantially.</w:t>
      </w:r>
    </w:p>
    <w:p>
      <w:pPr>
        <w:pStyle w:val="Heading4"/>
        <w:spacing w:after="100" w:before="180"/>
      </w:pPr>
      <w:r>
        <w:rPr>
          <w:rFonts w:ascii="Arial" w:cs="Arial" w:eastAsia="Arial" w:hAnsi="Arial"/>
          <w:b/>
          <w:bCs/>
          <w:color w:val="1F3A5F"/>
          <w:sz w:val="22"/>
          <w:szCs w:val="22"/>
        </w:rPr>
        <w:t xml:space="preserve">Observation 2: EB is a different technical project.</w:t>
      </w:r>
    </w:p>
    <w:p>
      <w:pPr>
        <w:spacing w:after="120" w:before="0"/>
        <w:jc w:val="left"/>
      </w:pPr>
      <w:r>
        <w:rPr>
          <w:rFonts w:ascii="Arial" w:cs="Arial" w:eastAsia="Arial" w:hAnsi="Arial"/>
          <w:b w:val="false"/>
          <w:bCs w:val="false"/>
          <w:i w:val="false"/>
          <w:iCs w:val="false"/>
          <w:color w:val="000000"/>
          <w:sz w:val="22"/>
          <w:szCs w:val="22"/>
        </w:rPr>
        <w:t xml:space="preserve">EDI/834 file management, ACA reporting, COBRA processing, and self-funded plan modeling are operationally different from P&amp;C document processing. An EB implementation shares perhaps 30% of its surface area with a P&amp;C implementation. Pitching “broker automation” as one project is wrong; pitching “P&amp;C+PL first, EB as a distinct second track” is right.</w:t>
      </w:r>
    </w:p>
    <w:p>
      <w:pPr>
        <w:pStyle w:val="Heading4"/>
        <w:spacing w:after="100" w:before="180"/>
      </w:pPr>
      <w:r>
        <w:rPr>
          <w:rFonts w:ascii="Arial" w:cs="Arial" w:eastAsia="Arial" w:hAnsi="Arial"/>
          <w:b/>
          <w:bCs/>
          <w:color w:val="1F3A5F"/>
          <w:sz w:val="22"/>
          <w:szCs w:val="22"/>
        </w:rPr>
        <w:t xml:space="preserve">Observation 3: Consulting is the control group.</w:t>
      </w:r>
    </w:p>
    <w:p>
      <w:pPr>
        <w:spacing w:after="120" w:before="0"/>
        <w:jc w:val="left"/>
      </w:pPr>
      <w:r>
        <w:rPr>
          <w:rFonts w:ascii="Arial" w:cs="Arial" w:eastAsia="Arial" w:hAnsi="Arial"/>
          <w:b w:val="false"/>
          <w:bCs w:val="false"/>
          <w:i w:val="false"/>
          <w:iCs w:val="false"/>
          <w:color w:val="000000"/>
          <w:sz w:val="22"/>
          <w:szCs w:val="22"/>
        </w:rPr>
        <w:t xml:space="preserve">Zero red-zone roles across 8 scored roles is the result we would predict from the framework given that consulting is high-judgment, low-volume, credentialed work. The fact that our scoring produces this expected result rather than the convenient “everything is red” result is a sign that the framework is working and our application of it is honest.</w:t>
      </w:r>
    </w:p>
    <w:p>
      <w:pPr>
        <w:pStyle w:val="Heading4"/>
        <w:spacing w:after="100" w:before="180"/>
      </w:pPr>
      <w:r>
        <w:rPr>
          <w:rFonts w:ascii="Arial" w:cs="Arial" w:eastAsia="Arial" w:hAnsi="Arial"/>
          <w:b/>
          <w:bCs/>
          <w:color w:val="1F3A5F"/>
          <w:sz w:val="22"/>
          <w:szCs w:val="22"/>
        </w:rPr>
        <w:t xml:space="preserve">Observation 4: Shared Services is where the acquisition story compounds.</w:t>
      </w:r>
    </w:p>
    <w:p>
      <w:pPr>
        <w:spacing w:after="120" w:before="0"/>
        <w:jc w:val="left"/>
      </w:pPr>
      <w:r>
        <w:rPr>
          <w:rFonts w:ascii="Arial" w:cs="Arial" w:eastAsia="Arial" w:hAnsi="Arial"/>
          <w:b w:val="false"/>
          <w:bCs w:val="false"/>
          <w:i w:val="false"/>
          <w:iCs w:val="false"/>
          <w:color w:val="000000"/>
          <w:sz w:val="22"/>
          <w:szCs w:val="22"/>
        </w:rPr>
        <w:t xml:space="preserve">The M&amp;A integration role and the AMS admin role score green because demand for them grows with every new agency. Commission reconciliation, premium accounting, and surplus lines filing score red because they scale linearly and the wage bill compounds. This is the specific pattern that makes custom build economics work: every subsequent acquisition increases the return on the original build.</w:t>
      </w:r>
    </w:p>
    <w:p>
      <w:pPr>
        <w:pStyle w:val="Heading4"/>
        <w:spacing w:after="100" w:before="180"/>
      </w:pPr>
      <w:r>
        <w:rPr>
          <w:rFonts w:ascii="Arial" w:cs="Arial" w:eastAsia="Arial" w:hAnsi="Arial"/>
          <w:b/>
          <w:bCs/>
          <w:color w:val="1F3A5F"/>
          <w:sz w:val="22"/>
          <w:szCs w:val="22"/>
        </w:rPr>
        <w:t xml:space="preserve">Observation 5: The account manager role is the pivot.</w:t>
      </w:r>
    </w:p>
    <w:p>
      <w:pPr>
        <w:spacing w:after="120" w:before="0"/>
        <w:jc w:val="left"/>
      </w:pPr>
      <w:r>
        <w:rPr>
          <w:rFonts w:ascii="Arial" w:cs="Arial" w:eastAsia="Arial" w:hAnsi="Arial"/>
          <w:b w:val="false"/>
          <w:bCs w:val="false"/>
          <w:i w:val="false"/>
          <w:iCs w:val="false"/>
          <w:color w:val="000000"/>
          <w:sz w:val="22"/>
          <w:szCs w:val="22"/>
        </w:rPr>
        <w:t xml:space="preserve">Account managers and CSRs score very differently across lines (CL CSR = 17 red, CL AM = 10 green, PL CSR = 17 red, PL AM = 13 yellow, EB CSR = 16 red, EB AM = 10 green). The pattern is: the CSR role is what we displace, and the AM role is what survives. Most brokers conflate these two; the matrix shows they are structurally different jobs. A Patriot that articulates this distinction can protect the client-relationship value of the AM role while capturing the back-office cost of the CSR role — exactly the pitch the “highly autonomous” brand promise requires.</w:t>
      </w:r>
    </w:p>
    <w:p>
      <w:pPr>
        <w:pStyle w:val="Heading4"/>
        <w:spacing w:after="100" w:before="180"/>
      </w:pPr>
      <w:r>
        <w:rPr>
          <w:rFonts w:ascii="Arial" w:cs="Arial" w:eastAsia="Arial" w:hAnsi="Arial"/>
          <w:b/>
          <w:bCs/>
          <w:color w:val="1F3A5F"/>
          <w:sz w:val="22"/>
          <w:szCs w:val="22"/>
        </w:rPr>
        <w:t xml:space="preserve">Observation 6: Competitive pressure is high across the matrix.</w:t>
      </w:r>
    </w:p>
    <w:p>
      <w:pPr>
        <w:spacing w:after="120" w:before="0"/>
        <w:jc w:val="left"/>
      </w:pPr>
      <w:r>
        <w:rPr>
          <w:rFonts w:ascii="Arial" w:cs="Arial" w:eastAsia="Arial" w:hAnsi="Arial"/>
          <w:b w:val="false"/>
          <w:bCs w:val="false"/>
          <w:i w:val="false"/>
          <w:iCs w:val="false"/>
          <w:color w:val="000000"/>
          <w:sz w:val="22"/>
          <w:szCs w:val="22"/>
        </w:rPr>
        <w:t xml:space="preserve">Roots Automation, Hyperscience, Selectsys, Patra, ResourcePro, Papyra, Zywave, Indico, Shift Technology, Gradient AI, Selerix (for EB), ACA Reporter (for EB compliance), Applied and Vertafore native AI features — all are active in insurance-broker automation today. Most red-zone roles score 4 or 5 on competitive pressure. In practical terms: the specific answer to “why us not them” must live in the custom-build-for-heterogeneous-AMS-footprint positioning, because on features alone off-the-shelf vendors are further along.</w:t>
      </w:r>
    </w:p>
    <w:p>
      <w:pPr>
        <w:pageBreakBefore/>
      </w:pPr>
      <w:r>
        <w:br/>
      </w:r>
    </w:p>
    <w:p>
      <w:pPr>
        <w:pStyle w:val="Heading2"/>
        <w:spacing w:after="160" w:before="280"/>
      </w:pPr>
      <w:r>
        <w:rPr>
          <w:rFonts w:ascii="Arial" w:cs="Arial" w:eastAsia="Arial" w:hAnsi="Arial"/>
          <w:b/>
          <w:bCs/>
          <w:color w:val="1F3A5F"/>
          <w:sz w:val="28"/>
          <w:szCs w:val="28"/>
        </w:rPr>
        <w:t xml:space="preserve">6. Top Red-Zone Priorities Across All Lines</w:t>
      </w:r>
    </w:p>
    <w:p>
      <w:pPr>
        <w:spacing w:after="120" w:before="0"/>
        <w:jc w:val="left"/>
      </w:pPr>
      <w:r>
        <w:rPr>
          <w:rFonts w:ascii="Arial" w:cs="Arial" w:eastAsia="Arial" w:hAnsi="Arial"/>
          <w:b w:val="false"/>
          <w:bCs w:val="false"/>
          <w:i w:val="false"/>
          <w:iCs w:val="false"/>
          <w:color w:val="000000"/>
          <w:sz w:val="22"/>
          <w:szCs w:val="22"/>
        </w:rPr>
        <w:t xml:space="preserve">The ten roles that combine highest matrix score, greatest Patriot-specific fit, and strongest sponsor-defensibility.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200"/>
        <w:gridCol w:w="800"/>
        <w:gridCol w:w="4460"/>
      </w:tblGrid>
      <w:tr>
        <w:trPr>
          <w:tblHeader/>
        </w:trPr>
        <w:tc>
          <w:tcPr>
            <w:tcW w:type="dxa" w:w="5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Rank</w:t>
            </w:r>
          </w:p>
        </w:tc>
        <w:tc>
          <w:tcPr>
            <w:tcW w:type="dxa" w:w="24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Role</w:t>
            </w:r>
          </w:p>
        </w:tc>
        <w:tc>
          <w:tcPr>
            <w:tcW w:type="dxa" w:w="12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Line</w:t>
            </w:r>
          </w:p>
        </w:tc>
        <w:tc>
          <w:tcPr>
            <w:tcW w:type="dxa" w:w="80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Score</w:t>
            </w:r>
          </w:p>
        </w:tc>
        <w:tc>
          <w:tcPr>
            <w:tcW w:type="dxa" w:w="4460"/>
            <w:tcBorders>
              <w:top w:val="single" w:color="BFBFBF" w:sz="4"/>
              <w:left w:val="single" w:color="BFBFBF" w:sz="4"/>
              <w:bottom w:val="single" w:color="BFBFBF" w:sz="4"/>
              <w:right w:val="single" w:color="BFBFBF" w:sz="4"/>
            </w:tcBorders>
            <w:shd w:fill="1F3A5F"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FFFFFF"/>
                <w:sz w:val="16"/>
                <w:szCs w:val="16"/>
              </w:rPr>
              <w:t xml:space="preserve">Why This One</w:t>
            </w:r>
          </w:p>
        </w:tc>
      </w:tr>
      <w:tr>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1</w:t>
            </w:r>
          </w:p>
        </w:tc>
        <w:tc>
          <w:tcPr>
            <w:tcW w:type="dxa" w:w="2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COI Clerk</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P&amp;C</w:t>
            </w:r>
          </w:p>
        </w:tc>
        <w:tc>
          <w:tcPr>
            <w:tcW w:type="dxa" w:w="8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44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Highest volume, one essential task, mature competitive pressure. Cleanest first engagement.</w:t>
            </w:r>
          </w:p>
        </w:tc>
      </w:tr>
      <w:tr>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2</w:t>
            </w:r>
          </w:p>
        </w:tc>
        <w:tc>
          <w:tcPr>
            <w:tcW w:type="dxa" w:w="2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Policy Processor</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PL</w:t>
            </w:r>
          </w:p>
        </w:tc>
        <w:tc>
          <w:tcPr>
            <w:tcW w:type="dxa" w:w="8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44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Volume-heavy, AMS-agnostic build pattern, shares infra with P&amp;C processor.</w:t>
            </w:r>
          </w:p>
        </w:tc>
      </w:tr>
      <w:tr>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3</w:t>
            </w:r>
          </w:p>
        </w:tc>
        <w:tc>
          <w:tcPr>
            <w:tcW w:type="dxa" w:w="2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Data Entry / AMS Admin</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P&amp;C</w:t>
            </w:r>
          </w:p>
        </w:tc>
        <w:tc>
          <w:tcPr>
            <w:tcW w:type="dxa" w:w="8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44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The "plumbing" role. Hits every agency. Unlocks everything downstream.</w:t>
            </w:r>
          </w:p>
        </w:tc>
      </w:tr>
      <w:tr>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4</w:t>
            </w:r>
          </w:p>
        </w:tc>
        <w:tc>
          <w:tcPr>
            <w:tcW w:type="dxa" w:w="2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FNOL Intake Clerk</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P&amp;C</w:t>
            </w:r>
          </w:p>
        </w:tc>
        <w:tc>
          <w:tcPr>
            <w:tcW w:type="dxa" w:w="8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44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Claims matter more than COIs to client experience. Strong augmentation story.</w:t>
            </w:r>
          </w:p>
        </w:tc>
      </w:tr>
      <w:tr>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5</w:t>
            </w:r>
          </w:p>
        </w:tc>
        <w:tc>
          <w:tcPr>
            <w:tcW w:type="dxa" w:w="2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Endorsement Processor</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PL</w:t>
            </w:r>
          </w:p>
        </w:tc>
        <w:tc>
          <w:tcPr>
            <w:tcW w:type="dxa" w:w="8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44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Pairs with #10. Volume at PL scale.</w:t>
            </w:r>
          </w:p>
        </w:tc>
      </w:tr>
      <w:tr>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6</w:t>
            </w:r>
          </w:p>
        </w:tc>
        <w:tc>
          <w:tcPr>
            <w:tcW w:type="dxa" w:w="2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IT Helpdesk / Tier 1</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Shared</w:t>
            </w:r>
          </w:p>
        </w:tc>
        <w:tc>
          <w:tcPr>
            <w:tcW w:type="dxa" w:w="8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19</w:t>
            </w:r>
          </w:p>
        </w:tc>
        <w:tc>
          <w:tcPr>
            <w:tcW w:type="dxa" w:w="44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Cross-line, cross-agency, immediate ROI. Well-understood category.</w:t>
            </w:r>
          </w:p>
        </w:tc>
      </w:tr>
      <w:tr>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7</w:t>
            </w:r>
          </w:p>
        </w:tc>
        <w:tc>
          <w:tcPr>
            <w:tcW w:type="dxa" w:w="2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Certificate Compliance Checker</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P&amp;C</w:t>
            </w:r>
          </w:p>
        </w:tc>
        <w:tc>
          <w:tcPr>
            <w:tcW w:type="dxa" w:w="8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18</w:t>
            </w:r>
          </w:p>
        </w:tc>
        <w:tc>
          <w:tcPr>
            <w:tcW w:type="dxa" w:w="44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Closes the loop on COI. Audit work that is pure rule-matching.</w:t>
            </w:r>
          </w:p>
        </w:tc>
      </w:tr>
      <w:tr>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8</w:t>
            </w:r>
          </w:p>
        </w:tc>
        <w:tc>
          <w:tcPr>
            <w:tcW w:type="dxa" w:w="2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Policy Processor</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P&amp;C</w:t>
            </w:r>
          </w:p>
        </w:tc>
        <w:tc>
          <w:tcPr>
            <w:tcW w:type="dxa" w:w="8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18</w:t>
            </w:r>
          </w:p>
        </w:tc>
        <w:tc>
          <w:tcPr>
            <w:tcW w:type="dxa" w:w="44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Complexity is higher than PL; custom build pays more here.</w:t>
            </w:r>
          </w:p>
        </w:tc>
      </w:tr>
      <w:tr>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9</w:t>
            </w:r>
          </w:p>
        </w:tc>
        <w:tc>
          <w:tcPr>
            <w:tcW w:type="dxa" w:w="2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CL Endorsement Processor</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P&amp;C</w:t>
            </w:r>
          </w:p>
        </w:tc>
        <w:tc>
          <w:tcPr>
            <w:tcW w:type="dxa" w:w="8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18</w:t>
            </w:r>
          </w:p>
        </w:tc>
        <w:tc>
          <w:tcPr>
            <w:tcW w:type="dxa" w:w="44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Pairs with #8. Same pattern.</w:t>
            </w:r>
          </w:p>
        </w:tc>
      </w:tr>
      <w:tr>
        <w:tc>
          <w:tcPr>
            <w:tcW w:type="dxa" w:w="5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8"/>
                <w:szCs w:val="18"/>
              </w:rPr>
              <w:t xml:space="preserve">10</w:t>
            </w:r>
          </w:p>
        </w:tc>
        <w:tc>
          <w:tcPr>
            <w:tcW w:type="dxa" w:w="24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bCs/>
                <w:i w:val="false"/>
                <w:iCs w:val="false"/>
                <w:color w:val="000000"/>
                <w:sz w:val="16"/>
                <w:szCs w:val="16"/>
              </w:rPr>
              <w:t xml:space="preserve">PL Claims Intake</w:t>
            </w:r>
          </w:p>
        </w:tc>
        <w:tc>
          <w:tcPr>
            <w:tcW w:type="dxa" w:w="120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center"/>
            </w:pPr>
            <w:r>
              <w:rPr>
                <w:rFonts w:ascii="Arial" w:cs="Arial" w:eastAsia="Arial" w:hAnsi="Arial"/>
                <w:b w:val="false"/>
                <w:bCs w:val="false"/>
                <w:i w:val="false"/>
                <w:iCs w:val="false"/>
                <w:color w:val="000000"/>
                <w:sz w:val="16"/>
                <w:szCs w:val="16"/>
              </w:rPr>
              <w:t xml:space="preserve">PL</w:t>
            </w:r>
          </w:p>
        </w:tc>
        <w:tc>
          <w:tcPr>
            <w:tcW w:type="dxa" w:w="800"/>
            <w:tcBorders>
              <w:top w:val="single" w:color="BFBFBF" w:sz="4"/>
              <w:left w:val="single" w:color="BFBFBF" w:sz="4"/>
              <w:bottom w:val="single" w:color="BFBFBF" w:sz="4"/>
              <w:right w:val="single" w:color="BFBFBF" w:sz="4"/>
            </w:tcBorders>
            <w:shd w:fill="E8B4B4" w:val="clear"/>
            <w:tcMar>
              <w:top w:type="dxa" w:w="50"/>
              <w:left w:type="dxa" w:w="70"/>
              <w:bottom w:type="dxa" w:w="50"/>
              <w:right w:type="dxa" w:w="70"/>
            </w:tcMar>
            <w:vAlign w:val="center"/>
          </w:tcPr>
          <w:p>
            <w:pPr>
              <w:spacing w:after="0" w:before="0"/>
              <w:jc w:val="center"/>
            </w:pPr>
            <w:r>
              <w:rPr>
                <w:rFonts w:ascii="Arial" w:cs="Arial" w:eastAsia="Arial" w:hAnsi="Arial"/>
                <w:b/>
                <w:bCs/>
                <w:i w:val="false"/>
                <w:iCs w:val="false"/>
                <w:color w:val="000000"/>
                <w:sz w:val="16"/>
                <w:szCs w:val="16"/>
              </w:rPr>
              <w:t xml:space="preserve">18</w:t>
            </w:r>
          </w:p>
        </w:tc>
        <w:tc>
          <w:tcPr>
            <w:tcW w:type="dxa" w:w="4460"/>
            <w:tcBorders>
              <w:top w:val="single" w:color="BFBFBF" w:sz="4"/>
              <w:left w:val="single" w:color="BFBFBF" w:sz="4"/>
              <w:bottom w:val="single" w:color="BFBFBF" w:sz="4"/>
              <w:right w:val="single" w:color="BFBFBF" w:sz="4"/>
            </w:tcBorders>
            <w:tcMar>
              <w:top w:type="dxa" w:w="50"/>
              <w:left w:type="dxa" w:w="70"/>
              <w:bottom w:type="dxa" w:w="50"/>
              <w:right w:type="dxa" w:w="70"/>
            </w:tcMar>
            <w:vAlign w:val="center"/>
          </w:tcPr>
          <w:p>
            <w:pPr>
              <w:spacing w:after="0" w:before="0"/>
              <w:jc w:val="left"/>
            </w:pPr>
            <w:r>
              <w:rPr>
                <w:rFonts w:ascii="Arial" w:cs="Arial" w:eastAsia="Arial" w:hAnsi="Arial"/>
                <w:b w:val="false"/>
                <w:bCs w:val="false"/>
                <w:i w:val="false"/>
                <w:iCs w:val="false"/>
                <w:color w:val="000000"/>
                <w:sz w:val="15"/>
                <w:szCs w:val="15"/>
              </w:rPr>
              <w:t xml:space="preserve">Shares infrastructure with FNOL (#4).</w:t>
            </w:r>
          </w:p>
        </w:tc>
      </w:tr>
    </w:tbl>
    <w:p>
      <w:pPr>
        <w:spacing w:before="200"/>
      </w:pPr>
      <w:r>
        <w:t xml:space="preserve"/>
      </w:r>
    </w:p>
    <w:p>
      <w:pPr>
        <w:spacing w:after="120" w:before="0"/>
        <w:jc w:val="left"/>
      </w:pPr>
      <w:r>
        <w:rPr>
          <w:rFonts w:ascii="Arial" w:cs="Arial" w:eastAsia="Arial" w:hAnsi="Arial"/>
          <w:b/>
          <w:bCs/>
          <w:sz w:val="22"/>
          <w:szCs w:val="22"/>
        </w:rPr>
        <w:t xml:space="preserve">What this list tells us about sequencing. </w:t>
      </w:r>
      <w:r>
        <w:rPr>
          <w:rFonts w:ascii="Arial" w:cs="Arial" w:eastAsia="Arial" w:hAnsi="Arial"/>
          <w:sz w:val="22"/>
          <w:szCs w:val="22"/>
        </w:rPr>
        <w:t xml:space="preserve">Phase 1 should be a single role that proves the AMS-agnostic build pattern (COI) and establishes the technical foundation. Phase 2 extends the same foundation to a second role that shares substantial infrastructure (Certificate Compliance Checker — the verification counterpart to COI generation). Phase 3 branches into the policy/endorsement processor family, which shares the document-intake pattern but requires more carrier-specific output. Phase 4 picks up FNOL/claims intake. Phase 5 addresses the shared-services cluster (commission reconciliation, premium accounting, surplus lines). Phases 6+ address EB on its own track because the technical foundation is substantially different.</w:t>
      </w:r>
    </w:p>
    <w:p>
      <w:pPr>
        <w:spacing w:after="120" w:before="0"/>
        <w:jc w:val="left"/>
      </w:pPr>
      <w:r>
        <w:rPr>
          <w:rFonts w:ascii="Arial" w:cs="Arial" w:eastAsia="Arial" w:hAnsi="Arial"/>
          <w:b w:val="false"/>
          <w:bCs w:val="false"/>
          <w:i w:val="false"/>
          <w:iCs w:val="false"/>
          <w:color w:val="000000"/>
          <w:sz w:val="22"/>
          <w:szCs w:val="22"/>
        </w:rPr>
        <w:t xml:space="preserve">This sequencing is an argument against deploying off-the-shelf point solutions for each role. Each off-the-shelf vendor comes with its own integration layer, its own data model, its own configuration surface. By the time you stack five vendors you have rebuilt the integration debt you were trying to automate away. A single custom-built foundation that all five use is specifically the opposite architectural pattern.</w:t>
      </w:r>
    </w:p>
    <w:p>
      <w:pPr>
        <w:pStyle w:val="Heading2"/>
        <w:spacing w:after="160" w:before="280"/>
      </w:pPr>
      <w:r>
        <w:rPr>
          <w:rFonts w:ascii="Arial" w:cs="Arial" w:eastAsia="Arial" w:hAnsi="Arial"/>
          <w:b/>
          <w:bCs/>
          <w:color w:val="1F3A5F"/>
          <w:sz w:val="28"/>
          <w:szCs w:val="28"/>
        </w:rPr>
        <w:t xml:space="preserve">7. Where We Would Start</w:t>
      </w:r>
    </w:p>
    <w:p>
      <w:pPr>
        <w:spacing w:after="120" w:before="0"/>
        <w:jc w:val="left"/>
      </w:pPr>
      <w:r>
        <w:rPr>
          <w:rFonts w:ascii="Arial" w:cs="Arial" w:eastAsia="Arial" w:hAnsi="Arial"/>
          <w:b w:val="false"/>
          <w:bCs w:val="false"/>
          <w:i w:val="false"/>
          <w:iCs w:val="false"/>
          <w:color w:val="000000"/>
          <w:sz w:val="22"/>
          <w:szCs w:val="22"/>
        </w:rPr>
        <w:t xml:space="preserve">A concrete first engagement, scoped narrowly enough to ship a result and broad enough to demonstrate the AMS-agnostic build pattern that is the core of our offering.</w:t>
      </w:r>
    </w:p>
    <w:p>
      <w:pPr>
        <w:spacing w:after="120" w:before="0"/>
        <w:jc w:val="left"/>
      </w:pPr>
      <w:r>
        <w:rPr>
          <w:rFonts w:ascii="Arial" w:cs="Arial" w:eastAsia="Arial" w:hAnsi="Arial"/>
          <w:b/>
          <w:bCs/>
          <w:sz w:val="22"/>
          <w:szCs w:val="22"/>
        </w:rPr>
        <w:t xml:space="preserve">Phase 1 — COI Automation in one P&amp;C vertical, across two AMS platforms, three agencies. Ninety-day build. </w:t>
      </w:r>
    </w:p>
    <w:p>
      <w:pPr>
        <w:spacing w:after="120" w:before="0"/>
        <w:jc w:val="left"/>
      </w:pPr>
      <w:r>
        <w:rPr>
          <w:rFonts w:ascii="Arial" w:cs="Arial" w:eastAsia="Arial" w:hAnsi="Arial"/>
          <w:b w:val="false"/>
          <w:bCs w:val="false"/>
          <w:i w:val="false"/>
          <w:iCs w:val="false"/>
          <w:color w:val="000000"/>
          <w:sz w:val="22"/>
          <w:szCs w:val="22"/>
        </w:rPr>
        <w:t xml:space="preserve">We select three Patriot partner agencies that together cover: (a) at least two distinct AMS systems (ideally Applied Epic and AMS360, the two most common at platform scale); (b) one commercial P&amp;C vertical with high COI volume (construction and habitational are the strongest candidates based on contract-driven COI demand); (c) a mix of agency sizes to test that the abstraction scales down to the smallest agencies as well as up.</w:t>
      </w:r>
    </w:p>
    <w:p>
      <w:pPr>
        <w:spacing w:after="120" w:before="0"/>
        <w:jc w:val="left"/>
      </w:pPr>
      <w:r>
        <w:rPr>
          <w:rFonts w:ascii="Arial" w:cs="Arial" w:eastAsia="Arial" w:hAnsi="Arial"/>
          <w:b w:val="false"/>
          <w:bCs w:val="false"/>
          <w:i w:val="false"/>
          <w:iCs w:val="false"/>
          <w:color w:val="000000"/>
          <w:sz w:val="22"/>
          <w:szCs w:val="22"/>
        </w:rPr>
        <w:t xml:space="preserve">Deliverable: an AMS-agnostic COI automation service that handles 70–85% of certificate requests straight-through, with human-in-the-loop review for the balance. The human-in-the-loop design is deliberate — it preserves E&amp;O discipline, it respects the commercial CSR’s role in the client relationship, and it provides the training signal the system needs to improve over time.</w:t>
      </w:r>
    </w:p>
    <w:p>
      <w:pPr>
        <w:spacing w:after="120" w:before="0"/>
        <w:jc w:val="left"/>
      </w:pPr>
      <w:r>
        <w:rPr>
          <w:rFonts w:ascii="Arial" w:cs="Arial" w:eastAsia="Arial" w:hAnsi="Arial"/>
          <w:b/>
          <w:bCs/>
          <w:sz w:val="22"/>
          <w:szCs w:val="22"/>
        </w:rPr>
        <w:t xml:space="preserve">Measurable outcomes: </w:t>
      </w:r>
      <w:r>
        <w:rPr>
          <w:rFonts w:ascii="Arial" w:cs="Arial" w:eastAsia="Arial" w:hAnsi="Arial"/>
          <w:sz w:val="22"/>
          <w:szCs w:val="22"/>
        </w:rPr>
        <w:t xml:space="preserve">COI turnaround time target under 2 hours median, from current typical 8–24 hours; processor time reclaimed on COI work target 60–70%; straight-through processing rate target 70–85% by end of 90 days; AMS coverage working on both target AMS systems with a documented pattern for adding a third in under 30 days; integration documentation that Phase 2+ builds on.</w:t>
      </w:r>
    </w:p>
    <w:p>
      <w:pPr>
        <w:spacing w:after="120" w:before="0"/>
        <w:jc w:val="left"/>
      </w:pPr>
      <w:r>
        <w:rPr>
          <w:rFonts w:ascii="Arial" w:cs="Arial" w:eastAsia="Arial" w:hAnsi="Arial"/>
          <w:b w:val="false"/>
          <w:bCs w:val="false"/>
          <w:i w:val="false"/>
          <w:iCs w:val="false"/>
          <w:color w:val="000000"/>
          <w:sz w:val="22"/>
          <w:szCs w:val="22"/>
        </w:rPr>
        <w:t xml:space="preserve">Pricing: fixed-fee build at a scope both sides can agree on in the first meeting. We do not do hourly.</w:t>
      </w:r>
    </w:p>
    <w:p>
      <w:pPr>
        <w:spacing w:after="120" w:before="0"/>
        <w:jc w:val="left"/>
      </w:pPr>
      <w:r>
        <w:rPr>
          <w:rFonts w:ascii="Arial" w:cs="Arial" w:eastAsia="Arial" w:hAnsi="Arial"/>
          <w:b/>
          <w:bCs/>
          <w:sz w:val="22"/>
          <w:szCs w:val="22"/>
        </w:rPr>
        <w:t xml:space="preserve">Phase 2 — Certificate Compliance Checker in the same agencies. </w:t>
      </w:r>
      <w:r>
        <w:rPr>
          <w:rFonts w:ascii="Arial" w:cs="Arial" w:eastAsia="Arial" w:hAnsi="Arial"/>
          <w:sz w:val="22"/>
          <w:szCs w:val="22"/>
        </w:rPr>
        <w:t xml:space="preserve">Another ninety-day build. Now that COIs are being generated automatically, the audit counterpart — verifying each generated COI against the underlying contract requirements and flagging discrepancies — is the natural next move. This closes the loop on COI as a business process and it demonstrates that the build pattern extends across related roles with minimal incremental cost.</w:t>
      </w:r>
    </w:p>
    <w:p>
      <w:pPr>
        <w:spacing w:after="120" w:before="0"/>
        <w:jc w:val="left"/>
      </w:pPr>
      <w:r>
        <w:rPr>
          <w:rFonts w:ascii="Arial" w:cs="Arial" w:eastAsia="Arial" w:hAnsi="Arial"/>
          <w:b/>
          <w:bCs/>
          <w:sz w:val="22"/>
          <w:szCs w:val="22"/>
        </w:rPr>
        <w:t xml:space="preserve">Phase 3 — Policy / Endorsement Processor family. </w:t>
      </w:r>
      <w:r>
        <w:rPr>
          <w:rFonts w:ascii="Arial" w:cs="Arial" w:eastAsia="Arial" w:hAnsi="Arial"/>
          <w:sz w:val="22"/>
          <w:szCs w:val="22"/>
        </w:rPr>
        <w:t xml:space="preserve">A larger build, probably 120–150 days, extending the pattern to inbound processing from carriers and outbound updates to clients. Shares substantial infrastructure with Phase 1 (document intake, AMS update, client notification) but adds carrier-specific parsing that the COI build does not require.</w:t>
      </w:r>
    </w:p>
    <w:p>
      <w:pPr>
        <w:spacing w:after="120" w:before="0"/>
        <w:jc w:val="left"/>
      </w:pPr>
      <w:r>
        <w:rPr>
          <w:rFonts w:ascii="Arial" w:cs="Arial" w:eastAsia="Arial" w:hAnsi="Arial"/>
          <w:b/>
          <w:bCs/>
          <w:sz w:val="22"/>
          <w:szCs w:val="22"/>
        </w:rPr>
        <w:t xml:space="preserve">Phase 4 and beyond — pattern replication across FNOL, shared services, and eventually EB. </w:t>
      </w:r>
      <w:r>
        <w:rPr>
          <w:rFonts w:ascii="Arial" w:cs="Arial" w:eastAsia="Arial" w:hAnsi="Arial"/>
          <w:sz w:val="22"/>
          <w:szCs w:val="22"/>
        </w:rPr>
        <w:t xml:space="preserve">Each subsequent build reuses the Phase 1 foundation. The incremental cost per additional automated role drops substantially after the foundation is in place. This is the specific economic argument for committing to a partner rather than building piecemeal with off-the-shelf vendors.</w:t>
      </w:r>
    </w:p>
    <w:p>
      <w:pPr>
        <w:spacing w:after="120" w:before="0"/>
        <w:jc w:val="left"/>
      </w:pPr>
      <w:r>
        <w:rPr>
          <w:rFonts w:ascii="Arial" w:cs="Arial" w:eastAsia="Arial" w:hAnsi="Arial"/>
          <w:b/>
          <w:bCs/>
          <w:sz w:val="22"/>
          <w:szCs w:val="22"/>
        </w:rPr>
        <w:t xml:space="preserve">What this is not. </w:t>
      </w:r>
      <w:r>
        <w:rPr>
          <w:rFonts w:ascii="Arial" w:cs="Arial" w:eastAsia="Arial" w:hAnsi="Arial"/>
          <w:sz w:val="22"/>
          <w:szCs w:val="22"/>
        </w:rPr>
        <w:t xml:space="preserve">This is not a transformation program. It is not a rip-and-replace of your AMS footprint. It is not a bet on a single vendor partnership. It is specifically designed to preserve the operational autonomy that is Patriot’s brand while capturing the back-office efficiency that the sponsor economics require.</w:t>
      </w:r>
    </w:p>
    <w:p>
      <w:pPr>
        <w:pStyle w:val="Heading2"/>
        <w:spacing w:after="160" w:before="280"/>
      </w:pPr>
      <w:r>
        <w:rPr>
          <w:rFonts w:ascii="Arial" w:cs="Arial" w:eastAsia="Arial" w:hAnsi="Arial"/>
          <w:b/>
          <w:bCs/>
          <w:color w:val="1F3A5F"/>
          <w:sz w:val="28"/>
          <w:szCs w:val="28"/>
        </w:rPr>
        <w:t xml:space="preserve">8. What We Are Not Claiming</w:t>
      </w:r>
    </w:p>
    <w:p>
      <w:pPr>
        <w:spacing w:after="120" w:before="0"/>
        <w:jc w:val="left"/>
      </w:pPr>
      <w:r>
        <w:rPr>
          <w:rFonts w:ascii="Arial" w:cs="Arial" w:eastAsia="Arial" w:hAnsi="Arial"/>
          <w:b w:val="false"/>
          <w:bCs w:val="false"/>
          <w:i w:val="false"/>
          <w:iCs w:val="false"/>
          <w:color w:val="000000"/>
          <w:sz w:val="22"/>
          <w:szCs w:val="22"/>
        </w:rPr>
        <w:t xml:space="preserve">Four honest caveats. Including them is the shortest path to earning trust on the rest.</w:t>
      </w:r>
    </w:p>
    <w:p>
      <w:pPr>
        <w:spacing w:after="120" w:before="0"/>
        <w:jc w:val="left"/>
      </w:pPr>
      <w:r>
        <w:rPr>
          <w:rFonts w:ascii="Arial" w:cs="Arial" w:eastAsia="Arial" w:hAnsi="Arial"/>
          <w:b/>
          <w:bCs/>
          <w:sz w:val="22"/>
          <w:szCs w:val="22"/>
        </w:rPr>
        <w:t xml:space="preserve">E&amp;O and regulatory exposure are real. </w:t>
      </w:r>
      <w:r>
        <w:rPr>
          <w:rFonts w:ascii="Arial" w:cs="Arial" w:eastAsia="Arial" w:hAnsi="Arial"/>
          <w:sz w:val="22"/>
          <w:szCs w:val="22"/>
        </w:rPr>
        <w:t xml:space="preserve">Insurance brokerage operates under 50-state DOI regulation, NAIC model laws, licensing requirements for producers and agencies, and real errors-and-omissions liability for coverage placement. Automation that touches policy language, coverage scope, or binding authority must be designed with those constraints as first-order requirements, not afterthoughts. The roles we prioritize for Phase 1 (COI, certificate compliance, data entry) were chosen partly because they are lower-E&amp;O-risk than roles like proposal writing or coverage-advice drafting. This is by design, not accident.</w:t>
      </w:r>
    </w:p>
    <w:p>
      <w:pPr>
        <w:spacing w:after="120" w:before="0"/>
        <w:jc w:val="left"/>
      </w:pPr>
      <w:r>
        <w:rPr>
          <w:rFonts w:ascii="Arial" w:cs="Arial" w:eastAsia="Arial" w:hAnsi="Arial"/>
          <w:b/>
          <w:bCs/>
          <w:sz w:val="22"/>
          <w:szCs w:val="22"/>
        </w:rPr>
        <w:t xml:space="preserve">Carrier-intermediated workflows have real limits. </w:t>
      </w:r>
      <w:r>
        <w:rPr>
          <w:rFonts w:ascii="Arial" w:cs="Arial" w:eastAsia="Arial" w:hAnsi="Arial"/>
          <w:sz w:val="22"/>
          <w:szCs w:val="22"/>
        </w:rPr>
        <w:t xml:space="preserve">Some of what happens at a broker is constrained by what carriers accept, in what format, through which system. IVANS downloads, ACORD forms, carrier-specific web portals, fax — the landscape is heterogeneous in a way that no amount of broker-side automation can unilaterally fix. We build to work around these constraints rather than pretending they do not exist. The roadmap is consciously shaped around what carriers accept today, not what we wish they accepted.</w:t>
      </w:r>
    </w:p>
    <w:p>
      <w:pPr>
        <w:spacing w:after="120" w:before="0"/>
        <w:jc w:val="left"/>
      </w:pPr>
      <w:r>
        <w:rPr>
          <w:rFonts w:ascii="Arial" w:cs="Arial" w:eastAsia="Arial" w:hAnsi="Arial"/>
          <w:b/>
          <w:bCs/>
          <w:sz w:val="22"/>
          <w:szCs w:val="22"/>
        </w:rPr>
        <w:t xml:space="preserve">We do not have a named insurance-broker track record. </w:t>
      </w:r>
      <w:r>
        <w:rPr>
          <w:rFonts w:ascii="Arial" w:cs="Arial" w:eastAsia="Arial" w:hAnsi="Arial"/>
          <w:sz w:val="22"/>
          <w:szCs w:val="22"/>
        </w:rPr>
        <w:t xml:space="preserve">We are a custom-build shop with active work in logistics automation and AMS-adjacent pattern expertise — multi-tenant SaaS architecture on heterogeneous data sources, agent-based automation of unstructured inputs, PE-backed rollup integration contexts. We are applying for the engagement on the strength of the pattern fit, the framework, and the work we will do in the first meeting. We would expect Patriot to do reference diligence on us in any serious conversation, and we welcome it. What we are claiming is the ability to execute on the specific problem shape we have described above; what we are not claiming is a portfolio of insurance-broker case studies we do not yet have.</w:t>
      </w:r>
    </w:p>
    <w:p>
      <w:pPr>
        <w:spacing w:after="120" w:before="0"/>
        <w:jc w:val="left"/>
      </w:pPr>
      <w:r>
        <w:rPr>
          <w:rFonts w:ascii="Arial" w:cs="Arial" w:eastAsia="Arial" w:hAnsi="Arial"/>
          <w:b/>
          <w:bCs/>
          <w:sz w:val="22"/>
          <w:szCs w:val="22"/>
        </w:rPr>
        <w:t xml:space="preserve">We are not claiming the matrix scores are precise. </w:t>
      </w:r>
      <w:r>
        <w:rPr>
          <w:rFonts w:ascii="Arial" w:cs="Arial" w:eastAsia="Arial" w:hAnsi="Arial"/>
          <w:sz w:val="22"/>
          <w:szCs w:val="22"/>
        </w:rPr>
        <w:t xml:space="preserve">They are our best read from outside the firm, and any single score could reasonably move up or down by one point with inside information. What we are claiming is that the pattern — which lines are red, which roles are red, how the EBITDA math compounds, why the acquisition engine makes this a capability rather than a project — is robust to those per-score adjustments. The pattern is the argument.</w:t>
      </w:r>
    </w:p>
    <w:p>
      <w:pPr>
        <w:pStyle w:val="Heading2"/>
        <w:spacing w:after="160" w:before="280"/>
      </w:pPr>
      <w:r>
        <w:rPr>
          <w:rFonts w:ascii="Arial" w:cs="Arial" w:eastAsia="Arial" w:hAnsi="Arial"/>
          <w:b/>
          <w:bCs/>
          <w:color w:val="1F3A5F"/>
          <w:sz w:val="28"/>
          <w:szCs w:val="28"/>
        </w:rPr>
        <w:t xml:space="preserve">9. What We Propose as a Next Step</w:t>
      </w:r>
    </w:p>
    <w:p>
      <w:pPr>
        <w:spacing w:after="120" w:before="0"/>
        <w:jc w:val="left"/>
      </w:pPr>
      <w:r>
        <w:rPr>
          <w:rFonts w:ascii="Arial" w:cs="Arial" w:eastAsia="Arial" w:hAnsi="Arial"/>
          <w:b w:val="false"/>
          <w:bCs w:val="false"/>
          <w:i w:val="false"/>
          <w:iCs w:val="false"/>
          <w:color w:val="000000"/>
          <w:sz w:val="22"/>
          <w:szCs w:val="22"/>
        </w:rPr>
        <w:t xml:space="preserve">Ninety minutes with Patriot operations leadership and whoever holds the integration function across the partner-agency network. We bring this document, a short technical deck of the architecture we would build on top of your AMS footprint, and three sharper questions that will tell us both whether the engagement fits. We expect to leave the meeting with either a scoped Phase 1 proposal ready for sponsor review or a clear reason the fit is wrong. We do not expect a commitment in that meeting; we expect clarity by the end of it.</w:t>
      </w:r>
    </w:p>
    <w:p>
      <w:pPr>
        <w:spacing w:after="120" w:before="0"/>
        <w:jc w:val="left"/>
      </w:pPr>
      <w:r>
        <w:rPr>
          <w:rFonts w:ascii="Arial" w:cs="Arial" w:eastAsia="Arial" w:hAnsi="Arial"/>
          <w:b w:val="false"/>
          <w:bCs w:val="false"/>
          <w:i w:val="false"/>
          <w:iCs w:val="false"/>
          <w:color w:val="000000"/>
          <w:sz w:val="22"/>
          <w:szCs w:val="22"/>
        </w:rPr>
        <w:t xml:space="preserve">The eighteen-month window that Glorikian closes his piece with is real, and it cuts both ways. If Patriot moves on this before the 2026–2027 EBITDA expansion cycle, the sponsor story at next exit looks materially different. If Patriot waits, the same work happens later at worse economics, and the margin advantage goes to whichever top-25 competitor moved first. We would rather be the partner on the first version.</w:t>
      </w:r>
    </w:p>
    <w:p>
      <w:pPr>
        <w:pBdr>
          <w:bottom w:val="single" w:color="1F3A5F" w:sz="6" w:space="4"/>
        </w:pBdr>
        <w:spacing w:after="100" w:before="100"/>
      </w:pPr>
      <w:r>
        <w:t xml:space="preserve"/>
      </w:r>
    </w:p>
    <w:p>
      <w:pPr>
        <w:spacing w:after="0" w:before="160"/>
      </w:pPr>
      <w:r>
        <w:rPr>
          <w:rFonts w:ascii="Arial" w:cs="Arial" w:eastAsia="Arial" w:hAnsi="Arial"/>
          <w:i/>
          <w:iCs/>
          <w:color w:val="595959"/>
          <w:sz w:val="17"/>
          <w:szCs w:val="17"/>
        </w:rPr>
        <w:t xml:space="preserve">Prepared with reference to: Gans &amp; Goldfarb, “O-Ring Automation,” NBER WP 34639, January 2026; Imas &amp; Shukla, “How Will AI-driven Automation Actually Affect Jobs?” March 2026; Glorikian, “AI and Jobs: Experts Disagree, and What Management Should Do,” LinkedIn, April 20, 2026; Sica Fletcher, “2025 Insurance Broker M&amp;A Valuations”; MarshBerry Deal Database Q1 2025; public disclosures from Patriot Growth Insurance Services, GI Partners, Summit Partners, Golub Capital, and Antares; role taxonomies informed by Hartford School of Insurance, Total CSR, and Insurance Journal surveys.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3A5F"/>
      <w:sz w:val="24"/>
      <w:szCs w:val="24"/>
    </w:rPr>
  </w:style>
  <w:style w:type="paragraph" w:styleId="Heading4">
    <w:name w:val="Heading 4"/>
    <w:basedOn w:val="Normal"/>
    <w:next w:val="Normal"/>
    <w:qFormat/>
    <w:pPr>
      <w:spacing w:after="100" w:before="180"/>
      <w:outlineLvl w:val="3"/>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Back-Office Reprice - Patriot Growth Analysis v2</dc:title>
  <dc:creator>Ram</dc:creator>
  <cp:lastModifiedBy>Un-named</cp:lastModifiedBy>
  <cp:revision>1</cp:revision>
  <dcterms:created xsi:type="dcterms:W3CDTF">2026-04-22T15:06:52.262Z</dcterms:created>
  <dcterms:modified xsi:type="dcterms:W3CDTF">2026-04-22T15:06:52.263Z</dcterms:modified>
</cp:coreProperties>
</file>

<file path=docProps/custom.xml><?xml version="1.0" encoding="utf-8"?>
<Properties xmlns="http://schemas.openxmlformats.org/officeDocument/2006/custom-properties" xmlns:vt="http://schemas.openxmlformats.org/officeDocument/2006/docPropsVTypes"/>
</file>