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C653AA" w14:textId="77777777" w:rsidR="00BB52E9" w:rsidRPr="007C4DBD" w:rsidRDefault="00BB52E9" w:rsidP="00BB52E9">
      <w:pPr>
        <w:jc w:val="both"/>
        <w:rPr>
          <w:rFonts w:asciiTheme="majorBidi" w:hAnsiTheme="majorBidi" w:cstheme="majorBidi"/>
          <w:b/>
          <w:bCs/>
          <w:lang w:bidi="ar-JO"/>
        </w:rPr>
      </w:pPr>
      <w:r w:rsidRPr="007C4DBD">
        <w:rPr>
          <w:rFonts w:asciiTheme="majorBidi" w:hAnsiTheme="majorBidi" w:cstheme="majorBidi"/>
          <w:b/>
          <w:bCs/>
          <w:lang w:bidi="ar-JO"/>
        </w:rPr>
        <w:t>Materials and methods</w:t>
      </w:r>
      <w:r w:rsidRPr="007C4DBD">
        <w:rPr>
          <w:rFonts w:asciiTheme="majorBidi" w:hAnsiTheme="majorBidi" w:cstheme="majorBidi"/>
          <w:b/>
          <w:bCs/>
          <w:color w:val="000000"/>
          <w:highlight w:val="red"/>
        </w:rPr>
        <w:t xml:space="preserve"> </w:t>
      </w:r>
    </w:p>
    <w:p w14:paraId="4D847ECB" w14:textId="77777777" w:rsidR="00BB52E9" w:rsidRPr="007C4DBD" w:rsidRDefault="00BB52E9" w:rsidP="00BB52E9">
      <w:pPr>
        <w:jc w:val="both"/>
        <w:rPr>
          <w:rFonts w:asciiTheme="majorBidi" w:hAnsiTheme="majorBidi" w:cstheme="majorBidi"/>
          <w:lang w:bidi="ar-JO"/>
        </w:rPr>
      </w:pPr>
    </w:p>
    <w:p w14:paraId="6F010A02" w14:textId="77777777" w:rsidR="00BB52E9" w:rsidRPr="007C4DBD" w:rsidRDefault="00BB52E9" w:rsidP="00BB52E9">
      <w:pPr>
        <w:spacing w:line="480" w:lineRule="auto"/>
        <w:jc w:val="both"/>
        <w:rPr>
          <w:rStyle w:val="HTMLCite"/>
          <w:rFonts w:asciiTheme="majorBidi" w:hAnsiTheme="majorBidi" w:cstheme="majorBidi"/>
          <w:b/>
          <w:i/>
          <w:color w:val="000000"/>
        </w:rPr>
      </w:pPr>
      <w:r>
        <w:rPr>
          <w:rStyle w:val="HTMLCite"/>
          <w:rFonts w:asciiTheme="majorBidi" w:hAnsiTheme="majorBidi" w:cstheme="majorBidi"/>
          <w:b/>
          <w:i/>
          <w:color w:val="000000"/>
        </w:rPr>
        <w:t xml:space="preserve">Sampling </w:t>
      </w:r>
    </w:p>
    <w:p w14:paraId="15E9EDE2" w14:textId="77777777" w:rsidR="00BB52E9" w:rsidRPr="007C4DBD" w:rsidRDefault="00BB52E9" w:rsidP="00BB52E9">
      <w:pPr>
        <w:spacing w:line="480" w:lineRule="auto"/>
        <w:ind w:firstLine="720"/>
        <w:jc w:val="both"/>
        <w:rPr>
          <w:rFonts w:asciiTheme="majorBidi" w:hAnsiTheme="majorBidi" w:cstheme="majorBidi"/>
          <w:color w:val="000000"/>
        </w:rPr>
      </w:pPr>
      <w:r w:rsidRPr="007C4DBD">
        <w:rPr>
          <w:rFonts w:asciiTheme="majorBidi" w:hAnsiTheme="majorBidi" w:cstheme="majorBidi"/>
          <w:color w:val="000000"/>
        </w:rPr>
        <w:t xml:space="preserve">Three sampling sites of </w:t>
      </w:r>
      <w:r w:rsidRPr="007C4DBD">
        <w:rPr>
          <w:rFonts w:asciiTheme="majorBidi" w:hAnsiTheme="majorBidi" w:cstheme="majorBidi"/>
          <w:i/>
          <w:iCs/>
          <w:color w:val="000000"/>
        </w:rPr>
        <w:t>Blepharis</w:t>
      </w:r>
      <w:r w:rsidRPr="007C4DBD">
        <w:rPr>
          <w:rFonts w:asciiTheme="majorBidi" w:hAnsiTheme="majorBidi" w:cstheme="majorBidi"/>
          <w:color w:val="000000"/>
        </w:rPr>
        <w:t>,</w:t>
      </w:r>
      <w:r w:rsidRPr="007C4DBD">
        <w:rPr>
          <w:rFonts w:asciiTheme="majorBidi" w:hAnsiTheme="majorBidi" w:cstheme="majorBidi"/>
          <w:lang w:bidi="ar-JO"/>
        </w:rPr>
        <w:t xml:space="preserve"> where </w:t>
      </w:r>
      <w:r w:rsidRPr="007C4DBD">
        <w:rPr>
          <w:rFonts w:asciiTheme="majorBidi" w:hAnsiTheme="majorBidi" w:cstheme="majorBidi"/>
          <w:color w:val="000000"/>
        </w:rPr>
        <w:t xml:space="preserve">the genus </w:t>
      </w:r>
      <w:r w:rsidRPr="007C4DBD">
        <w:rPr>
          <w:rFonts w:asciiTheme="majorBidi" w:hAnsiTheme="majorBidi" w:cstheme="majorBidi"/>
          <w:lang w:bidi="ar-JO"/>
        </w:rPr>
        <w:t xml:space="preserve">was recorded and observed to be abundant, </w:t>
      </w:r>
      <w:r w:rsidRPr="007C4DBD">
        <w:rPr>
          <w:rFonts w:asciiTheme="majorBidi" w:hAnsiTheme="majorBidi" w:cstheme="majorBidi"/>
          <w:color w:val="000000"/>
        </w:rPr>
        <w:t xml:space="preserve">were </w:t>
      </w:r>
      <w:r>
        <w:rPr>
          <w:rFonts w:asciiTheme="majorBidi" w:hAnsiTheme="majorBidi" w:cstheme="majorBidi"/>
          <w:color w:val="000000"/>
        </w:rPr>
        <w:t>chosen</w:t>
      </w:r>
      <w:r w:rsidRPr="007C4DBD">
        <w:rPr>
          <w:rFonts w:asciiTheme="majorBidi" w:hAnsiTheme="majorBidi" w:cstheme="majorBidi"/>
          <w:color w:val="000000"/>
        </w:rPr>
        <w:t xml:space="preserve"> for this study. These include</w:t>
      </w:r>
      <w:r>
        <w:rPr>
          <w:rFonts w:asciiTheme="majorBidi" w:hAnsiTheme="majorBidi" w:cstheme="majorBidi"/>
          <w:color w:val="000000"/>
        </w:rPr>
        <w:t>d</w:t>
      </w:r>
      <w:r w:rsidRPr="007C4DBD">
        <w:rPr>
          <w:rFonts w:asciiTheme="majorBidi" w:hAnsiTheme="majorBidi" w:cstheme="majorBidi"/>
          <w:color w:val="000000"/>
        </w:rPr>
        <w:t>: lower slopes of Kufranjah valley, Ajlun (32º</w:t>
      </w:r>
      <w:r>
        <w:rPr>
          <w:rFonts w:asciiTheme="majorBidi" w:hAnsiTheme="majorBidi" w:cstheme="majorBidi"/>
          <w:color w:val="000000"/>
        </w:rPr>
        <w:t>1</w:t>
      </w:r>
      <w:r w:rsidRPr="007C4DBD">
        <w:rPr>
          <w:rFonts w:asciiTheme="majorBidi" w:hAnsiTheme="majorBidi" w:cstheme="majorBidi"/>
          <w:color w:val="000000"/>
        </w:rPr>
        <w:t>4´</w:t>
      </w:r>
      <w:r>
        <w:rPr>
          <w:rFonts w:asciiTheme="majorBidi" w:hAnsiTheme="majorBidi" w:cstheme="majorBidi"/>
          <w:color w:val="000000"/>
        </w:rPr>
        <w:t>872</w:t>
      </w:r>
      <w:r w:rsidRPr="007C4DBD">
        <w:rPr>
          <w:rFonts w:asciiTheme="majorBidi" w:hAnsiTheme="majorBidi" w:cstheme="majorBidi"/>
          <w:color w:val="000000"/>
        </w:rPr>
        <w:t>"N; 35º</w:t>
      </w:r>
      <w:r>
        <w:rPr>
          <w:rFonts w:asciiTheme="majorBidi" w:hAnsiTheme="majorBidi" w:cstheme="majorBidi"/>
          <w:color w:val="000000"/>
        </w:rPr>
        <w:t>37</w:t>
      </w:r>
      <w:r w:rsidRPr="007C4DBD">
        <w:rPr>
          <w:rFonts w:asciiTheme="majorBidi" w:hAnsiTheme="majorBidi" w:cstheme="majorBidi"/>
          <w:color w:val="000000"/>
        </w:rPr>
        <w:t>´</w:t>
      </w:r>
      <w:r>
        <w:rPr>
          <w:rFonts w:asciiTheme="majorBidi" w:hAnsiTheme="majorBidi" w:cstheme="majorBidi"/>
          <w:color w:val="000000"/>
        </w:rPr>
        <w:t>007</w:t>
      </w:r>
      <w:r w:rsidRPr="007C4DBD">
        <w:rPr>
          <w:rFonts w:asciiTheme="majorBidi" w:hAnsiTheme="majorBidi" w:cstheme="majorBidi"/>
          <w:color w:val="000000"/>
        </w:rPr>
        <w:t>"E, altitude - 1</w:t>
      </w:r>
      <w:r>
        <w:rPr>
          <w:rFonts w:asciiTheme="majorBidi" w:hAnsiTheme="majorBidi" w:cstheme="majorBidi"/>
          <w:color w:val="000000"/>
        </w:rPr>
        <w:t>69</w:t>
      </w:r>
      <w:r w:rsidRPr="007C4DBD">
        <w:rPr>
          <w:rFonts w:asciiTheme="majorBidi" w:hAnsiTheme="majorBidi" w:cstheme="majorBidi"/>
          <w:color w:val="000000"/>
        </w:rPr>
        <w:t xml:space="preserve"> m below sea level), Dead Sea Valley (31º</w:t>
      </w:r>
      <w:r>
        <w:rPr>
          <w:rFonts w:asciiTheme="majorBidi" w:hAnsiTheme="majorBidi" w:cstheme="majorBidi"/>
          <w:color w:val="000000"/>
        </w:rPr>
        <w:t>41</w:t>
      </w:r>
      <w:r w:rsidRPr="007C4DBD">
        <w:rPr>
          <w:rFonts w:asciiTheme="majorBidi" w:hAnsiTheme="majorBidi" w:cstheme="majorBidi"/>
          <w:color w:val="000000"/>
        </w:rPr>
        <w:t>´</w:t>
      </w:r>
      <w:r>
        <w:rPr>
          <w:rFonts w:asciiTheme="majorBidi" w:hAnsiTheme="majorBidi" w:cstheme="majorBidi"/>
          <w:color w:val="000000"/>
        </w:rPr>
        <w:t>364</w:t>
      </w:r>
      <w:r w:rsidRPr="007C4DBD">
        <w:rPr>
          <w:rFonts w:asciiTheme="majorBidi" w:hAnsiTheme="majorBidi" w:cstheme="majorBidi"/>
          <w:color w:val="000000"/>
        </w:rPr>
        <w:t>"N; 35º</w:t>
      </w:r>
      <w:r>
        <w:rPr>
          <w:rFonts w:asciiTheme="majorBidi" w:hAnsiTheme="majorBidi" w:cstheme="majorBidi"/>
          <w:color w:val="000000"/>
        </w:rPr>
        <w:t>34</w:t>
      </w:r>
      <w:r w:rsidRPr="007C4DBD">
        <w:rPr>
          <w:rFonts w:asciiTheme="majorBidi" w:hAnsiTheme="majorBidi" w:cstheme="majorBidi"/>
          <w:color w:val="000000"/>
        </w:rPr>
        <w:t>´</w:t>
      </w:r>
      <w:r>
        <w:rPr>
          <w:rFonts w:asciiTheme="majorBidi" w:hAnsiTheme="majorBidi" w:cstheme="majorBidi"/>
          <w:color w:val="000000"/>
        </w:rPr>
        <w:t>736</w:t>
      </w:r>
      <w:r w:rsidRPr="007C4DBD">
        <w:rPr>
          <w:rFonts w:asciiTheme="majorBidi" w:hAnsiTheme="majorBidi" w:cstheme="majorBidi"/>
          <w:color w:val="000000"/>
        </w:rPr>
        <w:t>"E, altitude - 3</w:t>
      </w:r>
      <w:r>
        <w:rPr>
          <w:rFonts w:asciiTheme="majorBidi" w:hAnsiTheme="majorBidi" w:cstheme="majorBidi"/>
          <w:color w:val="000000"/>
        </w:rPr>
        <w:t>97</w:t>
      </w:r>
      <w:r w:rsidRPr="007C4DBD">
        <w:rPr>
          <w:rFonts w:asciiTheme="majorBidi" w:hAnsiTheme="majorBidi" w:cstheme="majorBidi"/>
          <w:color w:val="000000"/>
        </w:rPr>
        <w:t xml:space="preserve"> m below sea level), and Al-Yotm valley (</w:t>
      </w:r>
      <w:r>
        <w:rPr>
          <w:rFonts w:asciiTheme="majorBidi" w:hAnsiTheme="majorBidi" w:cstheme="majorBidi"/>
          <w:color w:val="000000"/>
        </w:rPr>
        <w:t>29</w:t>
      </w:r>
      <w:r w:rsidRPr="007C4DBD">
        <w:rPr>
          <w:rFonts w:asciiTheme="majorBidi" w:hAnsiTheme="majorBidi" w:cstheme="majorBidi"/>
          <w:color w:val="000000"/>
        </w:rPr>
        <w:t>º</w:t>
      </w:r>
      <w:r>
        <w:rPr>
          <w:rFonts w:asciiTheme="majorBidi" w:hAnsiTheme="majorBidi" w:cstheme="majorBidi"/>
          <w:color w:val="000000"/>
        </w:rPr>
        <w:t>35</w:t>
      </w:r>
      <w:r w:rsidRPr="007C4DBD">
        <w:rPr>
          <w:rFonts w:asciiTheme="majorBidi" w:hAnsiTheme="majorBidi" w:cstheme="majorBidi"/>
          <w:color w:val="000000"/>
        </w:rPr>
        <w:t>´</w:t>
      </w:r>
      <w:r>
        <w:rPr>
          <w:rFonts w:asciiTheme="majorBidi" w:hAnsiTheme="majorBidi" w:cstheme="majorBidi"/>
          <w:color w:val="000000"/>
        </w:rPr>
        <w:t>098</w:t>
      </w:r>
      <w:r w:rsidRPr="007C4DBD">
        <w:rPr>
          <w:rFonts w:asciiTheme="majorBidi" w:hAnsiTheme="majorBidi" w:cstheme="majorBidi"/>
          <w:color w:val="000000"/>
        </w:rPr>
        <w:t>"N; 35º</w:t>
      </w:r>
      <w:r>
        <w:rPr>
          <w:rFonts w:asciiTheme="majorBidi" w:hAnsiTheme="majorBidi" w:cstheme="majorBidi"/>
          <w:color w:val="000000"/>
        </w:rPr>
        <w:t>0</w:t>
      </w:r>
      <w:r w:rsidRPr="007C4DBD">
        <w:rPr>
          <w:rFonts w:asciiTheme="majorBidi" w:hAnsiTheme="majorBidi" w:cstheme="majorBidi"/>
          <w:color w:val="000000"/>
        </w:rPr>
        <w:t>9´</w:t>
      </w:r>
      <w:r>
        <w:rPr>
          <w:rFonts w:asciiTheme="majorBidi" w:hAnsiTheme="majorBidi" w:cstheme="majorBidi"/>
          <w:color w:val="000000"/>
        </w:rPr>
        <w:t>462</w:t>
      </w:r>
      <w:r w:rsidRPr="007C4DBD">
        <w:rPr>
          <w:rFonts w:asciiTheme="majorBidi" w:hAnsiTheme="majorBidi" w:cstheme="majorBidi"/>
          <w:color w:val="000000"/>
        </w:rPr>
        <w:t xml:space="preserve">"E, altitude </w:t>
      </w:r>
      <w:r>
        <w:rPr>
          <w:rFonts w:asciiTheme="majorBidi" w:hAnsiTheme="majorBidi" w:cstheme="majorBidi"/>
          <w:color w:val="000000"/>
        </w:rPr>
        <w:t>623</w:t>
      </w:r>
      <w:r w:rsidRPr="007C4DBD">
        <w:rPr>
          <w:rFonts w:asciiTheme="majorBidi" w:hAnsiTheme="majorBidi" w:cstheme="majorBidi"/>
          <w:color w:val="000000"/>
        </w:rPr>
        <w:t xml:space="preserve"> m </w:t>
      </w:r>
      <w:r>
        <w:rPr>
          <w:rFonts w:asciiTheme="majorBidi" w:hAnsiTheme="majorBidi" w:cstheme="majorBidi"/>
          <w:color w:val="000000"/>
        </w:rPr>
        <w:t>above</w:t>
      </w:r>
      <w:r w:rsidRPr="007C4DBD">
        <w:rPr>
          <w:rFonts w:asciiTheme="majorBidi" w:hAnsiTheme="majorBidi" w:cstheme="majorBidi"/>
          <w:color w:val="000000"/>
        </w:rPr>
        <w:t xml:space="preserve"> sea level) (Fig. 1). </w:t>
      </w:r>
      <w:r w:rsidRPr="007C4DBD">
        <w:rPr>
          <w:rFonts w:asciiTheme="majorBidi" w:hAnsiTheme="majorBidi" w:cstheme="majorBidi"/>
          <w:i/>
          <w:color w:val="000000"/>
        </w:rPr>
        <w:t xml:space="preserve">Blepharis </w:t>
      </w:r>
      <w:r w:rsidRPr="007C4DBD">
        <w:rPr>
          <w:rFonts w:asciiTheme="majorBidi" w:hAnsiTheme="majorBidi" w:cstheme="majorBidi"/>
          <w:color w:val="000000"/>
        </w:rPr>
        <w:t xml:space="preserve">in these sites was readily recognized </w:t>
      </w:r>
      <w:r>
        <w:rPr>
          <w:rFonts w:asciiTheme="majorBidi" w:hAnsiTheme="majorBidi" w:cstheme="majorBidi"/>
          <w:color w:val="000000"/>
        </w:rPr>
        <w:t>by their</w:t>
      </w:r>
      <w:r w:rsidRPr="007C4DBD">
        <w:rPr>
          <w:rFonts w:asciiTheme="majorBidi" w:hAnsiTheme="majorBidi" w:cstheme="majorBidi"/>
          <w:color w:val="000000"/>
        </w:rPr>
        <w:t xml:space="preserve"> general growth habit and inflorescence on stony hilltops, arid </w:t>
      </w:r>
      <w:r>
        <w:rPr>
          <w:rFonts w:asciiTheme="majorBidi" w:hAnsiTheme="majorBidi" w:cstheme="majorBidi"/>
          <w:color w:val="000000"/>
        </w:rPr>
        <w:t xml:space="preserve">and semiarid </w:t>
      </w:r>
      <w:r w:rsidRPr="007C4DBD">
        <w:rPr>
          <w:rFonts w:asciiTheme="majorBidi" w:hAnsiTheme="majorBidi" w:cstheme="majorBidi"/>
          <w:color w:val="000000"/>
        </w:rPr>
        <w:t xml:space="preserve">slopes, and in wadi beds on rocky grounds, runnels and fissures (Fig. </w:t>
      </w:r>
      <w:r>
        <w:rPr>
          <w:rFonts w:asciiTheme="majorBidi" w:hAnsiTheme="majorBidi" w:cstheme="majorBidi"/>
          <w:color w:val="000000"/>
        </w:rPr>
        <w:t>2</w:t>
      </w:r>
      <w:r w:rsidRPr="007C4DBD">
        <w:rPr>
          <w:rFonts w:asciiTheme="majorBidi" w:hAnsiTheme="majorBidi" w:cstheme="majorBidi"/>
          <w:color w:val="000000"/>
        </w:rPr>
        <w:t xml:space="preserve">). From a total of </w:t>
      </w:r>
      <w:r>
        <w:rPr>
          <w:rFonts w:asciiTheme="majorBidi" w:hAnsiTheme="majorBidi" w:cstheme="majorBidi"/>
          <w:color w:val="000000"/>
        </w:rPr>
        <w:t>19</w:t>
      </w:r>
      <w:r w:rsidRPr="007C4DBD">
        <w:rPr>
          <w:rFonts w:asciiTheme="majorBidi" w:hAnsiTheme="majorBidi" w:cstheme="majorBidi"/>
          <w:color w:val="000000"/>
        </w:rPr>
        <w:t xml:space="preserve"> randomly selected </w:t>
      </w:r>
      <w:r w:rsidRPr="007C4DBD">
        <w:rPr>
          <w:rFonts w:asciiTheme="majorBidi" w:hAnsiTheme="majorBidi" w:cstheme="majorBidi"/>
          <w:i/>
          <w:color w:val="000000"/>
        </w:rPr>
        <w:t xml:space="preserve">Blepharis </w:t>
      </w:r>
      <w:r w:rsidRPr="007C4DBD">
        <w:rPr>
          <w:rFonts w:asciiTheme="majorBidi" w:hAnsiTheme="majorBidi" w:cstheme="majorBidi"/>
          <w:color w:val="000000"/>
        </w:rPr>
        <w:t xml:space="preserve">plants </w:t>
      </w:r>
      <w:r>
        <w:rPr>
          <w:rFonts w:asciiTheme="majorBidi" w:hAnsiTheme="majorBidi" w:cstheme="majorBidi"/>
          <w:color w:val="000000"/>
        </w:rPr>
        <w:t>in</w:t>
      </w:r>
      <w:r w:rsidRPr="007C4DBD">
        <w:rPr>
          <w:rFonts w:asciiTheme="majorBidi" w:hAnsiTheme="majorBidi" w:cstheme="majorBidi"/>
          <w:color w:val="000000"/>
        </w:rPr>
        <w:t xml:space="preserve"> each site, shoots </w:t>
      </w:r>
      <w:r>
        <w:rPr>
          <w:rFonts w:asciiTheme="majorBidi" w:hAnsiTheme="majorBidi" w:cstheme="majorBidi"/>
          <w:color w:val="000000"/>
        </w:rPr>
        <w:t xml:space="preserve">bearing </w:t>
      </w:r>
      <w:r w:rsidRPr="007C4DBD">
        <w:rPr>
          <w:rFonts w:asciiTheme="majorBidi" w:hAnsiTheme="majorBidi" w:cstheme="majorBidi"/>
          <w:color w:val="000000"/>
        </w:rPr>
        <w:t xml:space="preserve">mature inflorescences and </w:t>
      </w:r>
      <w:r>
        <w:rPr>
          <w:rFonts w:asciiTheme="majorBidi" w:hAnsiTheme="majorBidi" w:cstheme="majorBidi"/>
          <w:color w:val="000000"/>
        </w:rPr>
        <w:t xml:space="preserve">healthy </w:t>
      </w:r>
      <w:r w:rsidRPr="007C4DBD">
        <w:rPr>
          <w:rFonts w:asciiTheme="majorBidi" w:hAnsiTheme="majorBidi" w:cstheme="majorBidi"/>
          <w:color w:val="000000"/>
        </w:rPr>
        <w:t xml:space="preserve">fully expanded leaves were collected during </w:t>
      </w:r>
      <w:r w:rsidRPr="00CE416F">
        <w:rPr>
          <w:rFonts w:asciiTheme="majorBidi" w:hAnsiTheme="majorBidi" w:cstheme="majorBidi"/>
          <w:color w:val="000000"/>
        </w:rPr>
        <w:t>April, 2013</w:t>
      </w:r>
      <w:r w:rsidRPr="007C4DBD">
        <w:rPr>
          <w:rFonts w:asciiTheme="majorBidi" w:hAnsiTheme="majorBidi" w:cstheme="majorBidi"/>
          <w:color w:val="000000"/>
        </w:rPr>
        <w:t xml:space="preserve"> </w:t>
      </w:r>
      <w:r>
        <w:rPr>
          <w:rFonts w:asciiTheme="majorBidi" w:hAnsiTheme="majorBidi" w:cstheme="majorBidi"/>
          <w:color w:val="000000"/>
        </w:rPr>
        <w:t xml:space="preserve">and used </w:t>
      </w:r>
      <w:r w:rsidRPr="007C4DBD">
        <w:rPr>
          <w:rFonts w:asciiTheme="majorBidi" w:hAnsiTheme="majorBidi" w:cstheme="majorBidi"/>
          <w:color w:val="000000"/>
        </w:rPr>
        <w:t>for morphological</w:t>
      </w:r>
      <w:r w:rsidRPr="002E73DE">
        <w:rPr>
          <w:rFonts w:asciiTheme="majorBidi" w:hAnsiTheme="majorBidi" w:cstheme="majorBidi"/>
          <w:color w:val="000000"/>
        </w:rPr>
        <w:t xml:space="preserve"> </w:t>
      </w:r>
      <w:r>
        <w:rPr>
          <w:rFonts w:asciiTheme="majorBidi" w:hAnsiTheme="majorBidi" w:cstheme="majorBidi"/>
          <w:color w:val="000000"/>
        </w:rPr>
        <w:t>characterization, and</w:t>
      </w:r>
      <w:r w:rsidRPr="007C4DBD">
        <w:rPr>
          <w:rFonts w:asciiTheme="majorBidi" w:hAnsiTheme="majorBidi" w:cstheme="majorBidi"/>
          <w:color w:val="000000"/>
        </w:rPr>
        <w:t xml:space="preserve"> </w:t>
      </w:r>
      <w:r>
        <w:rPr>
          <w:rFonts w:asciiTheme="majorBidi" w:hAnsiTheme="majorBidi" w:cstheme="majorBidi"/>
          <w:color w:val="000000"/>
        </w:rPr>
        <w:t>young</w:t>
      </w:r>
      <w:r w:rsidRPr="008536DA">
        <w:rPr>
          <w:rFonts w:asciiTheme="majorBidi" w:hAnsiTheme="majorBidi" w:cstheme="majorBidi"/>
          <w:color w:val="000000"/>
        </w:rPr>
        <w:t xml:space="preserve"> </w:t>
      </w:r>
      <w:r>
        <w:rPr>
          <w:rFonts w:asciiTheme="majorBidi" w:hAnsiTheme="majorBidi" w:cstheme="majorBidi"/>
          <w:color w:val="000000"/>
        </w:rPr>
        <w:t xml:space="preserve">leaves </w:t>
      </w:r>
      <w:r w:rsidRPr="0004629A">
        <w:t xml:space="preserve">dried in silica gel </w:t>
      </w:r>
      <w:r>
        <w:rPr>
          <w:rFonts w:asciiTheme="majorBidi" w:hAnsiTheme="majorBidi" w:cstheme="majorBidi"/>
          <w:color w:val="000000"/>
        </w:rPr>
        <w:t>were harvested from the same plants and used for</w:t>
      </w:r>
      <w:r w:rsidRPr="007C4DBD">
        <w:rPr>
          <w:rFonts w:asciiTheme="majorBidi" w:hAnsiTheme="majorBidi" w:cstheme="majorBidi"/>
          <w:color w:val="000000"/>
        </w:rPr>
        <w:t xml:space="preserve"> </w:t>
      </w:r>
      <w:r>
        <w:rPr>
          <w:rFonts w:asciiTheme="majorBidi" w:hAnsiTheme="majorBidi" w:cstheme="majorBidi"/>
          <w:color w:val="000000"/>
        </w:rPr>
        <w:t>PCR-ISSR</w:t>
      </w:r>
      <w:r w:rsidRPr="007C4DBD">
        <w:rPr>
          <w:rFonts w:asciiTheme="majorBidi" w:hAnsiTheme="majorBidi" w:cstheme="majorBidi"/>
          <w:color w:val="000000"/>
        </w:rPr>
        <w:t xml:space="preserve"> </w:t>
      </w:r>
      <w:r>
        <w:rPr>
          <w:rFonts w:asciiTheme="majorBidi" w:hAnsiTheme="majorBidi" w:cstheme="majorBidi"/>
          <w:color w:val="000000"/>
        </w:rPr>
        <w:t>DNA studies</w:t>
      </w:r>
      <w:r w:rsidRPr="007C4DBD">
        <w:rPr>
          <w:rFonts w:asciiTheme="majorBidi" w:hAnsiTheme="majorBidi" w:cstheme="majorBidi"/>
          <w:color w:val="000000"/>
        </w:rPr>
        <w:t xml:space="preserve">. </w:t>
      </w:r>
      <w:r>
        <w:rPr>
          <w:rFonts w:asciiTheme="majorBidi" w:hAnsiTheme="majorBidi" w:cstheme="majorBidi"/>
          <w:color w:val="000000"/>
        </w:rPr>
        <w:t xml:space="preserve">The latter samples were </w:t>
      </w:r>
      <w:r w:rsidRPr="00623407">
        <w:rPr>
          <w:rFonts w:asciiTheme="majorBidi" w:hAnsiTheme="majorBidi" w:cstheme="majorBidi"/>
        </w:rPr>
        <w:t>stored at -</w:t>
      </w:r>
      <w:r>
        <w:rPr>
          <w:rFonts w:asciiTheme="majorBidi" w:hAnsiTheme="majorBidi" w:cstheme="majorBidi"/>
        </w:rPr>
        <w:t>2</w:t>
      </w:r>
      <w:r w:rsidRPr="00623407">
        <w:rPr>
          <w:rFonts w:asciiTheme="majorBidi" w:hAnsiTheme="majorBidi" w:cstheme="majorBidi"/>
        </w:rPr>
        <w:t>0 °C until us</w:t>
      </w:r>
      <w:r>
        <w:rPr>
          <w:rFonts w:asciiTheme="majorBidi" w:hAnsiTheme="majorBidi" w:cstheme="majorBidi"/>
        </w:rPr>
        <w:t>e.</w:t>
      </w:r>
      <w:r w:rsidRPr="007C4DBD">
        <w:rPr>
          <w:rFonts w:asciiTheme="majorBidi" w:hAnsiTheme="majorBidi" w:cstheme="majorBidi"/>
          <w:color w:val="000000"/>
        </w:rPr>
        <w:t xml:space="preserve"> Voucher specimens </w:t>
      </w:r>
      <w:r>
        <w:rPr>
          <w:rFonts w:asciiTheme="majorBidi" w:hAnsiTheme="majorBidi" w:cstheme="majorBidi"/>
          <w:color w:val="000000"/>
        </w:rPr>
        <w:t xml:space="preserve">from all sampling sites </w:t>
      </w:r>
      <w:r w:rsidRPr="007C4DBD">
        <w:rPr>
          <w:rFonts w:asciiTheme="majorBidi" w:hAnsiTheme="majorBidi" w:cstheme="majorBidi"/>
          <w:color w:val="000000"/>
        </w:rPr>
        <w:t xml:space="preserve">were </w:t>
      </w:r>
      <w:r>
        <w:rPr>
          <w:rFonts w:asciiTheme="majorBidi" w:hAnsiTheme="majorBidi" w:cstheme="majorBidi"/>
          <w:color w:val="000000"/>
        </w:rPr>
        <w:t>preserved</w:t>
      </w:r>
      <w:r w:rsidRPr="007C4DBD">
        <w:rPr>
          <w:rFonts w:asciiTheme="majorBidi" w:hAnsiTheme="majorBidi" w:cstheme="majorBidi"/>
          <w:color w:val="000000"/>
        </w:rPr>
        <w:t xml:space="preserve"> in the Herbarium at the Department of Biological Sciences, Yarmouk University.</w:t>
      </w:r>
    </w:p>
    <w:p w14:paraId="4A57B405" w14:textId="77777777" w:rsidR="00BB52E9" w:rsidRPr="007C4DBD" w:rsidRDefault="00BB52E9" w:rsidP="00BB52E9">
      <w:pPr>
        <w:autoSpaceDE w:val="0"/>
        <w:autoSpaceDN w:val="0"/>
        <w:adjustRightInd w:val="0"/>
        <w:spacing w:line="480" w:lineRule="auto"/>
        <w:jc w:val="both"/>
        <w:rPr>
          <w:rFonts w:asciiTheme="majorBidi" w:hAnsiTheme="majorBidi" w:cstheme="majorBidi"/>
          <w:color w:val="000000"/>
        </w:rPr>
      </w:pPr>
      <w:r w:rsidRPr="007C4DBD">
        <w:rPr>
          <w:rFonts w:asciiTheme="majorBidi" w:hAnsiTheme="majorBidi" w:cstheme="majorBidi"/>
          <w:b/>
          <w:i/>
          <w:iCs/>
          <w:color w:val="000000"/>
        </w:rPr>
        <w:t>Morphological studies</w:t>
      </w:r>
    </w:p>
    <w:p w14:paraId="21A1F125" w14:textId="77777777" w:rsidR="00BB52E9" w:rsidRPr="007C4DBD" w:rsidRDefault="00BB52E9" w:rsidP="00BB52E9">
      <w:pPr>
        <w:autoSpaceDE w:val="0"/>
        <w:autoSpaceDN w:val="0"/>
        <w:adjustRightInd w:val="0"/>
        <w:spacing w:line="480" w:lineRule="auto"/>
        <w:ind w:firstLine="720"/>
        <w:jc w:val="both"/>
        <w:rPr>
          <w:rFonts w:asciiTheme="majorBidi" w:hAnsiTheme="majorBidi" w:cstheme="majorBidi"/>
          <w:color w:val="000000"/>
        </w:rPr>
      </w:pPr>
      <w:r w:rsidRPr="007C4DBD">
        <w:rPr>
          <w:rFonts w:asciiTheme="majorBidi" w:hAnsiTheme="majorBidi" w:cstheme="majorBidi"/>
          <w:color w:val="000000"/>
        </w:rPr>
        <w:t xml:space="preserve">Shoots collected from the three </w:t>
      </w:r>
      <w:r w:rsidRPr="003A356F">
        <w:rPr>
          <w:rFonts w:asciiTheme="majorBidi" w:hAnsiTheme="majorBidi" w:cstheme="majorBidi"/>
          <w:i/>
          <w:iCs/>
          <w:color w:val="000000"/>
        </w:rPr>
        <w:t>Blepharis</w:t>
      </w:r>
      <w:r w:rsidRPr="007C4DBD">
        <w:rPr>
          <w:rFonts w:asciiTheme="majorBidi" w:hAnsiTheme="majorBidi" w:cstheme="majorBidi"/>
          <w:color w:val="000000"/>
        </w:rPr>
        <w:t xml:space="preserve"> populations were </w:t>
      </w:r>
      <w:r>
        <w:rPr>
          <w:rFonts w:asciiTheme="majorBidi" w:hAnsiTheme="majorBidi" w:cstheme="majorBidi"/>
          <w:color w:val="000000"/>
        </w:rPr>
        <w:t xml:space="preserve">described and evaluated for quantitative morphological characters by counting and manually using a ruler. </w:t>
      </w:r>
      <w:r w:rsidRPr="007C4DBD">
        <w:rPr>
          <w:rFonts w:asciiTheme="majorBidi" w:eastAsiaTheme="minorHAnsi" w:hAnsiTheme="majorBidi" w:cstheme="majorBidi"/>
          <w:color w:val="231F20"/>
          <w:lang w:val="en-US" w:eastAsia="en-US"/>
        </w:rPr>
        <w:t>Measured variables included</w:t>
      </w:r>
      <w:r>
        <w:rPr>
          <w:rFonts w:asciiTheme="majorBidi" w:eastAsiaTheme="minorHAnsi" w:hAnsiTheme="majorBidi" w:cstheme="majorBidi"/>
          <w:color w:val="231F20"/>
          <w:lang w:val="en-US" w:eastAsia="en-US"/>
        </w:rPr>
        <w:t xml:space="preserve"> bract length and width, number of veins per bract, number of lateral spines per bract margin, length of the longest lateral spine, ratios of the longest spine length to bract width, distance between successive spikeletes, leaf length and width, number of teeth per leaf margin, </w:t>
      </w:r>
      <w:r w:rsidRPr="007C4DBD">
        <w:rPr>
          <w:rFonts w:asciiTheme="majorBidi" w:hAnsiTheme="majorBidi" w:cstheme="majorBidi"/>
          <w:color w:val="000000"/>
        </w:rPr>
        <w:t xml:space="preserve">length of filament and anther for each of the dimorphic </w:t>
      </w:r>
      <w:r>
        <w:rPr>
          <w:rFonts w:asciiTheme="majorBidi" w:hAnsiTheme="majorBidi" w:cstheme="majorBidi"/>
          <w:color w:val="000000"/>
        </w:rPr>
        <w:t xml:space="preserve">anterior and posterior </w:t>
      </w:r>
      <w:r w:rsidRPr="007C4DBD">
        <w:rPr>
          <w:rFonts w:asciiTheme="majorBidi" w:hAnsiTheme="majorBidi" w:cstheme="majorBidi"/>
          <w:color w:val="000000"/>
        </w:rPr>
        <w:t xml:space="preserve">stamens, and appendage length of the anterior </w:t>
      </w:r>
      <w:r>
        <w:rPr>
          <w:rFonts w:asciiTheme="majorBidi" w:hAnsiTheme="majorBidi" w:cstheme="majorBidi"/>
          <w:color w:val="000000"/>
        </w:rPr>
        <w:t>stamens</w:t>
      </w:r>
      <w:r>
        <w:rPr>
          <w:rFonts w:asciiTheme="majorBidi" w:eastAsiaTheme="minorHAnsi" w:hAnsiTheme="majorBidi" w:cstheme="majorBidi"/>
          <w:color w:val="231F20"/>
          <w:lang w:val="en-US" w:eastAsia="en-US"/>
        </w:rPr>
        <w:t xml:space="preserve"> </w:t>
      </w:r>
      <w:r w:rsidRPr="007107AF">
        <w:rPr>
          <w:rFonts w:asciiTheme="majorBidi" w:eastAsiaTheme="minorHAnsi" w:hAnsiTheme="majorBidi" w:cstheme="majorBidi"/>
          <w:color w:val="231F20"/>
          <w:highlight w:val="red"/>
          <w:lang w:val="en-US" w:eastAsia="en-US"/>
        </w:rPr>
        <w:t>(Figs.)</w:t>
      </w:r>
      <w:r>
        <w:rPr>
          <w:rFonts w:asciiTheme="majorBidi" w:eastAsiaTheme="minorHAnsi" w:hAnsiTheme="majorBidi" w:cstheme="majorBidi"/>
          <w:color w:val="231F20"/>
          <w:lang w:val="en-US" w:eastAsia="en-US"/>
        </w:rPr>
        <w:t xml:space="preserve">. </w:t>
      </w:r>
      <w:r>
        <w:rPr>
          <w:rFonts w:asciiTheme="majorBidi" w:hAnsiTheme="majorBidi" w:cstheme="majorBidi"/>
          <w:color w:val="000000"/>
        </w:rPr>
        <w:t>B</w:t>
      </w:r>
      <w:r w:rsidRPr="007C4DBD">
        <w:rPr>
          <w:rFonts w:asciiTheme="majorBidi" w:hAnsiTheme="majorBidi" w:cstheme="majorBidi"/>
          <w:color w:val="000000"/>
        </w:rPr>
        <w:t xml:space="preserve">racts and stamens were </w:t>
      </w:r>
      <w:r>
        <w:rPr>
          <w:rFonts w:asciiTheme="majorBidi" w:hAnsiTheme="majorBidi" w:cstheme="majorBidi"/>
          <w:color w:val="000000"/>
        </w:rPr>
        <w:t xml:space="preserve">quantified under </w:t>
      </w:r>
      <w:r w:rsidRPr="007C4DBD">
        <w:rPr>
          <w:rFonts w:asciiTheme="majorBidi" w:hAnsiTheme="majorBidi" w:cstheme="majorBidi"/>
          <w:color w:val="000000"/>
        </w:rPr>
        <w:t xml:space="preserve">a dissecting scope </w:t>
      </w:r>
      <w:r w:rsidRPr="00824D7B">
        <w:rPr>
          <w:rFonts w:asciiTheme="majorBidi" w:hAnsiTheme="majorBidi" w:cstheme="majorBidi"/>
          <w:color w:val="000000"/>
        </w:rPr>
        <w:lastRenderedPageBreak/>
        <w:t>(</w:t>
      </w:r>
      <w:r>
        <w:rPr>
          <w:rFonts w:asciiTheme="majorBidi" w:hAnsiTheme="majorBidi" w:cstheme="majorBidi"/>
          <w:color w:val="000000"/>
        </w:rPr>
        <w:t>Wild Heerbrugg, Switzerland</w:t>
      </w:r>
      <w:r w:rsidRPr="00824D7B">
        <w:rPr>
          <w:rFonts w:asciiTheme="majorBidi" w:hAnsiTheme="majorBidi" w:cstheme="majorBidi"/>
          <w:color w:val="000000"/>
        </w:rPr>
        <w:t>)</w:t>
      </w:r>
      <w:r w:rsidRPr="007C4DBD">
        <w:rPr>
          <w:rFonts w:asciiTheme="majorBidi" w:hAnsiTheme="majorBidi" w:cstheme="majorBidi"/>
          <w:color w:val="000000"/>
        </w:rPr>
        <w:t xml:space="preserve"> and photographed using an eyepiece digital camera </w:t>
      </w:r>
      <w:r>
        <w:rPr>
          <w:rFonts w:asciiTheme="majorBidi" w:hAnsiTheme="majorBidi" w:cstheme="majorBidi"/>
          <w:color w:val="000000"/>
        </w:rPr>
        <w:t>(OptikaSrl, Ponteranica, Italy)</w:t>
      </w:r>
      <w:r w:rsidRPr="007C4DBD">
        <w:rPr>
          <w:rFonts w:asciiTheme="majorBidi" w:hAnsiTheme="majorBidi" w:cstheme="majorBidi"/>
          <w:color w:val="000000"/>
        </w:rPr>
        <w:t xml:space="preserve">. </w:t>
      </w:r>
    </w:p>
    <w:p w14:paraId="5CACDD4D" w14:textId="77777777" w:rsidR="00BB52E9" w:rsidRDefault="00BB52E9" w:rsidP="00BB52E9">
      <w:pPr>
        <w:autoSpaceDE w:val="0"/>
        <w:autoSpaceDN w:val="0"/>
        <w:adjustRightInd w:val="0"/>
        <w:spacing w:line="480" w:lineRule="auto"/>
        <w:jc w:val="both"/>
        <w:rPr>
          <w:rFonts w:asciiTheme="majorBidi" w:hAnsiTheme="majorBidi" w:cstheme="majorBidi"/>
          <w:b/>
          <w:bCs/>
          <w:i/>
          <w:iCs/>
          <w:color w:val="000000"/>
        </w:rPr>
      </w:pPr>
    </w:p>
    <w:p w14:paraId="6EB2AA09" w14:textId="1915461C" w:rsidR="00BB52E9" w:rsidRPr="00AB10F0" w:rsidRDefault="00997E57" w:rsidP="00BB52E9">
      <w:pPr>
        <w:autoSpaceDE w:val="0"/>
        <w:autoSpaceDN w:val="0"/>
        <w:adjustRightInd w:val="0"/>
        <w:spacing w:line="480" w:lineRule="auto"/>
        <w:jc w:val="both"/>
        <w:rPr>
          <w:rFonts w:asciiTheme="majorBidi" w:hAnsiTheme="majorBidi" w:cstheme="majorBidi"/>
          <w:i/>
          <w:iCs/>
          <w:color w:val="943634" w:themeColor="accent2" w:themeShade="BF"/>
          <w:lang w:val="en-US"/>
        </w:rPr>
      </w:pPr>
      <w:r>
        <w:rPr>
          <w:rFonts w:asciiTheme="majorBidi" w:hAnsiTheme="majorBidi" w:cstheme="majorBidi"/>
          <w:b/>
          <w:bCs/>
          <w:i/>
          <w:iCs/>
          <w:color w:val="943634" w:themeColor="accent2" w:themeShade="BF"/>
        </w:rPr>
        <w:t>Multivariate</w:t>
      </w:r>
      <w:r w:rsidR="00BB52E9" w:rsidRPr="00AB10F0">
        <w:rPr>
          <w:rFonts w:asciiTheme="majorBidi" w:hAnsiTheme="majorBidi" w:cstheme="majorBidi"/>
          <w:b/>
          <w:bCs/>
          <w:i/>
          <w:iCs/>
          <w:color w:val="943634" w:themeColor="accent2" w:themeShade="BF"/>
        </w:rPr>
        <w:t xml:space="preserve"> analysis</w:t>
      </w:r>
    </w:p>
    <w:p w14:paraId="57321E05" w14:textId="77777777" w:rsidR="00AB10F0" w:rsidRPr="00AB10F0" w:rsidRDefault="00AB10F0" w:rsidP="00BB52E9">
      <w:pPr>
        <w:autoSpaceDE w:val="0"/>
        <w:autoSpaceDN w:val="0"/>
        <w:adjustRightInd w:val="0"/>
        <w:spacing w:line="480" w:lineRule="auto"/>
        <w:jc w:val="both"/>
        <w:rPr>
          <w:rFonts w:asciiTheme="majorBidi" w:hAnsiTheme="majorBidi" w:cstheme="majorBidi"/>
          <w:bCs/>
          <w:color w:val="943634" w:themeColor="accent2" w:themeShade="BF"/>
          <w:lang w:bidi="ar-JO"/>
        </w:rPr>
      </w:pPr>
      <w:r>
        <w:rPr>
          <w:rFonts w:asciiTheme="majorBidi" w:hAnsiTheme="majorBidi" w:cstheme="majorBidi"/>
          <w:bCs/>
          <w:color w:val="943634" w:themeColor="accent2" w:themeShade="BF"/>
          <w:lang w:bidi="ar-JO"/>
        </w:rPr>
        <w:t>To test for morphological differences among sites, we</w:t>
      </w:r>
      <w:r w:rsidRPr="00AB10F0">
        <w:rPr>
          <w:rFonts w:asciiTheme="majorBidi" w:hAnsiTheme="majorBidi" w:cstheme="majorBidi"/>
          <w:bCs/>
          <w:color w:val="943634" w:themeColor="accent2" w:themeShade="BF"/>
          <w:lang w:bidi="ar-JO"/>
        </w:rPr>
        <w:t xml:space="preserve"> used</w:t>
      </w:r>
      <w:r>
        <w:rPr>
          <w:rFonts w:asciiTheme="majorBidi" w:hAnsiTheme="majorBidi" w:cstheme="majorBidi"/>
          <w:bCs/>
          <w:color w:val="943634" w:themeColor="accent2" w:themeShade="BF"/>
          <w:lang w:bidi="ar-JO"/>
        </w:rPr>
        <w:t xml:space="preserve"> the</w:t>
      </w:r>
      <w:r w:rsidRPr="00AB10F0">
        <w:rPr>
          <w:rFonts w:asciiTheme="majorBidi" w:hAnsiTheme="majorBidi" w:cstheme="majorBidi"/>
          <w:bCs/>
          <w:color w:val="943634" w:themeColor="accent2" w:themeShade="BF"/>
          <w:lang w:bidi="ar-JO"/>
        </w:rPr>
        <w:t xml:space="preserve"> </w:t>
      </w:r>
      <w:r>
        <w:rPr>
          <w:rFonts w:asciiTheme="majorBidi" w:hAnsiTheme="majorBidi" w:cstheme="majorBidi"/>
          <w:bCs/>
          <w:color w:val="943634" w:themeColor="accent2" w:themeShade="BF"/>
          <w:lang w:bidi="ar-JO"/>
        </w:rPr>
        <w:t>Linear Discriminant Analysis (</w:t>
      </w:r>
      <w:r w:rsidR="00257F03">
        <w:rPr>
          <w:rFonts w:asciiTheme="majorBidi" w:hAnsiTheme="majorBidi" w:cstheme="majorBidi"/>
          <w:bCs/>
          <w:color w:val="943634" w:themeColor="accent2" w:themeShade="BF"/>
          <w:lang w:bidi="ar-JO"/>
        </w:rPr>
        <w:t>LDA</w:t>
      </w:r>
      <w:r>
        <w:rPr>
          <w:rFonts w:asciiTheme="majorBidi" w:hAnsiTheme="majorBidi" w:cstheme="majorBidi"/>
          <w:bCs/>
          <w:color w:val="943634" w:themeColor="accent2" w:themeShade="BF"/>
          <w:lang w:bidi="ar-JO"/>
        </w:rPr>
        <w:t xml:space="preserve">) </w:t>
      </w:r>
      <w:r w:rsidR="00257F03">
        <w:rPr>
          <w:rFonts w:asciiTheme="majorBidi" w:hAnsiTheme="majorBidi" w:cstheme="majorBidi"/>
          <w:bCs/>
          <w:color w:val="943634" w:themeColor="accent2" w:themeShade="BF"/>
          <w:lang w:bidi="ar-JO"/>
        </w:rPr>
        <w:t xml:space="preserve">as </w:t>
      </w:r>
      <w:r>
        <w:rPr>
          <w:rFonts w:asciiTheme="majorBidi" w:hAnsiTheme="majorBidi" w:cstheme="majorBidi"/>
          <w:bCs/>
          <w:color w:val="943634" w:themeColor="accent2" w:themeShade="BF"/>
          <w:lang w:bidi="ar-JO"/>
        </w:rPr>
        <w:t>implemented in</w:t>
      </w:r>
      <w:r w:rsidR="00257F03">
        <w:rPr>
          <w:rFonts w:asciiTheme="majorBidi" w:hAnsiTheme="majorBidi" w:cstheme="majorBidi"/>
          <w:bCs/>
          <w:color w:val="943634" w:themeColor="accent2" w:themeShade="BF"/>
          <w:lang w:bidi="ar-JO"/>
        </w:rPr>
        <w:t xml:space="preserve"> the MASS package (ver. 7.3-45) in</w:t>
      </w:r>
      <w:r>
        <w:rPr>
          <w:rFonts w:asciiTheme="majorBidi" w:hAnsiTheme="majorBidi" w:cstheme="majorBidi"/>
          <w:bCs/>
          <w:color w:val="943634" w:themeColor="accent2" w:themeShade="BF"/>
          <w:lang w:bidi="ar-JO"/>
        </w:rPr>
        <w:t xml:space="preserve"> R (ver. 3.3.2)</w:t>
      </w:r>
      <w:r w:rsidR="00257F03">
        <w:rPr>
          <w:rFonts w:asciiTheme="majorBidi" w:hAnsiTheme="majorBidi" w:cstheme="majorBidi"/>
          <w:bCs/>
          <w:color w:val="943634" w:themeColor="accent2" w:themeShade="BF"/>
          <w:lang w:bidi="ar-JO"/>
        </w:rPr>
        <w:t xml:space="preserve">. All variables were transformed to a mean of zero and unit standard deviation before analysis. Detailed methods with </w:t>
      </w:r>
      <w:r w:rsidR="00257F03">
        <w:rPr>
          <w:rFonts w:asciiTheme="majorBidi" w:hAnsiTheme="majorBidi" w:cstheme="majorBidi"/>
          <w:bCs/>
          <w:color w:val="943634" w:themeColor="accent2" w:themeShade="BF"/>
          <w:lang w:bidi="ar-JO"/>
        </w:rPr>
        <w:t>raw data</w:t>
      </w:r>
      <w:r w:rsidR="00257F03">
        <w:rPr>
          <w:rFonts w:asciiTheme="majorBidi" w:hAnsiTheme="majorBidi" w:cstheme="majorBidi"/>
          <w:bCs/>
          <w:color w:val="943634" w:themeColor="accent2" w:themeShade="BF"/>
          <w:lang w:bidi="ar-JO"/>
        </w:rPr>
        <w:t xml:space="preserve"> and</w:t>
      </w:r>
      <w:r w:rsidR="00257F03">
        <w:rPr>
          <w:rFonts w:asciiTheme="majorBidi" w:hAnsiTheme="majorBidi" w:cstheme="majorBidi"/>
          <w:bCs/>
          <w:color w:val="943634" w:themeColor="accent2" w:themeShade="BF"/>
          <w:lang w:bidi="ar-JO"/>
        </w:rPr>
        <w:t xml:space="preserve"> </w:t>
      </w:r>
      <w:r w:rsidR="00257F03">
        <w:rPr>
          <w:rFonts w:asciiTheme="majorBidi" w:hAnsiTheme="majorBidi" w:cstheme="majorBidi"/>
          <w:bCs/>
          <w:color w:val="943634" w:themeColor="accent2" w:themeShade="BF"/>
          <w:lang w:bidi="ar-JO"/>
        </w:rPr>
        <w:t>original R code are available through the Dryad Digital Repository (</w:t>
      </w:r>
      <w:r w:rsidR="00257F03" w:rsidRPr="00257F03">
        <w:rPr>
          <w:rFonts w:asciiTheme="majorBidi" w:hAnsiTheme="majorBidi" w:cstheme="majorBidi"/>
          <w:bCs/>
          <w:color w:val="943634" w:themeColor="accent2" w:themeShade="BF"/>
          <w:lang w:bidi="ar-JO"/>
        </w:rPr>
        <w:t>http://</w:t>
      </w:r>
      <w:r w:rsidR="00257F03">
        <w:rPr>
          <w:rFonts w:asciiTheme="majorBidi" w:hAnsiTheme="majorBidi" w:cstheme="majorBidi"/>
          <w:bCs/>
          <w:color w:val="943634" w:themeColor="accent2" w:themeShade="BF"/>
          <w:lang w:bidi="ar-JO"/>
        </w:rPr>
        <w:t>dx.doi.org/10.5061/dryad.</w:t>
      </w:r>
      <w:commentRangeStart w:id="0"/>
      <w:r w:rsidR="00257F03" w:rsidRPr="00257F03">
        <w:rPr>
          <w:rFonts w:asciiTheme="majorBidi" w:hAnsiTheme="majorBidi" w:cstheme="majorBidi"/>
          <w:b/>
          <w:bCs/>
          <w:color w:val="943634" w:themeColor="accent2" w:themeShade="BF"/>
          <w:lang w:bidi="ar-JO"/>
        </w:rPr>
        <w:t>XXXX</w:t>
      </w:r>
      <w:commentRangeEnd w:id="0"/>
      <w:r w:rsidR="00257F03">
        <w:rPr>
          <w:rStyle w:val="CommentReference"/>
        </w:rPr>
        <w:commentReference w:id="0"/>
      </w:r>
      <w:r w:rsidR="00257F03">
        <w:rPr>
          <w:rFonts w:asciiTheme="majorBidi" w:hAnsiTheme="majorBidi" w:cstheme="majorBidi"/>
          <w:bCs/>
          <w:color w:val="943634" w:themeColor="accent2" w:themeShade="BF"/>
          <w:lang w:bidi="ar-JO"/>
        </w:rPr>
        <w:t>)</w:t>
      </w:r>
      <w:r w:rsidR="00257F03" w:rsidRPr="00257F03">
        <w:rPr>
          <w:rFonts w:asciiTheme="majorBidi" w:hAnsiTheme="majorBidi" w:cstheme="majorBidi"/>
          <w:bCs/>
          <w:color w:val="943634" w:themeColor="accent2" w:themeShade="BF"/>
          <w:lang w:bidi="ar-JO"/>
        </w:rPr>
        <w:t>.</w:t>
      </w:r>
    </w:p>
    <w:p w14:paraId="38B67E4F" w14:textId="77777777" w:rsidR="00AB10F0" w:rsidRDefault="00AB10F0" w:rsidP="00BB52E9">
      <w:pPr>
        <w:autoSpaceDE w:val="0"/>
        <w:autoSpaceDN w:val="0"/>
        <w:adjustRightInd w:val="0"/>
        <w:spacing w:line="480" w:lineRule="auto"/>
        <w:jc w:val="both"/>
        <w:rPr>
          <w:rFonts w:asciiTheme="majorBidi" w:hAnsiTheme="majorBidi" w:cstheme="majorBidi"/>
          <w:b/>
          <w:bCs/>
          <w:highlight w:val="red"/>
          <w:lang w:bidi="ar-JO"/>
        </w:rPr>
      </w:pPr>
    </w:p>
    <w:p w14:paraId="683EE00D" w14:textId="123D6C63" w:rsidR="00997E57" w:rsidRDefault="00997E57" w:rsidP="00BB52E9">
      <w:pPr>
        <w:autoSpaceDE w:val="0"/>
        <w:autoSpaceDN w:val="0"/>
        <w:adjustRightInd w:val="0"/>
        <w:spacing w:line="480" w:lineRule="auto"/>
        <w:jc w:val="both"/>
        <w:rPr>
          <w:rFonts w:asciiTheme="majorBidi" w:hAnsiTheme="majorBidi" w:cstheme="majorBidi"/>
          <w:b/>
          <w:bCs/>
          <w:highlight w:val="red"/>
          <w:lang w:bidi="ar-JO"/>
        </w:rPr>
      </w:pPr>
      <w:r>
        <w:rPr>
          <w:rFonts w:asciiTheme="majorBidi" w:hAnsiTheme="majorBidi" w:cstheme="majorBidi"/>
          <w:b/>
          <w:bCs/>
          <w:highlight w:val="red"/>
          <w:lang w:bidi="ar-JO"/>
        </w:rPr>
        <w:t>Statistical analysis</w:t>
      </w:r>
    </w:p>
    <w:p w14:paraId="5EC25DBF" w14:textId="77777777" w:rsidR="00BB52E9" w:rsidRPr="007C4DBD" w:rsidRDefault="00BB52E9" w:rsidP="00BB52E9">
      <w:pPr>
        <w:autoSpaceDE w:val="0"/>
        <w:autoSpaceDN w:val="0"/>
        <w:adjustRightInd w:val="0"/>
        <w:spacing w:before="100" w:beforeAutospacing="1" w:after="100" w:afterAutospacing="1" w:line="480" w:lineRule="auto"/>
        <w:ind w:hanging="180"/>
        <w:jc w:val="both"/>
        <w:rPr>
          <w:rFonts w:asciiTheme="majorBidi" w:hAnsiTheme="majorBidi" w:cstheme="majorBidi"/>
          <w:color w:val="000000"/>
        </w:rPr>
      </w:pPr>
      <w:r w:rsidRPr="00D7212E">
        <w:rPr>
          <w:rFonts w:asciiTheme="majorBidi" w:hAnsiTheme="majorBidi" w:cstheme="majorBidi"/>
          <w:b/>
          <w:bCs/>
          <w:highlight w:val="red"/>
          <w:lang w:bidi="ar-JO"/>
        </w:rPr>
        <w:tab/>
        <w:t>Univariate</w:t>
      </w:r>
      <w:r w:rsidRPr="00D7212E">
        <w:rPr>
          <w:rFonts w:asciiTheme="majorBidi" w:hAnsiTheme="majorBidi" w:cstheme="majorBidi"/>
          <w:highlight w:val="red"/>
          <w:lang w:bidi="ar-JO"/>
        </w:rPr>
        <w:t xml:space="preserve"> </w:t>
      </w:r>
      <w:r w:rsidRPr="00D7212E">
        <w:rPr>
          <w:rFonts w:asciiTheme="majorBidi" w:hAnsiTheme="majorBidi" w:cstheme="majorBidi"/>
          <w:b/>
          <w:bCs/>
          <w:color w:val="000000"/>
          <w:highlight w:val="red"/>
        </w:rPr>
        <w:t>analysis</w:t>
      </w:r>
    </w:p>
    <w:p w14:paraId="6193563B" w14:textId="77777777" w:rsidR="00BB52E9" w:rsidRPr="00C7607E" w:rsidRDefault="00BB52E9" w:rsidP="00BB52E9">
      <w:pPr>
        <w:autoSpaceDE w:val="0"/>
        <w:autoSpaceDN w:val="0"/>
        <w:adjustRightInd w:val="0"/>
        <w:spacing w:before="100" w:beforeAutospacing="1" w:after="100" w:afterAutospacing="1" w:line="480" w:lineRule="auto"/>
        <w:jc w:val="both"/>
        <w:rPr>
          <w:b/>
          <w:bCs/>
          <w:i/>
          <w:iCs/>
        </w:rPr>
      </w:pPr>
      <w:r w:rsidRPr="00C7607E">
        <w:rPr>
          <w:b/>
          <w:bCs/>
          <w:i/>
          <w:iCs/>
        </w:rPr>
        <w:t>Molecular methods</w:t>
      </w:r>
    </w:p>
    <w:p w14:paraId="6C5FFA36" w14:textId="77777777" w:rsidR="00BB52E9" w:rsidRPr="00623407" w:rsidRDefault="00BB52E9" w:rsidP="00BB52E9">
      <w:pPr>
        <w:autoSpaceDE w:val="0"/>
        <w:autoSpaceDN w:val="0"/>
        <w:adjustRightInd w:val="0"/>
        <w:spacing w:before="100" w:beforeAutospacing="1" w:after="100" w:afterAutospacing="1" w:line="480" w:lineRule="auto"/>
        <w:jc w:val="both"/>
        <w:rPr>
          <w:rFonts w:asciiTheme="majorBidi" w:hAnsiTheme="majorBidi" w:cstheme="majorBidi"/>
          <w:b/>
          <w:bCs/>
        </w:rPr>
      </w:pPr>
      <w:r w:rsidRPr="00623407">
        <w:rPr>
          <w:rFonts w:asciiTheme="majorBidi" w:hAnsiTheme="majorBidi" w:cstheme="majorBidi"/>
          <w:b/>
          <w:bCs/>
        </w:rPr>
        <w:t xml:space="preserve">DNA extraction </w:t>
      </w:r>
    </w:p>
    <w:p w14:paraId="390ECF38" w14:textId="77777777" w:rsidR="00BB52E9" w:rsidRDefault="00BB52E9" w:rsidP="00BB52E9">
      <w:pPr>
        <w:autoSpaceDE w:val="0"/>
        <w:autoSpaceDN w:val="0"/>
        <w:adjustRightInd w:val="0"/>
        <w:spacing w:before="100" w:beforeAutospacing="1" w:after="100" w:afterAutospacing="1" w:line="480" w:lineRule="auto"/>
        <w:jc w:val="both"/>
        <w:rPr>
          <w:b/>
          <w:bCs/>
          <w:sz w:val="16"/>
          <w:szCs w:val="16"/>
        </w:rPr>
      </w:pPr>
      <w:r w:rsidRPr="005B15F6">
        <w:rPr>
          <w:rFonts w:asciiTheme="majorBidi" w:hAnsiTheme="majorBidi" w:cstheme="majorBidi"/>
        </w:rPr>
        <w:t xml:space="preserve">Total genomic DNA was extracted from </w:t>
      </w:r>
      <w:r>
        <w:rPr>
          <w:rFonts w:asciiTheme="majorBidi" w:hAnsiTheme="majorBidi" w:cstheme="majorBidi"/>
          <w:color w:val="000000"/>
        </w:rPr>
        <w:t xml:space="preserve">silica-dried </w:t>
      </w:r>
      <w:r w:rsidRPr="005B15F6">
        <w:rPr>
          <w:rFonts w:asciiTheme="majorBidi" w:hAnsiTheme="majorBidi" w:cstheme="majorBidi"/>
        </w:rPr>
        <w:t xml:space="preserve">leaf </w:t>
      </w:r>
      <w:r>
        <w:rPr>
          <w:rFonts w:asciiTheme="majorBidi" w:hAnsiTheme="majorBidi" w:cstheme="majorBidi"/>
        </w:rPr>
        <w:t xml:space="preserve">samples </w:t>
      </w:r>
      <w:r w:rsidRPr="005B15F6">
        <w:rPr>
          <w:rFonts w:asciiTheme="majorBidi" w:hAnsiTheme="majorBidi" w:cstheme="majorBidi"/>
        </w:rPr>
        <w:t xml:space="preserve">using a GeneJET Plant Genomic DNA Purification Kit (Thermo Fisher-SCIENTIFIC, MA, USA). </w:t>
      </w:r>
      <w:r>
        <w:rPr>
          <w:rFonts w:asciiTheme="majorBidi" w:hAnsiTheme="majorBidi" w:cstheme="majorBidi"/>
        </w:rPr>
        <w:t>Leaves were</w:t>
      </w:r>
      <w:r w:rsidRPr="005B15F6">
        <w:rPr>
          <w:rFonts w:asciiTheme="majorBidi" w:hAnsiTheme="majorBidi" w:cstheme="majorBidi"/>
        </w:rPr>
        <w:t xml:space="preserve"> ground to a fine powder</w:t>
      </w:r>
      <w:r>
        <w:rPr>
          <w:rFonts w:asciiTheme="majorBidi" w:hAnsiTheme="majorBidi" w:cstheme="majorBidi"/>
        </w:rPr>
        <w:t xml:space="preserve"> in liquid nitrogen using a pre</w:t>
      </w:r>
      <w:r w:rsidRPr="005B15F6">
        <w:rPr>
          <w:rFonts w:asciiTheme="majorBidi" w:hAnsiTheme="majorBidi" w:cstheme="majorBidi"/>
        </w:rPr>
        <w:t>chilled mortar and pestle</w:t>
      </w:r>
      <w:r>
        <w:rPr>
          <w:rFonts w:asciiTheme="majorBidi" w:hAnsiTheme="majorBidi" w:cstheme="majorBidi"/>
        </w:rPr>
        <w:t xml:space="preserve"> and </w:t>
      </w:r>
      <w:r w:rsidRPr="005B15F6">
        <w:rPr>
          <w:rFonts w:asciiTheme="majorBidi" w:hAnsiTheme="majorBidi" w:cstheme="majorBidi"/>
        </w:rPr>
        <w:t xml:space="preserve">DNA was extracted following the manufacturer’s instructions. The quantity and quality of DNA </w:t>
      </w:r>
      <w:r w:rsidRPr="00DB1979">
        <w:rPr>
          <w:rFonts w:asciiTheme="majorBidi" w:hAnsiTheme="majorBidi" w:cstheme="majorBidi"/>
        </w:rPr>
        <w:t xml:space="preserve">were evaluated using the Nanodrop Spectrophotometer (Thermo Scientiﬁc) and on </w:t>
      </w:r>
      <w:r>
        <w:rPr>
          <w:rFonts w:asciiTheme="majorBidi" w:hAnsiTheme="majorBidi" w:cstheme="majorBidi"/>
        </w:rPr>
        <w:t>1</w:t>
      </w:r>
      <w:r w:rsidRPr="00DB1979">
        <w:rPr>
          <w:rFonts w:asciiTheme="majorBidi" w:hAnsiTheme="majorBidi" w:cstheme="majorBidi"/>
        </w:rPr>
        <w:t xml:space="preserve"> % agarose gel </w:t>
      </w:r>
      <w:r>
        <w:rPr>
          <w:rFonts w:asciiTheme="majorBidi" w:hAnsiTheme="majorBidi" w:cstheme="majorBidi"/>
        </w:rPr>
        <w:t xml:space="preserve">electrophoresis </w:t>
      </w:r>
      <w:r w:rsidRPr="00DB1979">
        <w:rPr>
          <w:rFonts w:asciiTheme="majorBidi" w:hAnsiTheme="majorBidi" w:cstheme="majorBidi"/>
        </w:rPr>
        <w:t>for integrity.</w:t>
      </w:r>
    </w:p>
    <w:p w14:paraId="08307CE0" w14:textId="77777777" w:rsidR="00BB52E9" w:rsidRDefault="00BB52E9" w:rsidP="00BB52E9">
      <w:pPr>
        <w:autoSpaceDE w:val="0"/>
        <w:autoSpaceDN w:val="0"/>
        <w:adjustRightInd w:val="0"/>
        <w:spacing w:before="100" w:beforeAutospacing="1" w:after="100" w:afterAutospacing="1" w:line="480" w:lineRule="auto"/>
        <w:jc w:val="both"/>
        <w:rPr>
          <w:rFonts w:asciiTheme="majorBidi" w:hAnsiTheme="majorBidi" w:cstheme="majorBidi"/>
          <w:b/>
          <w:bCs/>
        </w:rPr>
      </w:pPr>
      <w:r w:rsidRPr="00DB1979">
        <w:rPr>
          <w:rFonts w:asciiTheme="majorBidi" w:hAnsiTheme="majorBidi" w:cstheme="majorBidi"/>
          <w:b/>
          <w:bCs/>
        </w:rPr>
        <w:t>ISSR fingerprinting</w:t>
      </w:r>
    </w:p>
    <w:p w14:paraId="47335592" w14:textId="77777777" w:rsidR="00BB52E9" w:rsidRDefault="00BB52E9" w:rsidP="00BB52E9">
      <w:pPr>
        <w:autoSpaceDE w:val="0"/>
        <w:autoSpaceDN w:val="0"/>
        <w:adjustRightInd w:val="0"/>
        <w:spacing w:before="100" w:beforeAutospacing="1" w:after="100" w:afterAutospacing="1" w:line="480" w:lineRule="auto"/>
        <w:jc w:val="both"/>
        <w:rPr>
          <w:rFonts w:asciiTheme="majorBidi" w:hAnsiTheme="majorBidi" w:cstheme="majorBidi"/>
        </w:rPr>
      </w:pPr>
      <w:r w:rsidRPr="00DC5BA4">
        <w:rPr>
          <w:rFonts w:asciiTheme="majorBidi" w:hAnsiTheme="majorBidi" w:cstheme="majorBidi"/>
        </w:rPr>
        <w:lastRenderedPageBreak/>
        <w:t xml:space="preserve">ISSR </w:t>
      </w:r>
      <w:r>
        <w:rPr>
          <w:rFonts w:asciiTheme="majorBidi" w:hAnsiTheme="majorBidi" w:cstheme="majorBidi"/>
        </w:rPr>
        <w:t xml:space="preserve">analysis </w:t>
      </w:r>
      <w:r w:rsidRPr="00DC5BA4">
        <w:rPr>
          <w:rFonts w:asciiTheme="majorBidi" w:hAnsiTheme="majorBidi" w:cstheme="majorBidi"/>
        </w:rPr>
        <w:t xml:space="preserve">was performed according to </w:t>
      </w:r>
      <w:r w:rsidRPr="00385CAA">
        <w:rPr>
          <w:rFonts w:asciiTheme="majorBidi" w:hAnsiTheme="majorBidi" w:cstheme="majorBidi"/>
          <w:color w:val="0000FF"/>
        </w:rPr>
        <w:t>Bornet and Branchard (2001)</w:t>
      </w:r>
      <w:r w:rsidRPr="00DC5BA4">
        <w:rPr>
          <w:rFonts w:asciiTheme="majorBidi" w:hAnsiTheme="majorBidi" w:cstheme="majorBidi"/>
        </w:rPr>
        <w:t xml:space="preserve"> using </w:t>
      </w:r>
      <w:r>
        <w:rPr>
          <w:rFonts w:asciiTheme="majorBidi" w:hAnsiTheme="majorBidi" w:cstheme="majorBidi"/>
        </w:rPr>
        <w:t>8</w:t>
      </w:r>
      <w:r w:rsidRPr="00DC5BA4">
        <w:rPr>
          <w:rFonts w:asciiTheme="majorBidi" w:hAnsiTheme="majorBidi" w:cstheme="majorBidi"/>
        </w:rPr>
        <w:t xml:space="preserve"> primers</w:t>
      </w:r>
      <w:r>
        <w:rPr>
          <w:rFonts w:asciiTheme="majorBidi" w:hAnsiTheme="majorBidi" w:cstheme="majorBidi"/>
        </w:rPr>
        <w:t xml:space="preserve"> </w:t>
      </w:r>
      <w:r w:rsidRPr="00385CAA">
        <w:rPr>
          <w:rFonts w:asciiTheme="majorBidi" w:hAnsiTheme="majorBidi" w:cstheme="majorBidi"/>
          <w:highlight w:val="red"/>
        </w:rPr>
        <w:t>(Table X)</w:t>
      </w:r>
      <w:r w:rsidRPr="00DC5BA4">
        <w:rPr>
          <w:rFonts w:asciiTheme="majorBidi" w:hAnsiTheme="majorBidi" w:cstheme="majorBidi"/>
        </w:rPr>
        <w:t xml:space="preserve">. Amplification was carried out in 25 μl reaction mixture contained </w:t>
      </w:r>
      <w:r>
        <w:rPr>
          <w:rFonts w:asciiTheme="majorBidi" w:hAnsiTheme="majorBidi" w:cstheme="majorBidi"/>
        </w:rPr>
        <w:t>3</w:t>
      </w:r>
      <w:r w:rsidRPr="00DC5BA4">
        <w:rPr>
          <w:rFonts w:asciiTheme="majorBidi" w:hAnsiTheme="majorBidi" w:cstheme="majorBidi"/>
        </w:rPr>
        <w:t xml:space="preserve">0 ng of genomic DNA, 0.3 μM of the primer, 1X Taq DNA polymerase reaction buffer, 1.5 unit of Taq DNA polymerase and 0.2 mM of each dNTP. Amplifications were performed in </w:t>
      </w:r>
      <w:r w:rsidRPr="007A0156">
        <w:rPr>
          <w:rFonts w:asciiTheme="majorBidi" w:hAnsiTheme="majorBidi" w:cstheme="majorBidi"/>
        </w:rPr>
        <w:t>Bioer-XP thermal cycler (BIOER)</w:t>
      </w:r>
      <w:r>
        <w:rPr>
          <w:rFonts w:asciiTheme="majorBidi" w:hAnsiTheme="majorBidi" w:cstheme="majorBidi"/>
        </w:rPr>
        <w:t xml:space="preserve"> </w:t>
      </w:r>
      <w:r w:rsidRPr="00DC5BA4">
        <w:rPr>
          <w:rFonts w:asciiTheme="majorBidi" w:hAnsiTheme="majorBidi" w:cstheme="majorBidi"/>
        </w:rPr>
        <w:t xml:space="preserve">programmed </w:t>
      </w:r>
      <w:r>
        <w:rPr>
          <w:rFonts w:asciiTheme="majorBidi" w:hAnsiTheme="majorBidi" w:cstheme="majorBidi"/>
        </w:rPr>
        <w:t xml:space="preserve">for an initial </w:t>
      </w:r>
      <w:r w:rsidRPr="00DC5BA4">
        <w:rPr>
          <w:rFonts w:asciiTheme="majorBidi" w:hAnsiTheme="majorBidi" w:cstheme="majorBidi"/>
        </w:rPr>
        <w:t>denaturation step of 5 min at 94°C, followed by 45 cycles composed of 30 s at 94°C, 45 s anne</w:t>
      </w:r>
      <w:r>
        <w:rPr>
          <w:rFonts w:asciiTheme="majorBidi" w:hAnsiTheme="majorBidi" w:cstheme="majorBidi"/>
        </w:rPr>
        <w:t>aling at 52°C, and 90 s at 72°C, and a</w:t>
      </w:r>
      <w:r w:rsidRPr="00DC5BA4">
        <w:rPr>
          <w:rFonts w:asciiTheme="majorBidi" w:hAnsiTheme="majorBidi" w:cstheme="majorBidi"/>
        </w:rPr>
        <w:t xml:space="preserve"> final extension of 72°C for 5 min. Amplified products of ISSR were separated on 1.5% agarose gels in 1X TBE buffer. Fragment size was estimated using a </w:t>
      </w:r>
      <w:r w:rsidRPr="003D1588">
        <w:rPr>
          <w:rFonts w:asciiTheme="majorBidi" w:hAnsiTheme="majorBidi" w:cstheme="majorBidi"/>
        </w:rPr>
        <w:t>Quick-Load® 100 bp DNA Ladder</w:t>
      </w:r>
      <w:r w:rsidRPr="00DC5BA4">
        <w:rPr>
          <w:rFonts w:asciiTheme="majorBidi" w:hAnsiTheme="majorBidi" w:cstheme="majorBidi"/>
        </w:rPr>
        <w:t xml:space="preserve"> (</w:t>
      </w:r>
      <w:r>
        <w:rPr>
          <w:rFonts w:asciiTheme="majorBidi" w:hAnsiTheme="majorBidi" w:cstheme="majorBidi"/>
        </w:rPr>
        <w:t>New England BioLabsinc.</w:t>
      </w:r>
      <w:r w:rsidRPr="00DC5BA4">
        <w:rPr>
          <w:rFonts w:asciiTheme="majorBidi" w:hAnsiTheme="majorBidi" w:cstheme="majorBidi"/>
        </w:rPr>
        <w:t xml:space="preserve">) and detected by staining with ethidium bromide (10 mg/ml) according to </w:t>
      </w:r>
      <w:r w:rsidRPr="009F64C0">
        <w:rPr>
          <w:rFonts w:asciiTheme="majorBidi" w:hAnsiTheme="majorBidi" w:cstheme="majorBidi"/>
          <w:color w:val="0000FF"/>
        </w:rPr>
        <w:t>Sambrook et al., (1989)</w:t>
      </w:r>
      <w:r w:rsidRPr="00DC5BA4">
        <w:rPr>
          <w:rFonts w:asciiTheme="majorBidi" w:hAnsiTheme="majorBidi" w:cstheme="majorBidi"/>
        </w:rPr>
        <w:t xml:space="preserve">. Then, the PCR products were visualized by UV-transilluminator and photographed </w:t>
      </w:r>
      <w:r>
        <w:rPr>
          <w:rFonts w:asciiTheme="majorBidi" w:hAnsiTheme="majorBidi" w:cstheme="majorBidi"/>
        </w:rPr>
        <w:t>using gel-</w:t>
      </w:r>
      <w:r w:rsidRPr="00DC5BA4">
        <w:rPr>
          <w:rFonts w:asciiTheme="majorBidi" w:hAnsiTheme="majorBidi" w:cstheme="majorBidi"/>
        </w:rPr>
        <w:t>doc</w:t>
      </w:r>
      <w:r>
        <w:rPr>
          <w:rFonts w:asciiTheme="majorBidi" w:hAnsiTheme="majorBidi" w:cstheme="majorBidi"/>
        </w:rPr>
        <w:t>umentation system</w:t>
      </w:r>
      <w:r w:rsidRPr="00DC5BA4">
        <w:rPr>
          <w:rFonts w:asciiTheme="majorBidi" w:hAnsiTheme="majorBidi" w:cstheme="majorBidi"/>
        </w:rPr>
        <w:t xml:space="preserve"> </w:t>
      </w:r>
      <w:r>
        <w:rPr>
          <w:rFonts w:asciiTheme="majorBidi" w:hAnsiTheme="majorBidi" w:cstheme="majorBidi"/>
        </w:rPr>
        <w:t>(</w:t>
      </w:r>
      <w:r w:rsidRPr="007A0156">
        <w:rPr>
          <w:rFonts w:asciiTheme="majorBidi" w:hAnsiTheme="majorBidi" w:cstheme="majorBidi"/>
        </w:rPr>
        <w:t>BioDocAnalyze (Biometra)</w:t>
      </w:r>
      <w:r w:rsidRPr="00DC5BA4">
        <w:rPr>
          <w:rFonts w:asciiTheme="majorBidi" w:hAnsiTheme="majorBidi" w:cstheme="majorBidi"/>
        </w:rPr>
        <w:t>.</w:t>
      </w:r>
    </w:p>
    <w:p w14:paraId="1766A4B9" w14:textId="77777777" w:rsidR="00BB52E9" w:rsidRDefault="00BB52E9" w:rsidP="00BB52E9">
      <w:pPr>
        <w:autoSpaceDE w:val="0"/>
        <w:autoSpaceDN w:val="0"/>
        <w:adjustRightInd w:val="0"/>
        <w:spacing w:before="100" w:beforeAutospacing="1" w:after="100" w:afterAutospacing="1" w:line="480" w:lineRule="auto"/>
        <w:jc w:val="both"/>
        <w:rPr>
          <w:rFonts w:asciiTheme="majorBidi" w:hAnsiTheme="majorBidi" w:cstheme="majorBidi"/>
          <w:b/>
          <w:bCs/>
        </w:rPr>
      </w:pPr>
      <w:r w:rsidRPr="003D1588">
        <w:rPr>
          <w:rFonts w:asciiTheme="majorBidi" w:hAnsiTheme="majorBidi" w:cstheme="majorBidi"/>
          <w:b/>
          <w:bCs/>
        </w:rPr>
        <w:t>Data analysis</w:t>
      </w:r>
    </w:p>
    <w:p w14:paraId="57CA0926" w14:textId="77777777" w:rsidR="00BB52E9" w:rsidRPr="00DC5BA4" w:rsidRDefault="00BB52E9" w:rsidP="00BB52E9">
      <w:pPr>
        <w:autoSpaceDE w:val="0"/>
        <w:autoSpaceDN w:val="0"/>
        <w:adjustRightInd w:val="0"/>
        <w:spacing w:before="100" w:beforeAutospacing="1" w:after="100" w:afterAutospacing="1" w:line="480" w:lineRule="auto"/>
        <w:jc w:val="both"/>
        <w:rPr>
          <w:rFonts w:asciiTheme="majorBidi" w:hAnsiTheme="majorBidi" w:cstheme="majorBidi"/>
        </w:rPr>
      </w:pPr>
      <w:r w:rsidRPr="003D1588">
        <w:rPr>
          <w:rFonts w:asciiTheme="majorBidi" w:hAnsiTheme="majorBidi" w:cstheme="majorBidi"/>
        </w:rPr>
        <w:t>For each primer, the gel was analyzed by scoring the presence or absence of ISSR bands. The presence of an amplified fragment was scored as 1, while the absence was scored as zero. All unclear bands were ignored.</w:t>
      </w:r>
      <w:r>
        <w:rPr>
          <w:rFonts w:asciiTheme="majorBidi" w:hAnsiTheme="majorBidi" w:cstheme="majorBidi"/>
        </w:rPr>
        <w:t xml:space="preserve"> Primer effecincy was calculated by the number of markers obtain from each primer by the total number of markers generated by all primers. Discrimination power was calculated by dividing polymorphic markers produced from each primer by the total polymorphic markers produced</w:t>
      </w:r>
      <w:r>
        <w:rPr>
          <w:rFonts w:asciiTheme="majorBidi" w:hAnsiTheme="majorBidi" w:cstheme="majorBidi"/>
          <w:color w:val="FF0000"/>
        </w:rPr>
        <w:t xml:space="preserve"> </w:t>
      </w:r>
      <w:r w:rsidRPr="007F011E">
        <w:rPr>
          <w:rFonts w:asciiTheme="majorBidi" w:hAnsiTheme="majorBidi" w:cstheme="majorBidi"/>
          <w:color w:val="0000FF"/>
        </w:rPr>
        <w:t>(Khierallah et al.,2011)</w:t>
      </w:r>
      <w:r w:rsidRPr="007F011E">
        <w:rPr>
          <w:rFonts w:asciiTheme="majorBidi" w:hAnsiTheme="majorBidi" w:cstheme="majorBidi"/>
          <w:color w:val="000000" w:themeColor="text1"/>
        </w:rPr>
        <w:t>.</w:t>
      </w:r>
      <w:r>
        <w:rPr>
          <w:rFonts w:asciiTheme="majorBidi" w:hAnsiTheme="majorBidi" w:cstheme="majorBidi"/>
        </w:rPr>
        <w:t xml:space="preserve"> </w:t>
      </w:r>
      <w:r w:rsidRPr="00045FD2">
        <w:rPr>
          <w:rFonts w:asciiTheme="majorBidi" w:hAnsiTheme="majorBidi" w:cstheme="majorBidi"/>
        </w:rPr>
        <w:t xml:space="preserve">The data obtained by scoring ISSR profiles were subjected to the calculation of similarity matrix using Jaccard’s coefficients. The similarity values were used for cluster analyses. Sequential agglomerative hierarchical nonoverlapping (SAHN) clustering was applied using unweighted pair group method </w:t>
      </w:r>
      <w:r w:rsidRPr="00045FD2">
        <w:rPr>
          <w:rFonts w:asciiTheme="majorBidi" w:hAnsiTheme="majorBidi" w:cstheme="majorBidi"/>
        </w:rPr>
        <w:lastRenderedPageBreak/>
        <w:t xml:space="preserve">with arithmetic averages (UPGMA) method. Dendrograms were plotted using NTSYSpc 2.02 software </w:t>
      </w:r>
      <w:r w:rsidRPr="007F011E">
        <w:rPr>
          <w:rFonts w:asciiTheme="majorBidi" w:hAnsiTheme="majorBidi" w:cstheme="majorBidi"/>
          <w:color w:val="0000FF"/>
        </w:rPr>
        <w:t>(Rohlf, 1998)</w:t>
      </w:r>
      <w:r w:rsidRPr="007F011E">
        <w:rPr>
          <w:rFonts w:asciiTheme="majorBidi" w:hAnsiTheme="majorBidi" w:cstheme="majorBidi"/>
          <w:color w:val="000000" w:themeColor="text1"/>
        </w:rPr>
        <w:t>.</w:t>
      </w:r>
    </w:p>
    <w:p w14:paraId="7CCDDCA1" w14:textId="77777777" w:rsidR="00BB52E9" w:rsidRPr="007C4DBD" w:rsidRDefault="00BB52E9" w:rsidP="00BB52E9">
      <w:pPr>
        <w:spacing w:line="480" w:lineRule="auto"/>
        <w:jc w:val="both"/>
        <w:rPr>
          <w:rFonts w:asciiTheme="majorBidi" w:hAnsiTheme="majorBidi" w:cstheme="majorBidi"/>
          <w:b/>
          <w:color w:val="000000"/>
        </w:rPr>
      </w:pPr>
      <w:r w:rsidRPr="007C4DBD">
        <w:rPr>
          <w:rFonts w:asciiTheme="majorBidi" w:hAnsiTheme="majorBidi" w:cstheme="majorBidi"/>
          <w:b/>
          <w:color w:val="000000"/>
        </w:rPr>
        <w:t>Results and Discussion</w:t>
      </w:r>
    </w:p>
    <w:p w14:paraId="009606ED" w14:textId="77777777" w:rsidR="00BB52E9" w:rsidRPr="007C4DBD" w:rsidRDefault="00BB52E9" w:rsidP="00BB52E9">
      <w:pPr>
        <w:spacing w:line="480" w:lineRule="auto"/>
        <w:jc w:val="both"/>
        <w:rPr>
          <w:rFonts w:asciiTheme="majorBidi" w:hAnsiTheme="majorBidi" w:cstheme="majorBidi"/>
          <w:b/>
          <w:i/>
          <w:color w:val="000000"/>
        </w:rPr>
      </w:pPr>
      <w:r w:rsidRPr="007C4DBD">
        <w:rPr>
          <w:rFonts w:asciiTheme="majorBidi" w:hAnsiTheme="majorBidi" w:cstheme="majorBidi"/>
          <w:b/>
          <w:i/>
          <w:color w:val="000000"/>
        </w:rPr>
        <w:t xml:space="preserve">General morphology </w:t>
      </w:r>
      <w:r>
        <w:rPr>
          <w:rFonts w:asciiTheme="majorBidi" w:hAnsiTheme="majorBidi" w:cstheme="majorBidi"/>
          <w:b/>
          <w:i/>
          <w:color w:val="000000"/>
        </w:rPr>
        <w:t>and distinguishing features</w:t>
      </w:r>
    </w:p>
    <w:p w14:paraId="16945E15" w14:textId="77777777" w:rsidR="00BB52E9" w:rsidRPr="007C4DBD" w:rsidRDefault="00BB52E9" w:rsidP="00BB52E9">
      <w:pPr>
        <w:spacing w:line="480" w:lineRule="auto"/>
        <w:jc w:val="both"/>
        <w:rPr>
          <w:rFonts w:asciiTheme="majorBidi" w:hAnsiTheme="majorBidi" w:cstheme="majorBidi"/>
          <w:color w:val="000000"/>
        </w:rPr>
      </w:pPr>
      <w:r w:rsidRPr="00711165">
        <w:rPr>
          <w:i/>
          <w:iCs/>
          <w:color w:val="000000"/>
        </w:rPr>
        <w:t>Blepharis</w:t>
      </w:r>
      <w:r>
        <w:rPr>
          <w:color w:val="000000"/>
        </w:rPr>
        <w:t xml:space="preserve"> p</w:t>
      </w:r>
      <w:r w:rsidRPr="001347E1">
        <w:rPr>
          <w:color w:val="000000"/>
        </w:rPr>
        <w:t xml:space="preserve">lants observed </w:t>
      </w:r>
      <w:r>
        <w:rPr>
          <w:color w:val="000000"/>
        </w:rPr>
        <w:t xml:space="preserve">in </w:t>
      </w:r>
      <w:r w:rsidRPr="001347E1">
        <w:rPr>
          <w:color w:val="000000"/>
        </w:rPr>
        <w:t>their natural habitat</w:t>
      </w:r>
      <w:r>
        <w:rPr>
          <w:color w:val="000000"/>
        </w:rPr>
        <w:t>s</w:t>
      </w:r>
      <w:r w:rsidRPr="001347E1">
        <w:rPr>
          <w:color w:val="000000"/>
        </w:rPr>
        <w:t xml:space="preserve"> and collected </w:t>
      </w:r>
      <w:r>
        <w:rPr>
          <w:color w:val="000000"/>
        </w:rPr>
        <w:t>for this study</w:t>
      </w:r>
      <w:r w:rsidRPr="001347E1">
        <w:rPr>
          <w:color w:val="000000"/>
        </w:rPr>
        <w:t xml:space="preserve"> </w:t>
      </w:r>
      <w:r>
        <w:rPr>
          <w:color w:val="000000"/>
        </w:rPr>
        <w:t>showed</w:t>
      </w:r>
      <w:r w:rsidRPr="001347E1">
        <w:rPr>
          <w:color w:val="000000"/>
        </w:rPr>
        <w:t xml:space="preserve"> morphological character</w:t>
      </w:r>
      <w:r>
        <w:rPr>
          <w:color w:val="000000"/>
        </w:rPr>
        <w:t>s</w:t>
      </w:r>
      <w:r w:rsidRPr="001347E1">
        <w:rPr>
          <w:color w:val="000000"/>
        </w:rPr>
        <w:t xml:space="preserve"> typical of these previously described by </w:t>
      </w:r>
      <w:r w:rsidRPr="00711165">
        <w:rPr>
          <w:color w:val="0000FF"/>
        </w:rPr>
        <w:t>Feinbrun-Doathan (1978)</w:t>
      </w:r>
      <w:r w:rsidRPr="001347E1">
        <w:rPr>
          <w:color w:val="000000"/>
        </w:rPr>
        <w:t xml:space="preserve"> and </w:t>
      </w:r>
      <w:r w:rsidRPr="00711165">
        <w:rPr>
          <w:color w:val="0000FF"/>
        </w:rPr>
        <w:t>Vollesen (2000)</w:t>
      </w:r>
      <w:r w:rsidRPr="001347E1">
        <w:rPr>
          <w:color w:val="000000"/>
        </w:rPr>
        <w:t xml:space="preserve"> (Fig.</w:t>
      </w:r>
      <w:r>
        <w:rPr>
          <w:color w:val="000000"/>
        </w:rPr>
        <w:t>2</w:t>
      </w:r>
      <w:r w:rsidRPr="001347E1">
        <w:rPr>
          <w:color w:val="000000"/>
        </w:rPr>
        <w:t xml:space="preserve">). </w:t>
      </w:r>
      <w:r w:rsidRPr="00A26FC1">
        <w:rPr>
          <w:color w:val="000000"/>
        </w:rPr>
        <w:t>Generally, they were spiny, annual or perennial herbs, with erect, semi-erect to decumbent branches</w:t>
      </w:r>
      <w:r w:rsidRPr="00A26FC1">
        <w:rPr>
          <w:rFonts w:asciiTheme="majorBidi" w:hAnsiTheme="majorBidi" w:cstheme="majorBidi"/>
          <w:color w:val="000000"/>
        </w:rPr>
        <w:t xml:space="preserve"> and bearing few basal leaves at maturity</w:t>
      </w:r>
      <w:r w:rsidRPr="00A26FC1">
        <w:rPr>
          <w:color w:val="000000"/>
        </w:rPr>
        <w:t xml:space="preserve"> </w:t>
      </w:r>
      <w:r w:rsidRPr="00D7212E">
        <w:rPr>
          <w:color w:val="000000"/>
          <w:highlight w:val="red"/>
        </w:rPr>
        <w:t>(Fig.)</w:t>
      </w:r>
      <w:r w:rsidRPr="00A26FC1">
        <w:rPr>
          <w:color w:val="000000"/>
        </w:rPr>
        <w:t>.</w:t>
      </w:r>
      <w:r>
        <w:rPr>
          <w:color w:val="000000"/>
        </w:rPr>
        <w:t xml:space="preserve"> They were p</w:t>
      </w:r>
      <w:r w:rsidRPr="001347E1">
        <w:rPr>
          <w:color w:val="000000"/>
        </w:rPr>
        <w:t xml:space="preserve">lants </w:t>
      </w:r>
      <w:r>
        <w:rPr>
          <w:rFonts w:asciiTheme="majorBidi" w:hAnsiTheme="majorBidi" w:cstheme="majorBidi"/>
          <w:color w:val="000000"/>
        </w:rPr>
        <w:t>were</w:t>
      </w:r>
      <w:r w:rsidRPr="007C4DBD">
        <w:rPr>
          <w:rFonts w:asciiTheme="majorBidi" w:hAnsiTheme="majorBidi" w:cstheme="majorBidi"/>
          <w:color w:val="000000"/>
        </w:rPr>
        <w:t xml:space="preserve"> distinctive in ha</w:t>
      </w:r>
      <w:r>
        <w:rPr>
          <w:rFonts w:asciiTheme="majorBidi" w:hAnsiTheme="majorBidi" w:cstheme="majorBidi"/>
          <w:color w:val="000000"/>
        </w:rPr>
        <w:t>ving spike-type inflorescence</w:t>
      </w:r>
      <w:r w:rsidRPr="007C4DBD">
        <w:rPr>
          <w:rFonts w:asciiTheme="majorBidi" w:hAnsiTheme="majorBidi" w:cstheme="majorBidi"/>
          <w:color w:val="000000"/>
        </w:rPr>
        <w:t xml:space="preserve"> and </w:t>
      </w:r>
      <w:r w:rsidRPr="005D2886">
        <w:rPr>
          <w:rFonts w:asciiTheme="majorBidi" w:hAnsiTheme="majorBidi" w:cstheme="majorBidi"/>
          <w:color w:val="000000"/>
          <w:highlight w:val="red"/>
        </w:rPr>
        <w:t>(Fig.)</w:t>
      </w:r>
      <w:r w:rsidRPr="007C4DBD">
        <w:rPr>
          <w:rFonts w:asciiTheme="majorBidi" w:hAnsiTheme="majorBidi" w:cstheme="majorBidi"/>
          <w:color w:val="000000"/>
        </w:rPr>
        <w:t xml:space="preserve">. </w:t>
      </w:r>
      <w:r>
        <w:rPr>
          <w:color w:val="000000"/>
        </w:rPr>
        <w:t xml:space="preserve">However, spikes of plants from Kufranjah and Dead Sea valleys were lax with longer internodes than their counterparts </w:t>
      </w:r>
      <w:r>
        <w:rPr>
          <w:rFonts w:asciiTheme="majorBidi" w:hAnsiTheme="majorBidi" w:cstheme="majorBidi"/>
          <w:color w:val="000000"/>
        </w:rPr>
        <w:t xml:space="preserve">from </w:t>
      </w:r>
      <w:r w:rsidRPr="007C4DBD">
        <w:rPr>
          <w:rFonts w:asciiTheme="majorBidi" w:hAnsiTheme="majorBidi" w:cstheme="majorBidi"/>
          <w:color w:val="000000"/>
        </w:rPr>
        <w:t>Al-Yotm valley</w:t>
      </w:r>
      <w:r>
        <w:rPr>
          <w:rFonts w:asciiTheme="majorBidi" w:hAnsiTheme="majorBidi" w:cstheme="majorBidi"/>
          <w:color w:val="000000"/>
        </w:rPr>
        <w:t>, which</w:t>
      </w:r>
      <w:r>
        <w:rPr>
          <w:color w:val="000000"/>
        </w:rPr>
        <w:t xml:space="preserve"> were markedly much branched from base with compact spikelets </w:t>
      </w:r>
      <w:r w:rsidRPr="00A26FC1">
        <w:rPr>
          <w:color w:val="000000"/>
          <w:highlight w:val="red"/>
        </w:rPr>
        <w:t>(Fig.)</w:t>
      </w:r>
      <w:r>
        <w:rPr>
          <w:color w:val="000000"/>
        </w:rPr>
        <w:t xml:space="preserve">. </w:t>
      </w:r>
      <w:r>
        <w:rPr>
          <w:rFonts w:asciiTheme="majorBidi" w:hAnsiTheme="majorBidi" w:cstheme="majorBidi"/>
          <w:color w:val="000000"/>
        </w:rPr>
        <w:t xml:space="preserve">Leaves were </w:t>
      </w:r>
      <w:r w:rsidRPr="007C4DBD">
        <w:rPr>
          <w:rFonts w:asciiTheme="majorBidi" w:hAnsiTheme="majorBidi" w:cstheme="majorBidi"/>
          <w:color w:val="000000"/>
        </w:rPr>
        <w:t>flat, lanceolate, leathery</w:t>
      </w:r>
      <w:r>
        <w:rPr>
          <w:rFonts w:asciiTheme="majorBidi" w:hAnsiTheme="majorBidi" w:cstheme="majorBidi"/>
          <w:color w:val="000000"/>
        </w:rPr>
        <w:t>,</w:t>
      </w:r>
      <w:r w:rsidRPr="007C4DBD">
        <w:rPr>
          <w:rFonts w:asciiTheme="majorBidi" w:hAnsiTheme="majorBidi" w:cstheme="majorBidi"/>
          <w:color w:val="000000"/>
        </w:rPr>
        <w:t xml:space="preserve"> </w:t>
      </w:r>
      <w:r w:rsidRPr="00EB1648">
        <w:rPr>
          <w:rFonts w:eastAsia="Times New Roman"/>
          <w:color w:val="000000"/>
        </w:rPr>
        <w:t>subsessile to shortly petiolated</w:t>
      </w:r>
      <w:r w:rsidRPr="00EB1648">
        <w:rPr>
          <w:color w:val="000000"/>
        </w:rPr>
        <w:t>,</w:t>
      </w:r>
      <w:r>
        <w:rPr>
          <w:rFonts w:asciiTheme="majorBidi" w:hAnsiTheme="majorBidi" w:cstheme="majorBidi"/>
          <w:color w:val="000000"/>
        </w:rPr>
        <w:t xml:space="preserve"> </w:t>
      </w:r>
      <w:r w:rsidRPr="007C4DBD">
        <w:rPr>
          <w:rFonts w:asciiTheme="majorBidi" w:hAnsiTheme="majorBidi" w:cstheme="majorBidi"/>
          <w:color w:val="000000"/>
        </w:rPr>
        <w:t xml:space="preserve">with </w:t>
      </w:r>
      <w:r>
        <w:rPr>
          <w:rFonts w:asciiTheme="majorBidi" w:hAnsiTheme="majorBidi" w:cstheme="majorBidi"/>
          <w:color w:val="000000"/>
        </w:rPr>
        <w:t>dentate</w:t>
      </w:r>
      <w:r w:rsidRPr="007C4DBD">
        <w:rPr>
          <w:rFonts w:asciiTheme="majorBidi" w:hAnsiTheme="majorBidi" w:cstheme="majorBidi"/>
          <w:color w:val="000000"/>
        </w:rPr>
        <w:t xml:space="preserve"> margins</w:t>
      </w:r>
      <w:r>
        <w:rPr>
          <w:rFonts w:asciiTheme="majorBidi" w:hAnsiTheme="majorBidi" w:cstheme="majorBidi"/>
          <w:color w:val="000000"/>
        </w:rPr>
        <w:t xml:space="preserve"> and</w:t>
      </w:r>
      <w:r w:rsidRPr="00EB1648">
        <w:rPr>
          <w:rFonts w:eastAsia="Times New Roman"/>
          <w:color w:val="000000"/>
        </w:rPr>
        <w:t xml:space="preserve"> shiny green color adaxially, and whitish-green color abaxially</w:t>
      </w:r>
      <w:r>
        <w:rPr>
          <w:color w:val="000000"/>
        </w:rPr>
        <w:t xml:space="preserve">. </w:t>
      </w:r>
      <w:r w:rsidRPr="007C4DBD">
        <w:rPr>
          <w:rFonts w:asciiTheme="majorBidi" w:hAnsiTheme="majorBidi" w:cstheme="majorBidi"/>
          <w:color w:val="000000"/>
        </w:rPr>
        <w:t xml:space="preserve">Closer assessment of the leaf arrangement revealed a pseudo-whorl </w:t>
      </w:r>
      <w:r>
        <w:rPr>
          <w:rFonts w:asciiTheme="majorBidi" w:hAnsiTheme="majorBidi" w:cstheme="majorBidi"/>
          <w:color w:val="000000"/>
        </w:rPr>
        <w:t xml:space="preserve">type </w:t>
      </w:r>
      <w:r w:rsidRPr="007C4DBD">
        <w:rPr>
          <w:rFonts w:asciiTheme="majorBidi" w:hAnsiTheme="majorBidi" w:cstheme="majorBidi"/>
          <w:color w:val="000000"/>
        </w:rPr>
        <w:t>phyllotaxy, where two pairs of leaves at a node are situated just above each other</w:t>
      </w:r>
      <w:r>
        <w:rPr>
          <w:rFonts w:asciiTheme="majorBidi" w:hAnsiTheme="majorBidi" w:cstheme="majorBidi"/>
          <w:color w:val="000000"/>
        </w:rPr>
        <w:t xml:space="preserve"> </w:t>
      </w:r>
      <w:r w:rsidRPr="000B3CF6">
        <w:rPr>
          <w:rFonts w:asciiTheme="majorBidi" w:hAnsiTheme="majorBidi" w:cstheme="majorBidi"/>
          <w:color w:val="0000FF"/>
        </w:rPr>
        <w:t>(Vollesen, 2000)</w:t>
      </w:r>
      <w:r w:rsidRPr="007C4DBD">
        <w:rPr>
          <w:rFonts w:asciiTheme="majorBidi" w:hAnsiTheme="majorBidi" w:cstheme="majorBidi"/>
          <w:color w:val="000000"/>
        </w:rPr>
        <w:t>.</w:t>
      </w:r>
      <w:r w:rsidRPr="00FB4FF6">
        <w:rPr>
          <w:color w:val="000000"/>
        </w:rPr>
        <w:t xml:space="preserve"> </w:t>
      </w:r>
      <w:r w:rsidRPr="007C4DBD">
        <w:rPr>
          <w:rFonts w:asciiTheme="majorBidi" w:hAnsiTheme="majorBidi" w:cstheme="majorBidi"/>
          <w:color w:val="000000"/>
        </w:rPr>
        <w:t>For true whorled phyllotaxy, three or more leaves at a node must be initiated simultaneously (</w:t>
      </w:r>
      <w:r w:rsidRPr="000B3CF6">
        <w:rPr>
          <w:rFonts w:asciiTheme="majorBidi" w:hAnsiTheme="majorBidi" w:cstheme="majorBidi"/>
          <w:color w:val="0000FF"/>
        </w:rPr>
        <w:t>Lee et al., 200</w:t>
      </w:r>
      <w:bookmarkStart w:id="1" w:name="_Hlt327522950"/>
      <w:r w:rsidRPr="000B3CF6">
        <w:rPr>
          <w:rFonts w:asciiTheme="majorBidi" w:hAnsiTheme="majorBidi" w:cstheme="majorBidi"/>
          <w:color w:val="0000FF"/>
        </w:rPr>
        <w:t>9</w:t>
      </w:r>
      <w:bookmarkEnd w:id="1"/>
      <w:r w:rsidRPr="007C4DBD">
        <w:rPr>
          <w:rFonts w:asciiTheme="majorBidi" w:hAnsiTheme="majorBidi" w:cstheme="majorBidi"/>
          <w:color w:val="000000"/>
        </w:rPr>
        <w:t xml:space="preserve">). </w:t>
      </w:r>
    </w:p>
    <w:p w14:paraId="54EA1702" w14:textId="77777777" w:rsidR="00BB52E9" w:rsidRDefault="00BB52E9" w:rsidP="00BB52E9">
      <w:pPr>
        <w:spacing w:line="480" w:lineRule="auto"/>
        <w:jc w:val="both"/>
        <w:rPr>
          <w:color w:val="000000"/>
          <w:highlight w:val="red"/>
        </w:rPr>
      </w:pPr>
    </w:p>
    <w:p w14:paraId="338182BA" w14:textId="77777777" w:rsidR="00BB52E9" w:rsidRDefault="00BB52E9" w:rsidP="00BB52E9">
      <w:pPr>
        <w:spacing w:line="480" w:lineRule="auto"/>
        <w:ind w:firstLine="720"/>
        <w:jc w:val="both"/>
        <w:rPr>
          <w:rFonts w:asciiTheme="majorBidi" w:hAnsiTheme="majorBidi" w:cstheme="majorBidi"/>
          <w:color w:val="000000"/>
        </w:rPr>
      </w:pPr>
      <w:r w:rsidRPr="007C4DBD">
        <w:rPr>
          <w:rFonts w:asciiTheme="majorBidi" w:hAnsiTheme="majorBidi" w:cstheme="majorBidi"/>
          <w:color w:val="000000"/>
        </w:rPr>
        <w:t xml:space="preserve">On the plant, </w:t>
      </w:r>
      <w:r>
        <w:rPr>
          <w:rFonts w:asciiTheme="majorBidi" w:hAnsiTheme="majorBidi" w:cstheme="majorBidi"/>
          <w:color w:val="000000"/>
        </w:rPr>
        <w:t xml:space="preserve">regardless of the site, </w:t>
      </w:r>
      <w:r w:rsidRPr="007C4DBD">
        <w:rPr>
          <w:rFonts w:asciiTheme="majorBidi" w:hAnsiTheme="majorBidi" w:cstheme="majorBidi"/>
          <w:color w:val="000000"/>
        </w:rPr>
        <w:t xml:space="preserve">green spikes with different stages of flower and seed development in addition to dead spikes from prior years </w:t>
      </w:r>
      <w:r>
        <w:rPr>
          <w:rFonts w:asciiTheme="majorBidi" w:hAnsiTheme="majorBidi" w:cstheme="majorBidi"/>
          <w:color w:val="000000"/>
        </w:rPr>
        <w:t>containing</w:t>
      </w:r>
      <w:r w:rsidRPr="007C4DBD">
        <w:rPr>
          <w:rFonts w:asciiTheme="majorBidi" w:hAnsiTheme="majorBidi" w:cstheme="majorBidi"/>
          <w:color w:val="000000"/>
        </w:rPr>
        <w:t xml:space="preserve"> m</w:t>
      </w:r>
      <w:r>
        <w:rPr>
          <w:rFonts w:asciiTheme="majorBidi" w:hAnsiTheme="majorBidi" w:cstheme="majorBidi"/>
          <w:color w:val="000000"/>
        </w:rPr>
        <w:t>ature capsules were</w:t>
      </w:r>
      <w:r w:rsidRPr="007C4DBD">
        <w:rPr>
          <w:rFonts w:asciiTheme="majorBidi" w:hAnsiTheme="majorBidi" w:cstheme="majorBidi"/>
          <w:color w:val="000000"/>
        </w:rPr>
        <w:t xml:space="preserve"> </w:t>
      </w:r>
      <w:r>
        <w:rPr>
          <w:rFonts w:asciiTheme="majorBidi" w:hAnsiTheme="majorBidi" w:cstheme="majorBidi"/>
          <w:color w:val="000000"/>
        </w:rPr>
        <w:t>observed</w:t>
      </w:r>
      <w:r w:rsidRPr="006453D8">
        <w:rPr>
          <w:rFonts w:asciiTheme="majorBidi" w:hAnsiTheme="majorBidi" w:cstheme="majorBidi"/>
          <w:color w:val="000000"/>
          <w:highlight w:val="red"/>
        </w:rPr>
        <w:t xml:space="preserve"> (Fig.;</w:t>
      </w:r>
      <w:r w:rsidRPr="007C4DBD">
        <w:rPr>
          <w:rFonts w:asciiTheme="majorBidi" w:hAnsiTheme="majorBidi" w:cstheme="majorBidi"/>
          <w:color w:val="000000"/>
        </w:rPr>
        <w:t xml:space="preserve"> </w:t>
      </w:r>
      <w:r w:rsidRPr="000B3CF6">
        <w:rPr>
          <w:rFonts w:asciiTheme="majorBidi" w:hAnsiTheme="majorBidi" w:cstheme="majorBidi"/>
          <w:color w:val="0000FF"/>
        </w:rPr>
        <w:t>Gutterman, 2002</w:t>
      </w:r>
      <w:r w:rsidRPr="007C4DBD">
        <w:rPr>
          <w:rFonts w:asciiTheme="majorBidi" w:hAnsiTheme="majorBidi" w:cstheme="majorBidi"/>
          <w:color w:val="000000"/>
        </w:rPr>
        <w:t xml:space="preserve">). </w:t>
      </w:r>
      <w:r>
        <w:rPr>
          <w:rFonts w:asciiTheme="majorBidi" w:hAnsiTheme="majorBidi" w:cstheme="majorBidi"/>
          <w:color w:val="000000"/>
        </w:rPr>
        <w:t>In addition</w:t>
      </w:r>
      <w:r w:rsidRPr="007C4DBD">
        <w:rPr>
          <w:rFonts w:asciiTheme="majorBidi" w:hAnsiTheme="majorBidi" w:cstheme="majorBidi"/>
          <w:color w:val="000000"/>
        </w:rPr>
        <w:t>,</w:t>
      </w:r>
      <w:r>
        <w:rPr>
          <w:rFonts w:asciiTheme="majorBidi" w:hAnsiTheme="majorBidi" w:cstheme="majorBidi"/>
          <w:color w:val="000000"/>
        </w:rPr>
        <w:t xml:space="preserve"> </w:t>
      </w:r>
      <w:r>
        <w:rPr>
          <w:color w:val="000000"/>
        </w:rPr>
        <w:t>g</w:t>
      </w:r>
      <w:r w:rsidRPr="001347E1">
        <w:rPr>
          <w:color w:val="000000"/>
        </w:rPr>
        <w:t xml:space="preserve">reen fertile spikes </w:t>
      </w:r>
      <w:r w:rsidRPr="00284F70">
        <w:rPr>
          <w:color w:val="000000"/>
          <w:highlight w:val="red"/>
        </w:rPr>
        <w:t>re-sprouting</w:t>
      </w:r>
      <w:r w:rsidRPr="001347E1">
        <w:rPr>
          <w:color w:val="000000"/>
        </w:rPr>
        <w:t xml:space="preserve"> distal to older spikes were </w:t>
      </w:r>
      <w:r>
        <w:rPr>
          <w:color w:val="000000"/>
        </w:rPr>
        <w:t>seen</w:t>
      </w:r>
      <w:r w:rsidRPr="001347E1">
        <w:rPr>
          <w:color w:val="000000"/>
        </w:rPr>
        <w:t xml:space="preserve"> on plants </w:t>
      </w:r>
      <w:r>
        <w:rPr>
          <w:rFonts w:asciiTheme="majorBidi" w:hAnsiTheme="majorBidi" w:cstheme="majorBidi"/>
          <w:color w:val="000000"/>
        </w:rPr>
        <w:t xml:space="preserve">found in </w:t>
      </w:r>
      <w:r w:rsidRPr="007C4DBD">
        <w:rPr>
          <w:rFonts w:asciiTheme="majorBidi" w:hAnsiTheme="majorBidi" w:cstheme="majorBidi"/>
          <w:color w:val="000000"/>
        </w:rPr>
        <w:t>Kufranjah</w:t>
      </w:r>
      <w:r>
        <w:rPr>
          <w:rFonts w:asciiTheme="majorBidi" w:hAnsiTheme="majorBidi" w:cstheme="majorBidi"/>
          <w:color w:val="000000"/>
        </w:rPr>
        <w:t xml:space="preserve"> and</w:t>
      </w:r>
      <w:r w:rsidRPr="007C4DBD">
        <w:rPr>
          <w:rFonts w:asciiTheme="majorBidi" w:hAnsiTheme="majorBidi" w:cstheme="majorBidi"/>
          <w:color w:val="000000"/>
        </w:rPr>
        <w:t xml:space="preserve"> Dead Sea </w:t>
      </w:r>
      <w:r>
        <w:rPr>
          <w:rFonts w:asciiTheme="majorBidi" w:hAnsiTheme="majorBidi" w:cstheme="majorBidi"/>
          <w:color w:val="000000"/>
        </w:rPr>
        <w:t>v</w:t>
      </w:r>
      <w:r w:rsidRPr="007C4DBD">
        <w:rPr>
          <w:rFonts w:asciiTheme="majorBidi" w:hAnsiTheme="majorBidi" w:cstheme="majorBidi"/>
          <w:color w:val="000000"/>
        </w:rPr>
        <w:t>alley</w:t>
      </w:r>
      <w:r>
        <w:rPr>
          <w:rFonts w:asciiTheme="majorBidi" w:hAnsiTheme="majorBidi" w:cstheme="majorBidi"/>
          <w:color w:val="000000"/>
        </w:rPr>
        <w:t>s</w:t>
      </w:r>
      <w:r w:rsidRPr="007C4DBD">
        <w:rPr>
          <w:rFonts w:asciiTheme="majorBidi" w:hAnsiTheme="majorBidi" w:cstheme="majorBidi"/>
          <w:color w:val="000000"/>
        </w:rPr>
        <w:t xml:space="preserve"> </w:t>
      </w:r>
      <w:r w:rsidRPr="002C4A30">
        <w:rPr>
          <w:color w:val="000000"/>
          <w:highlight w:val="red"/>
        </w:rPr>
        <w:t>(Fig.)</w:t>
      </w:r>
      <w:r w:rsidRPr="001347E1">
        <w:rPr>
          <w:color w:val="000000"/>
        </w:rPr>
        <w:t xml:space="preserve">. </w:t>
      </w:r>
      <w:r>
        <w:rPr>
          <w:color w:val="000000"/>
        </w:rPr>
        <w:t>This feature has not been observed in plants collected from Al-</w:t>
      </w:r>
      <w:r w:rsidRPr="004E6829">
        <w:rPr>
          <w:rFonts w:asciiTheme="majorBidi" w:hAnsiTheme="majorBidi" w:cstheme="majorBidi"/>
          <w:color w:val="000000"/>
        </w:rPr>
        <w:t xml:space="preserve"> </w:t>
      </w:r>
      <w:r w:rsidRPr="007C4DBD">
        <w:rPr>
          <w:rFonts w:asciiTheme="majorBidi" w:hAnsiTheme="majorBidi" w:cstheme="majorBidi"/>
          <w:color w:val="000000"/>
        </w:rPr>
        <w:t>Yotm valley</w:t>
      </w:r>
      <w:r>
        <w:rPr>
          <w:rFonts w:asciiTheme="majorBidi" w:hAnsiTheme="majorBidi" w:cstheme="majorBidi"/>
          <w:color w:val="000000"/>
        </w:rPr>
        <w:t>.</w:t>
      </w:r>
    </w:p>
    <w:p w14:paraId="0A80F762" w14:textId="77777777" w:rsidR="00BB52E9" w:rsidRDefault="00BB52E9" w:rsidP="00BB52E9">
      <w:pPr>
        <w:autoSpaceDE w:val="0"/>
        <w:autoSpaceDN w:val="0"/>
        <w:adjustRightInd w:val="0"/>
        <w:spacing w:before="100" w:beforeAutospacing="1" w:after="100" w:afterAutospacing="1" w:line="480" w:lineRule="auto"/>
        <w:jc w:val="both"/>
        <w:rPr>
          <w:rFonts w:asciiTheme="majorBidi" w:hAnsiTheme="majorBidi" w:cstheme="majorBidi"/>
          <w:color w:val="000000"/>
        </w:rPr>
      </w:pPr>
      <w:r>
        <w:rPr>
          <w:color w:val="000000"/>
        </w:rPr>
        <w:lastRenderedPageBreak/>
        <w:tab/>
      </w:r>
      <w:r w:rsidRPr="001347E1">
        <w:rPr>
          <w:color w:val="000000"/>
        </w:rPr>
        <w:t xml:space="preserve">Flowers </w:t>
      </w:r>
      <w:r>
        <w:rPr>
          <w:color w:val="000000"/>
        </w:rPr>
        <w:t>were</w:t>
      </w:r>
      <w:r w:rsidRPr="001347E1">
        <w:rPr>
          <w:color w:val="000000"/>
        </w:rPr>
        <w:t xml:space="preserve"> </w:t>
      </w:r>
      <w:r w:rsidRPr="001347E1">
        <w:rPr>
          <w:rFonts w:eastAsia="Times New Roman"/>
          <w:color w:val="000000"/>
        </w:rPr>
        <w:t xml:space="preserve">violet, purple, mauve, </w:t>
      </w:r>
      <w:r>
        <w:rPr>
          <w:rFonts w:eastAsia="Times New Roman"/>
          <w:color w:val="000000"/>
        </w:rPr>
        <w:t xml:space="preserve">rarely </w:t>
      </w:r>
      <w:r w:rsidRPr="001347E1">
        <w:rPr>
          <w:rFonts w:eastAsia="Times New Roman"/>
          <w:color w:val="000000"/>
        </w:rPr>
        <w:t>white,</w:t>
      </w:r>
      <w:r>
        <w:rPr>
          <w:color w:val="000000"/>
        </w:rPr>
        <w:t xml:space="preserve"> </w:t>
      </w:r>
      <w:r w:rsidRPr="001347E1">
        <w:rPr>
          <w:color w:val="000000"/>
        </w:rPr>
        <w:t>subt</w:t>
      </w:r>
      <w:r>
        <w:rPr>
          <w:color w:val="000000"/>
        </w:rPr>
        <w:t>ended by leathery, recurved, canaliculate</w:t>
      </w:r>
      <w:r w:rsidRPr="001347E1">
        <w:rPr>
          <w:color w:val="000000"/>
        </w:rPr>
        <w:t>, veined</w:t>
      </w:r>
      <w:r>
        <w:rPr>
          <w:color w:val="000000"/>
        </w:rPr>
        <w:t>,</w:t>
      </w:r>
      <w:r w:rsidRPr="001347E1">
        <w:rPr>
          <w:color w:val="000000"/>
        </w:rPr>
        <w:t xml:space="preserve"> and spiny bracts</w:t>
      </w:r>
      <w:r>
        <w:rPr>
          <w:color w:val="000000"/>
        </w:rPr>
        <w:t xml:space="preserve"> </w:t>
      </w:r>
      <w:r w:rsidRPr="00197AA9">
        <w:rPr>
          <w:color w:val="000000"/>
          <w:highlight w:val="red"/>
        </w:rPr>
        <w:t>(Figs.)</w:t>
      </w:r>
      <w:r w:rsidRPr="001347E1">
        <w:rPr>
          <w:color w:val="000000"/>
        </w:rPr>
        <w:t xml:space="preserve">. </w:t>
      </w:r>
      <w:r>
        <w:rPr>
          <w:rFonts w:eastAsia="Times New Roman"/>
          <w:color w:val="000000"/>
        </w:rPr>
        <w:t xml:space="preserve">In </w:t>
      </w:r>
      <w:r w:rsidRPr="00FB4FF6">
        <w:rPr>
          <w:rFonts w:eastAsia="Times New Roman"/>
          <w:i/>
          <w:iCs/>
          <w:color w:val="000000"/>
        </w:rPr>
        <w:t>Blepharis</w:t>
      </w:r>
      <w:r>
        <w:rPr>
          <w:rFonts w:eastAsia="Times New Roman"/>
          <w:color w:val="000000"/>
        </w:rPr>
        <w:t xml:space="preserve"> plants gathered from Kufranjah and Dead Sea valleys, bracts were narrower, </w:t>
      </w:r>
      <w:r w:rsidRPr="008566B1">
        <w:rPr>
          <w:rFonts w:eastAsia="Times New Roman"/>
          <w:color w:val="000000"/>
          <w:highlight w:val="red"/>
        </w:rPr>
        <w:t>longer</w:t>
      </w:r>
      <w:r>
        <w:rPr>
          <w:rFonts w:eastAsia="Times New Roman"/>
          <w:color w:val="000000"/>
        </w:rPr>
        <w:t xml:space="preserve">, </w:t>
      </w:r>
      <w:r>
        <w:rPr>
          <w:rFonts w:asciiTheme="majorBidi" w:hAnsiTheme="majorBidi" w:cstheme="majorBidi"/>
          <w:color w:val="000000"/>
        </w:rPr>
        <w:t xml:space="preserve">and with mostly less number of stout lateral spines compared to their counterparts in plants from </w:t>
      </w:r>
      <w:r w:rsidRPr="007C4DBD">
        <w:rPr>
          <w:rFonts w:asciiTheme="majorBidi" w:hAnsiTheme="majorBidi" w:cstheme="majorBidi"/>
          <w:color w:val="000000"/>
        </w:rPr>
        <w:t xml:space="preserve">Al-Yotm valley </w:t>
      </w:r>
      <w:r w:rsidRPr="00FB4FF6">
        <w:rPr>
          <w:rFonts w:asciiTheme="majorBidi" w:hAnsiTheme="majorBidi" w:cstheme="majorBidi"/>
          <w:color w:val="000000"/>
          <w:highlight w:val="red"/>
        </w:rPr>
        <w:t>(Fig., quantified below)</w:t>
      </w:r>
      <w:r>
        <w:rPr>
          <w:rFonts w:asciiTheme="majorBidi" w:hAnsiTheme="majorBidi" w:cstheme="majorBidi"/>
          <w:color w:val="000000"/>
        </w:rPr>
        <w:t xml:space="preserve">. Also, the longest lateral spine in the former was seen longer than the bract width compared to the latter, in which spine length did not exceed in length (occasionally shorter) the bract width </w:t>
      </w:r>
      <w:r w:rsidRPr="00FB4FF6">
        <w:rPr>
          <w:rFonts w:asciiTheme="majorBidi" w:hAnsiTheme="majorBidi" w:cstheme="majorBidi"/>
          <w:color w:val="000000"/>
          <w:highlight w:val="red"/>
        </w:rPr>
        <w:t>(see quantitative data below)</w:t>
      </w:r>
      <w:r>
        <w:rPr>
          <w:rFonts w:asciiTheme="majorBidi" w:hAnsiTheme="majorBidi" w:cstheme="majorBidi"/>
          <w:color w:val="000000"/>
        </w:rPr>
        <w:t xml:space="preserve">. Our observations are consistent with the diagnostic characters previously outlined by </w:t>
      </w:r>
      <w:r w:rsidRPr="00711165">
        <w:rPr>
          <w:color w:val="0000FF"/>
        </w:rPr>
        <w:t>Feinbrun-Doathan (1978)</w:t>
      </w:r>
      <w:r w:rsidRPr="00090B2E">
        <w:rPr>
          <w:color w:val="000000" w:themeColor="text1"/>
        </w:rPr>
        <w:t>.</w:t>
      </w:r>
      <w:r w:rsidRPr="001347E1">
        <w:rPr>
          <w:color w:val="000000"/>
        </w:rPr>
        <w:t xml:space="preserve"> </w:t>
      </w:r>
      <w:r>
        <w:rPr>
          <w:rFonts w:asciiTheme="majorBidi" w:hAnsiTheme="majorBidi" w:cstheme="majorBidi"/>
          <w:color w:val="000000"/>
        </w:rPr>
        <w:t xml:space="preserve"> </w:t>
      </w:r>
    </w:p>
    <w:p w14:paraId="109F2DF7" w14:textId="77777777" w:rsidR="00BB52E9" w:rsidRDefault="00BB52E9" w:rsidP="00BB52E9">
      <w:pPr>
        <w:autoSpaceDE w:val="0"/>
        <w:autoSpaceDN w:val="0"/>
        <w:adjustRightInd w:val="0"/>
        <w:spacing w:before="100" w:beforeAutospacing="1" w:after="100" w:afterAutospacing="1" w:line="480" w:lineRule="auto"/>
        <w:jc w:val="both"/>
        <w:rPr>
          <w:rFonts w:asciiTheme="majorBidi" w:hAnsiTheme="majorBidi" w:cstheme="majorBidi"/>
          <w:color w:val="000000"/>
          <w:lang w:bidi="ar-JO"/>
        </w:rPr>
      </w:pPr>
      <w:r>
        <w:rPr>
          <w:rFonts w:asciiTheme="majorBidi" w:hAnsiTheme="majorBidi" w:cstheme="majorBidi"/>
          <w:color w:val="000000"/>
        </w:rPr>
        <w:tab/>
      </w:r>
      <w:r w:rsidRPr="007C4DBD">
        <w:rPr>
          <w:rFonts w:asciiTheme="majorBidi" w:hAnsiTheme="majorBidi" w:cstheme="majorBidi"/>
          <w:color w:val="000000"/>
        </w:rPr>
        <w:t xml:space="preserve">The morphology of stamens in </w:t>
      </w:r>
      <w:r w:rsidRPr="007C4DBD">
        <w:rPr>
          <w:rFonts w:asciiTheme="majorBidi" w:hAnsiTheme="majorBidi" w:cstheme="majorBidi"/>
          <w:i/>
          <w:color w:val="000000"/>
        </w:rPr>
        <w:t>Blepharis</w:t>
      </w:r>
      <w:r w:rsidRPr="007C4DBD">
        <w:rPr>
          <w:rFonts w:asciiTheme="majorBidi" w:hAnsiTheme="majorBidi" w:cstheme="majorBidi"/>
          <w:color w:val="000000"/>
        </w:rPr>
        <w:t xml:space="preserve"> </w:t>
      </w:r>
      <w:r>
        <w:rPr>
          <w:rFonts w:asciiTheme="majorBidi" w:hAnsiTheme="majorBidi" w:cstheme="majorBidi"/>
          <w:color w:val="000000"/>
        </w:rPr>
        <w:t>is</w:t>
      </w:r>
      <w:r w:rsidRPr="007C4DBD">
        <w:rPr>
          <w:rFonts w:asciiTheme="majorBidi" w:hAnsiTheme="majorBidi" w:cstheme="majorBidi"/>
          <w:color w:val="000000"/>
        </w:rPr>
        <w:t xml:space="preserve"> </w:t>
      </w:r>
      <w:r>
        <w:rPr>
          <w:rFonts w:asciiTheme="majorBidi" w:hAnsiTheme="majorBidi" w:cstheme="majorBidi"/>
          <w:color w:val="000000"/>
        </w:rPr>
        <w:t>a principal</w:t>
      </w:r>
      <w:r w:rsidRPr="007C4DBD">
        <w:rPr>
          <w:rFonts w:asciiTheme="majorBidi" w:hAnsiTheme="majorBidi" w:cstheme="majorBidi"/>
          <w:color w:val="000000"/>
        </w:rPr>
        <w:t xml:space="preserve"> distinctive </w:t>
      </w:r>
      <w:r>
        <w:rPr>
          <w:rFonts w:asciiTheme="majorBidi" w:hAnsiTheme="majorBidi" w:cstheme="majorBidi"/>
          <w:color w:val="000000"/>
        </w:rPr>
        <w:t>features</w:t>
      </w:r>
      <w:r w:rsidRPr="007C4DBD">
        <w:rPr>
          <w:rFonts w:asciiTheme="majorBidi" w:hAnsiTheme="majorBidi" w:cstheme="majorBidi"/>
          <w:color w:val="000000"/>
        </w:rPr>
        <w:t xml:space="preserve"> at the species level </w:t>
      </w:r>
      <w:r w:rsidRPr="00D7212E">
        <w:rPr>
          <w:rFonts w:asciiTheme="majorBidi" w:hAnsiTheme="majorBidi" w:cstheme="majorBidi"/>
          <w:color w:val="0000FF"/>
        </w:rPr>
        <w:t>(Vollesen, 2000)</w:t>
      </w:r>
      <w:r w:rsidRPr="007C4DBD">
        <w:rPr>
          <w:rFonts w:asciiTheme="majorBidi" w:hAnsiTheme="majorBidi" w:cstheme="majorBidi"/>
          <w:color w:val="000000"/>
        </w:rPr>
        <w:t xml:space="preserve">. </w:t>
      </w:r>
      <w:r>
        <w:rPr>
          <w:rFonts w:asciiTheme="majorBidi" w:hAnsiTheme="majorBidi" w:cstheme="majorBidi"/>
          <w:color w:val="000000"/>
        </w:rPr>
        <w:t xml:space="preserve">Two pairs of stamens were found, </w:t>
      </w:r>
      <w:r w:rsidRPr="007C4DBD">
        <w:rPr>
          <w:rFonts w:asciiTheme="majorBidi" w:hAnsiTheme="majorBidi" w:cstheme="majorBidi"/>
          <w:color w:val="000000"/>
        </w:rPr>
        <w:t xml:space="preserve">the anterior </w:t>
      </w:r>
      <w:r>
        <w:rPr>
          <w:rFonts w:asciiTheme="majorBidi" w:hAnsiTheme="majorBidi" w:cstheme="majorBidi"/>
          <w:color w:val="000000"/>
        </w:rPr>
        <w:t>pair</w:t>
      </w:r>
      <w:r w:rsidRPr="007C4DBD">
        <w:rPr>
          <w:rFonts w:asciiTheme="majorBidi" w:hAnsiTheme="majorBidi" w:cstheme="majorBidi"/>
          <w:color w:val="000000"/>
        </w:rPr>
        <w:t xml:space="preserve"> </w:t>
      </w:r>
      <w:r>
        <w:rPr>
          <w:rFonts w:asciiTheme="majorBidi" w:hAnsiTheme="majorBidi" w:cstheme="majorBidi"/>
          <w:color w:val="000000"/>
        </w:rPr>
        <w:t>were</w:t>
      </w:r>
      <w:r w:rsidRPr="007C4DBD">
        <w:rPr>
          <w:rFonts w:asciiTheme="majorBidi" w:hAnsiTheme="majorBidi" w:cstheme="majorBidi"/>
          <w:color w:val="000000"/>
        </w:rPr>
        <w:t xml:space="preserve"> laterally flattened, hairy toward the base, </w:t>
      </w:r>
      <w:r>
        <w:rPr>
          <w:rFonts w:asciiTheme="majorBidi" w:hAnsiTheme="majorBidi" w:cstheme="majorBidi"/>
          <w:color w:val="000000"/>
        </w:rPr>
        <w:t>and bearing</w:t>
      </w:r>
      <w:r w:rsidRPr="007C4DBD">
        <w:rPr>
          <w:rFonts w:asciiTheme="majorBidi" w:hAnsiTheme="majorBidi" w:cstheme="majorBidi"/>
          <w:color w:val="000000"/>
        </w:rPr>
        <w:t xml:space="preserve"> a </w:t>
      </w:r>
      <w:r w:rsidRPr="007C4DBD">
        <w:rPr>
          <w:rFonts w:asciiTheme="majorBidi" w:hAnsiTheme="majorBidi" w:cstheme="majorBidi"/>
          <w:color w:val="000000"/>
          <w:lang w:bidi="ar-JO"/>
        </w:rPr>
        <w:t>notable</w:t>
      </w:r>
      <w:r>
        <w:rPr>
          <w:rFonts w:asciiTheme="majorBidi" w:hAnsiTheme="majorBidi" w:cstheme="majorBidi"/>
          <w:color w:val="000000"/>
          <w:lang w:bidi="ar-JO"/>
        </w:rPr>
        <w:t>,</w:t>
      </w:r>
      <w:r w:rsidRPr="007C4DBD">
        <w:rPr>
          <w:rFonts w:asciiTheme="majorBidi" w:hAnsiTheme="majorBidi" w:cstheme="majorBidi"/>
          <w:color w:val="000000"/>
          <w:lang w:bidi="ar-JO"/>
        </w:rPr>
        <w:t xml:space="preserve"> </w:t>
      </w:r>
      <w:r>
        <w:rPr>
          <w:rFonts w:asciiTheme="majorBidi" w:hAnsiTheme="majorBidi" w:cstheme="majorBidi"/>
          <w:color w:val="000000"/>
          <w:lang w:bidi="ar-JO"/>
        </w:rPr>
        <w:t>flattened-</w:t>
      </w:r>
      <w:r w:rsidRPr="007C4DBD">
        <w:rPr>
          <w:rFonts w:asciiTheme="majorBidi" w:hAnsiTheme="majorBidi" w:cstheme="majorBidi"/>
          <w:color w:val="000000"/>
          <w:lang w:bidi="ar-JO"/>
        </w:rPr>
        <w:t xml:space="preserve">like </w:t>
      </w:r>
      <w:r w:rsidRPr="007C4DBD">
        <w:rPr>
          <w:rFonts w:asciiTheme="majorBidi" w:hAnsiTheme="majorBidi" w:cstheme="majorBidi"/>
          <w:color w:val="000000"/>
        </w:rPr>
        <w:t>appendage</w:t>
      </w:r>
      <w:r>
        <w:rPr>
          <w:rFonts w:asciiTheme="majorBidi" w:hAnsiTheme="majorBidi" w:cstheme="majorBidi"/>
          <w:color w:val="000000"/>
        </w:rPr>
        <w:t xml:space="preserve"> distally</w:t>
      </w:r>
      <w:r w:rsidRPr="007C4DBD">
        <w:rPr>
          <w:rFonts w:asciiTheme="majorBidi" w:hAnsiTheme="majorBidi" w:cstheme="majorBidi"/>
          <w:color w:val="000000"/>
        </w:rPr>
        <w:t>.</w:t>
      </w:r>
      <w:r w:rsidRPr="00197AA9">
        <w:rPr>
          <w:rFonts w:asciiTheme="majorBidi" w:hAnsiTheme="majorBidi" w:cstheme="majorBidi"/>
          <w:color w:val="000000"/>
          <w:lang w:bidi="ar-JO"/>
        </w:rPr>
        <w:t xml:space="preserve"> </w:t>
      </w:r>
      <w:r>
        <w:rPr>
          <w:rFonts w:asciiTheme="majorBidi" w:hAnsiTheme="majorBidi" w:cstheme="majorBidi"/>
          <w:color w:val="000000"/>
          <w:lang w:bidi="ar-JO"/>
        </w:rPr>
        <w:t>By contrast, t</w:t>
      </w:r>
      <w:r w:rsidRPr="007C4DBD">
        <w:rPr>
          <w:rFonts w:asciiTheme="majorBidi" w:hAnsiTheme="majorBidi" w:cstheme="majorBidi"/>
          <w:color w:val="000000"/>
          <w:lang w:bidi="ar-JO"/>
        </w:rPr>
        <w:t xml:space="preserve">he posterior pair </w:t>
      </w:r>
      <w:r>
        <w:rPr>
          <w:rFonts w:asciiTheme="majorBidi" w:hAnsiTheme="majorBidi" w:cstheme="majorBidi"/>
          <w:color w:val="000000"/>
          <w:lang w:bidi="ar-JO"/>
        </w:rPr>
        <w:t xml:space="preserve">were </w:t>
      </w:r>
      <w:r w:rsidRPr="007C4DBD">
        <w:rPr>
          <w:rFonts w:asciiTheme="majorBidi" w:hAnsiTheme="majorBidi" w:cstheme="majorBidi"/>
          <w:color w:val="000000"/>
          <w:lang w:bidi="ar-JO"/>
        </w:rPr>
        <w:t>slightly narrower, curved with knee-like at the base and unappendaged</w:t>
      </w:r>
      <w:r>
        <w:rPr>
          <w:rFonts w:asciiTheme="majorBidi" w:hAnsiTheme="majorBidi" w:cstheme="majorBidi"/>
          <w:color w:val="000000"/>
          <w:lang w:bidi="ar-JO"/>
        </w:rPr>
        <w:t xml:space="preserve"> </w:t>
      </w:r>
      <w:r w:rsidRPr="00197AA9">
        <w:rPr>
          <w:rFonts w:asciiTheme="majorBidi" w:hAnsiTheme="majorBidi" w:cstheme="majorBidi"/>
          <w:color w:val="000000"/>
          <w:highlight w:val="red"/>
          <w:lang w:bidi="ar-JO"/>
        </w:rPr>
        <w:t>(Fig.)</w:t>
      </w:r>
      <w:r>
        <w:rPr>
          <w:rFonts w:asciiTheme="majorBidi" w:hAnsiTheme="majorBidi" w:cstheme="majorBidi"/>
          <w:color w:val="000000"/>
          <w:lang w:bidi="ar-JO"/>
        </w:rPr>
        <w:t>.</w:t>
      </w:r>
    </w:p>
    <w:p w14:paraId="45B31B85" w14:textId="77777777" w:rsidR="00BB52E9" w:rsidRPr="00C159BF" w:rsidRDefault="00BB52E9" w:rsidP="00BB52E9">
      <w:pPr>
        <w:spacing w:line="480" w:lineRule="auto"/>
        <w:jc w:val="both"/>
        <w:rPr>
          <w:rFonts w:asciiTheme="majorBidi" w:hAnsiTheme="majorBidi" w:cstheme="majorBidi"/>
          <w:color w:val="000000"/>
          <w:lang w:bidi="ar-JO"/>
        </w:rPr>
      </w:pPr>
      <w:r>
        <w:rPr>
          <w:rFonts w:asciiTheme="majorBidi" w:hAnsiTheme="majorBidi" w:cstheme="majorBidi"/>
          <w:color w:val="000000"/>
          <w:lang w:bidi="ar-JO"/>
        </w:rPr>
        <w:tab/>
      </w:r>
      <w:r w:rsidRPr="00C159BF">
        <w:rPr>
          <w:rFonts w:asciiTheme="majorBidi" w:hAnsiTheme="majorBidi" w:cstheme="majorBidi"/>
          <w:color w:val="000000"/>
          <w:lang w:bidi="ar-JO"/>
        </w:rPr>
        <w:t xml:space="preserve">The fruits </w:t>
      </w:r>
      <w:r>
        <w:rPr>
          <w:rFonts w:asciiTheme="majorBidi" w:hAnsiTheme="majorBidi" w:cstheme="majorBidi"/>
          <w:color w:val="000000"/>
          <w:lang w:bidi="ar-JO"/>
        </w:rPr>
        <w:t>were</w:t>
      </w:r>
      <w:r w:rsidRPr="00C159BF">
        <w:rPr>
          <w:rFonts w:asciiTheme="majorBidi" w:hAnsiTheme="majorBidi" w:cstheme="majorBidi"/>
          <w:color w:val="000000"/>
          <w:lang w:bidi="ar-JO"/>
        </w:rPr>
        <w:t xml:space="preserve"> </w:t>
      </w:r>
      <w:r w:rsidRPr="00C159BF">
        <w:rPr>
          <w:rFonts w:asciiTheme="majorBidi" w:hAnsiTheme="majorBidi" w:cstheme="majorBidi"/>
          <w:color w:val="000000"/>
        </w:rPr>
        <w:t>explosively</w:t>
      </w:r>
      <w:r>
        <w:rPr>
          <w:rFonts w:asciiTheme="majorBidi" w:hAnsiTheme="majorBidi" w:cstheme="majorBidi"/>
          <w:color w:val="000000"/>
        </w:rPr>
        <w:t>-</w:t>
      </w:r>
      <w:r w:rsidRPr="00C159BF">
        <w:rPr>
          <w:rFonts w:asciiTheme="majorBidi" w:hAnsiTheme="majorBidi" w:cstheme="majorBidi"/>
          <w:color w:val="000000"/>
        </w:rPr>
        <w:t xml:space="preserve">dehiscent </w:t>
      </w:r>
      <w:r>
        <w:rPr>
          <w:rFonts w:asciiTheme="majorBidi" w:hAnsiTheme="majorBidi" w:cstheme="majorBidi"/>
          <w:color w:val="000000"/>
          <w:lang w:bidi="ar-JO"/>
        </w:rPr>
        <w:t xml:space="preserve">ellipsoid </w:t>
      </w:r>
      <w:r w:rsidRPr="00C159BF">
        <w:rPr>
          <w:rFonts w:asciiTheme="majorBidi" w:hAnsiTheme="majorBidi" w:cstheme="majorBidi"/>
          <w:color w:val="000000"/>
          <w:lang w:bidi="ar-JO"/>
        </w:rPr>
        <w:t>capsules</w:t>
      </w:r>
      <w:r>
        <w:rPr>
          <w:rFonts w:asciiTheme="majorBidi" w:hAnsiTheme="majorBidi" w:cstheme="majorBidi"/>
          <w:color w:val="000000"/>
          <w:lang w:bidi="ar-JO"/>
        </w:rPr>
        <w:t xml:space="preserve"> </w:t>
      </w:r>
      <w:r w:rsidRPr="000E37A0">
        <w:rPr>
          <w:rFonts w:asciiTheme="majorBidi" w:hAnsiTheme="majorBidi" w:cstheme="majorBidi"/>
          <w:color w:val="000000"/>
          <w:highlight w:val="red"/>
          <w:lang w:bidi="ar-JO"/>
        </w:rPr>
        <w:t>(Fig.)</w:t>
      </w:r>
      <w:r>
        <w:rPr>
          <w:rFonts w:asciiTheme="majorBidi" w:hAnsiTheme="majorBidi" w:cstheme="majorBidi"/>
          <w:color w:val="000000"/>
          <w:lang w:bidi="ar-JO"/>
        </w:rPr>
        <w:t>.</w:t>
      </w:r>
      <w:r w:rsidRPr="00C159BF">
        <w:rPr>
          <w:rFonts w:asciiTheme="majorBidi" w:hAnsiTheme="majorBidi" w:cstheme="majorBidi"/>
          <w:color w:val="000000"/>
          <w:lang w:bidi="ar-JO"/>
        </w:rPr>
        <w:t xml:space="preserve"> </w:t>
      </w:r>
      <w:r>
        <w:rPr>
          <w:rFonts w:asciiTheme="majorBidi" w:hAnsiTheme="majorBidi" w:cstheme="majorBidi"/>
          <w:color w:val="000000"/>
          <w:lang w:bidi="ar-JO"/>
        </w:rPr>
        <w:t>E</w:t>
      </w:r>
      <w:r w:rsidRPr="00C159BF">
        <w:rPr>
          <w:rFonts w:asciiTheme="majorBidi" w:hAnsiTheme="majorBidi" w:cstheme="majorBidi"/>
          <w:color w:val="000000"/>
          <w:lang w:bidi="ar-JO"/>
        </w:rPr>
        <w:t xml:space="preserve">ach is </w:t>
      </w:r>
      <w:r w:rsidRPr="00C159BF">
        <w:rPr>
          <w:rFonts w:asciiTheme="majorBidi" w:eastAsia="Times New Roman" w:hAnsiTheme="majorBidi" w:cstheme="majorBidi"/>
          <w:color w:val="000000"/>
        </w:rPr>
        <w:t>2- lo</w:t>
      </w:r>
      <w:r>
        <w:rPr>
          <w:rFonts w:asciiTheme="majorBidi" w:eastAsia="Times New Roman" w:hAnsiTheme="majorBidi" w:cstheme="majorBidi"/>
          <w:color w:val="000000"/>
        </w:rPr>
        <w:t>c</w:t>
      </w:r>
      <w:r w:rsidRPr="00C159BF">
        <w:rPr>
          <w:rFonts w:asciiTheme="majorBidi" w:eastAsia="Times New Roman" w:hAnsiTheme="majorBidi" w:cstheme="majorBidi"/>
          <w:color w:val="000000"/>
        </w:rPr>
        <w:t xml:space="preserve">ulated, </w:t>
      </w:r>
      <w:r>
        <w:rPr>
          <w:rFonts w:asciiTheme="majorBidi" w:hAnsiTheme="majorBidi" w:cstheme="majorBidi"/>
          <w:color w:val="000000"/>
          <w:lang w:bidi="ar-JO"/>
        </w:rPr>
        <w:t>with</w:t>
      </w:r>
      <w:r w:rsidRPr="00C159BF">
        <w:rPr>
          <w:rFonts w:asciiTheme="majorBidi" w:hAnsiTheme="majorBidi" w:cstheme="majorBidi"/>
          <w:color w:val="000000"/>
          <w:lang w:bidi="ar-JO"/>
        </w:rPr>
        <w:t xml:space="preserve"> a pair of seeds borne on </w:t>
      </w:r>
      <w:r w:rsidRPr="00595E9E">
        <w:rPr>
          <w:rFonts w:asciiTheme="majorBidi" w:hAnsiTheme="majorBidi" w:cstheme="majorBidi"/>
          <w:color w:val="000000"/>
          <w:lang w:bidi="ar-JO"/>
        </w:rPr>
        <w:t>retinacula</w:t>
      </w:r>
      <w:r>
        <w:rPr>
          <w:rFonts w:asciiTheme="majorBidi" w:hAnsiTheme="majorBidi" w:cstheme="majorBidi"/>
          <w:color w:val="000000"/>
          <w:lang w:bidi="ar-JO"/>
        </w:rPr>
        <w:t xml:space="preserve"> </w:t>
      </w:r>
      <w:r w:rsidRPr="009D6952">
        <w:rPr>
          <w:rFonts w:asciiTheme="majorBidi" w:hAnsiTheme="majorBidi" w:cstheme="majorBidi"/>
          <w:color w:val="000000"/>
          <w:highlight w:val="red"/>
          <w:lang w:bidi="ar-JO"/>
        </w:rPr>
        <w:t>(arrowhead)</w:t>
      </w:r>
      <w:r w:rsidRPr="00C159BF">
        <w:rPr>
          <w:rFonts w:asciiTheme="majorBidi" w:hAnsiTheme="majorBidi" w:cstheme="majorBidi"/>
          <w:color w:val="000000"/>
          <w:lang w:bidi="ar-JO"/>
        </w:rPr>
        <w:t xml:space="preserve">. </w:t>
      </w:r>
      <w:r w:rsidRPr="00C159BF">
        <w:rPr>
          <w:rFonts w:asciiTheme="majorBidi" w:eastAsia="Times New Roman" w:hAnsiTheme="majorBidi" w:cstheme="majorBidi"/>
          <w:color w:val="000000"/>
        </w:rPr>
        <w:t xml:space="preserve">Seeds </w:t>
      </w:r>
      <w:r>
        <w:rPr>
          <w:rFonts w:asciiTheme="majorBidi" w:eastAsia="Times New Roman" w:hAnsiTheme="majorBidi" w:cstheme="majorBidi"/>
          <w:color w:val="000000"/>
        </w:rPr>
        <w:t xml:space="preserve">were </w:t>
      </w:r>
      <w:r w:rsidRPr="00C159BF">
        <w:rPr>
          <w:rFonts w:asciiTheme="majorBidi" w:eastAsia="Times New Roman" w:hAnsiTheme="majorBidi" w:cstheme="majorBidi"/>
          <w:color w:val="000000"/>
        </w:rPr>
        <w:t xml:space="preserve">flat, ovate, and coated with hygroscopic hairs </w:t>
      </w:r>
      <w:r>
        <w:rPr>
          <w:rFonts w:asciiTheme="majorBidi" w:eastAsia="Times New Roman" w:hAnsiTheme="majorBidi" w:cstheme="majorBidi"/>
          <w:color w:val="000000"/>
        </w:rPr>
        <w:t xml:space="preserve">that </w:t>
      </w:r>
      <w:r w:rsidRPr="00C159BF">
        <w:rPr>
          <w:rFonts w:asciiTheme="majorBidi" w:eastAsia="Times New Roman" w:hAnsiTheme="majorBidi" w:cstheme="majorBidi"/>
          <w:color w:val="000000"/>
        </w:rPr>
        <w:t>swell up</w:t>
      </w:r>
      <w:r>
        <w:rPr>
          <w:rFonts w:asciiTheme="majorBidi" w:eastAsia="Times New Roman" w:hAnsiTheme="majorBidi" w:cstheme="majorBidi"/>
          <w:color w:val="000000"/>
        </w:rPr>
        <w:t xml:space="preserve">, outspread, and become </w:t>
      </w:r>
      <w:r w:rsidRPr="00C159BF">
        <w:rPr>
          <w:rFonts w:asciiTheme="majorBidi" w:hAnsiTheme="majorBidi" w:cstheme="majorBidi"/>
          <w:color w:val="000000"/>
          <w:lang w:bidi="ar-JO"/>
        </w:rPr>
        <w:t>mucilaginous</w:t>
      </w:r>
      <w:r>
        <w:rPr>
          <w:rFonts w:asciiTheme="majorBidi" w:eastAsia="Times New Roman" w:hAnsiTheme="majorBidi" w:cstheme="majorBidi"/>
          <w:color w:val="000000"/>
        </w:rPr>
        <w:t xml:space="preserve"> w</w:t>
      </w:r>
      <w:r w:rsidRPr="00C159BF">
        <w:rPr>
          <w:rFonts w:asciiTheme="majorBidi" w:eastAsia="Times New Roman" w:hAnsiTheme="majorBidi" w:cstheme="majorBidi"/>
          <w:color w:val="000000"/>
        </w:rPr>
        <w:t>hen wetted</w:t>
      </w:r>
      <w:r w:rsidRPr="000E37A0">
        <w:rPr>
          <w:rFonts w:asciiTheme="majorBidi" w:eastAsia="Times New Roman" w:hAnsiTheme="majorBidi" w:cstheme="majorBidi"/>
          <w:color w:val="000000"/>
          <w:highlight w:val="red"/>
        </w:rPr>
        <w:t xml:space="preserve"> (F</w:t>
      </w:r>
      <w:r>
        <w:rPr>
          <w:rFonts w:asciiTheme="majorBidi" w:eastAsia="Times New Roman" w:hAnsiTheme="majorBidi" w:cstheme="majorBidi"/>
          <w:color w:val="000000"/>
          <w:highlight w:val="red"/>
        </w:rPr>
        <w:t>ig</w:t>
      </w:r>
      <w:r w:rsidRPr="00FB4FF6">
        <w:rPr>
          <w:rFonts w:asciiTheme="majorBidi" w:eastAsia="Times New Roman" w:hAnsiTheme="majorBidi" w:cstheme="majorBidi"/>
          <w:color w:val="000000"/>
          <w:highlight w:val="red"/>
        </w:rPr>
        <w:t>.).</w:t>
      </w:r>
      <w:r>
        <w:rPr>
          <w:rFonts w:asciiTheme="majorBidi" w:hAnsiTheme="majorBidi" w:cstheme="majorBidi"/>
          <w:color w:val="000000"/>
          <w:lang w:bidi="ar-JO"/>
        </w:rPr>
        <w:t xml:space="preserve"> </w:t>
      </w:r>
      <w:r w:rsidRPr="00C159BF">
        <w:rPr>
          <w:rFonts w:asciiTheme="majorBidi" w:hAnsiTheme="majorBidi" w:cstheme="majorBidi"/>
          <w:color w:val="000000"/>
          <w:lang w:bidi="ar-JO"/>
        </w:rPr>
        <w:t xml:space="preserve">This </w:t>
      </w:r>
      <w:r>
        <w:rPr>
          <w:rFonts w:asciiTheme="majorBidi" w:hAnsiTheme="majorBidi" w:cstheme="majorBidi"/>
          <w:color w:val="000000"/>
          <w:lang w:bidi="ar-JO"/>
        </w:rPr>
        <w:t xml:space="preserve">adaptation </w:t>
      </w:r>
      <w:r w:rsidRPr="00C159BF">
        <w:rPr>
          <w:rFonts w:asciiTheme="majorBidi" w:hAnsiTheme="majorBidi" w:cstheme="majorBidi"/>
          <w:color w:val="000000"/>
          <w:lang w:bidi="ar-JO"/>
        </w:rPr>
        <w:t xml:space="preserve">has been regarded as </w:t>
      </w:r>
      <w:r>
        <w:rPr>
          <w:rFonts w:asciiTheme="majorBidi" w:hAnsiTheme="majorBidi" w:cstheme="majorBidi"/>
          <w:color w:val="000000"/>
          <w:lang w:bidi="ar-JO"/>
        </w:rPr>
        <w:t>an efficient</w:t>
      </w:r>
      <w:r w:rsidRPr="00C159BF">
        <w:rPr>
          <w:rFonts w:asciiTheme="majorBidi" w:hAnsiTheme="majorBidi" w:cstheme="majorBidi"/>
          <w:color w:val="000000"/>
          <w:lang w:bidi="ar-JO"/>
        </w:rPr>
        <w:t xml:space="preserve"> strategy that </w:t>
      </w:r>
      <w:r>
        <w:rPr>
          <w:rFonts w:asciiTheme="majorBidi" w:hAnsiTheme="majorBidi" w:cstheme="majorBidi"/>
          <w:color w:val="000000"/>
          <w:lang w:bidi="ar-JO"/>
        </w:rPr>
        <w:t>facilitates</w:t>
      </w:r>
      <w:r w:rsidRPr="00C159BF">
        <w:rPr>
          <w:rFonts w:asciiTheme="majorBidi" w:hAnsiTheme="majorBidi" w:cstheme="majorBidi"/>
          <w:color w:val="000000"/>
          <w:lang w:bidi="ar-JO"/>
        </w:rPr>
        <w:t xml:space="preserve"> dispersal </w:t>
      </w:r>
      <w:r>
        <w:rPr>
          <w:rFonts w:asciiTheme="majorBidi" w:hAnsiTheme="majorBidi" w:cstheme="majorBidi"/>
          <w:color w:val="000000"/>
        </w:rPr>
        <w:t xml:space="preserve">and germination of </w:t>
      </w:r>
      <w:r w:rsidRPr="0019318D">
        <w:rPr>
          <w:rFonts w:asciiTheme="majorBidi" w:hAnsiTheme="majorBidi" w:cstheme="majorBidi"/>
          <w:i/>
          <w:iCs/>
          <w:color w:val="000000"/>
        </w:rPr>
        <w:t>Blepharis</w:t>
      </w:r>
      <w:r>
        <w:rPr>
          <w:rFonts w:asciiTheme="majorBidi" w:hAnsiTheme="majorBidi" w:cstheme="majorBidi"/>
          <w:color w:val="000000"/>
        </w:rPr>
        <w:t xml:space="preserve"> </w:t>
      </w:r>
      <w:r w:rsidRPr="00C159BF">
        <w:rPr>
          <w:rFonts w:asciiTheme="majorBidi" w:hAnsiTheme="majorBidi" w:cstheme="majorBidi"/>
          <w:color w:val="000000"/>
        </w:rPr>
        <w:t>when there is adequate rainfall</w:t>
      </w:r>
      <w:r>
        <w:rPr>
          <w:rFonts w:asciiTheme="majorBidi" w:hAnsiTheme="majorBidi" w:cstheme="majorBidi"/>
          <w:color w:val="000000"/>
        </w:rPr>
        <w:t>, thus contributing to its success in desert habitats</w:t>
      </w:r>
      <w:r w:rsidRPr="00C159BF">
        <w:rPr>
          <w:rFonts w:asciiTheme="majorBidi" w:hAnsiTheme="majorBidi" w:cstheme="majorBidi"/>
          <w:color w:val="000000"/>
        </w:rPr>
        <w:t xml:space="preserve"> </w:t>
      </w:r>
      <w:r w:rsidRPr="00C159BF">
        <w:rPr>
          <w:rFonts w:asciiTheme="majorBidi" w:hAnsiTheme="majorBidi" w:cstheme="majorBidi"/>
          <w:color w:val="0000FF"/>
          <w:lang w:bidi="ar-JO"/>
        </w:rPr>
        <w:t>(Vollesen, 2000; Gutterman, 2002)</w:t>
      </w:r>
      <w:r w:rsidRPr="00C159BF">
        <w:rPr>
          <w:rFonts w:asciiTheme="majorBidi" w:hAnsiTheme="majorBidi" w:cstheme="majorBidi"/>
          <w:color w:val="000000"/>
          <w:lang w:bidi="ar-JO"/>
        </w:rPr>
        <w:t>.</w:t>
      </w:r>
    </w:p>
    <w:p w14:paraId="03339F67" w14:textId="04310029" w:rsidR="00097DB8" w:rsidRDefault="00097DB8" w:rsidP="00BB52E9">
      <w:pPr>
        <w:rPr>
          <w:lang w:bidi="ar-JO"/>
        </w:rPr>
      </w:pPr>
    </w:p>
    <w:p w14:paraId="55424B5F" w14:textId="77777777" w:rsidR="00997E57" w:rsidRPr="00997E57" w:rsidRDefault="00997E57" w:rsidP="00997E57">
      <w:pPr>
        <w:autoSpaceDE w:val="0"/>
        <w:autoSpaceDN w:val="0"/>
        <w:adjustRightInd w:val="0"/>
        <w:spacing w:line="480" w:lineRule="auto"/>
        <w:jc w:val="both"/>
        <w:rPr>
          <w:rFonts w:asciiTheme="majorBidi" w:hAnsiTheme="majorBidi" w:cstheme="majorBidi"/>
          <w:i/>
          <w:iCs/>
          <w:color w:val="943634" w:themeColor="accent2" w:themeShade="BF"/>
          <w:lang w:val="en-US"/>
        </w:rPr>
      </w:pPr>
      <w:r w:rsidRPr="00997E57">
        <w:rPr>
          <w:rFonts w:asciiTheme="majorBidi" w:hAnsiTheme="majorBidi" w:cstheme="majorBidi"/>
          <w:b/>
          <w:bCs/>
          <w:i/>
          <w:iCs/>
          <w:color w:val="943634" w:themeColor="accent2" w:themeShade="BF"/>
        </w:rPr>
        <w:t>Multivariate analysis</w:t>
      </w:r>
    </w:p>
    <w:p w14:paraId="4BEF9DB6" w14:textId="44D6FFF6" w:rsidR="00A83D54" w:rsidRDefault="00997E57" w:rsidP="00BB52E9">
      <w:pPr>
        <w:rPr>
          <w:color w:val="943634" w:themeColor="accent2" w:themeShade="BF"/>
          <w:lang w:bidi="ar-JO"/>
        </w:rPr>
      </w:pPr>
      <w:r w:rsidRPr="00997E57">
        <w:rPr>
          <w:color w:val="943634" w:themeColor="accent2" w:themeShade="BF"/>
          <w:lang w:bidi="ar-JO"/>
        </w:rPr>
        <w:t xml:space="preserve">Our LDA successfully distinguished morphological features of </w:t>
      </w:r>
      <w:r>
        <w:rPr>
          <w:color w:val="943634" w:themeColor="accent2" w:themeShade="BF"/>
          <w:lang w:bidi="ar-JO"/>
        </w:rPr>
        <w:t xml:space="preserve">plants collected from </w:t>
      </w:r>
      <w:r w:rsidRPr="00997E57">
        <w:rPr>
          <w:color w:val="943634" w:themeColor="accent2" w:themeShade="BF"/>
          <w:lang w:bidi="ar-JO"/>
        </w:rPr>
        <w:t>all three</w:t>
      </w:r>
      <w:r>
        <w:rPr>
          <w:color w:val="943634" w:themeColor="accent2" w:themeShade="BF"/>
          <w:lang w:bidi="ar-JO"/>
        </w:rPr>
        <w:t xml:space="preserve"> sites, with </w:t>
      </w:r>
      <w:r w:rsidR="00A72C88">
        <w:rPr>
          <w:color w:val="943634" w:themeColor="accent2" w:themeShade="BF"/>
          <w:lang w:bidi="ar-JO"/>
        </w:rPr>
        <w:t xml:space="preserve">a </w:t>
      </w:r>
      <w:r>
        <w:rPr>
          <w:color w:val="943634" w:themeColor="accent2" w:themeShade="BF"/>
          <w:lang w:bidi="ar-JO"/>
        </w:rPr>
        <w:t xml:space="preserve">significant </w:t>
      </w:r>
      <w:r w:rsidR="00A83D54">
        <w:rPr>
          <w:color w:val="943634" w:themeColor="accent2" w:themeShade="BF"/>
          <w:lang w:bidi="ar-JO"/>
        </w:rPr>
        <w:t>difference among group means along axis 1 (</w:t>
      </w:r>
      <w:r w:rsidR="00A83D54" w:rsidRPr="00A83D54">
        <w:rPr>
          <w:i/>
          <w:color w:val="943634" w:themeColor="accent2" w:themeShade="BF"/>
          <w:lang w:bidi="ar-JO"/>
        </w:rPr>
        <w:t>F</w:t>
      </w:r>
      <w:r w:rsidR="00A83D54">
        <w:rPr>
          <w:color w:val="943634" w:themeColor="accent2" w:themeShade="BF"/>
          <w:lang w:bidi="ar-JO"/>
        </w:rPr>
        <w:t xml:space="preserve"> = 509.4, </w:t>
      </w:r>
      <w:r w:rsidR="00A83D54" w:rsidRPr="00A83D54">
        <w:rPr>
          <w:i/>
          <w:color w:val="943634" w:themeColor="accent2" w:themeShade="BF"/>
          <w:lang w:bidi="ar-JO"/>
        </w:rPr>
        <w:t>P</w:t>
      </w:r>
      <w:r w:rsidR="00A83D54">
        <w:rPr>
          <w:color w:val="943634" w:themeColor="accent2" w:themeShade="BF"/>
          <w:lang w:bidi="ar-JO"/>
        </w:rPr>
        <w:t xml:space="preserve"> &lt; 0.001</w:t>
      </w:r>
      <w:r w:rsidR="00A83D54">
        <w:rPr>
          <w:color w:val="943634" w:themeColor="accent2" w:themeShade="BF"/>
          <w:lang w:bidi="ar-JO"/>
        </w:rPr>
        <w:t>). Plants from the Al-Yotm valley were morphologically distinct primarily due to larger bract widths and shorter internodes, with no overlap in 95% ellipses (</w:t>
      </w:r>
      <w:r w:rsidR="00A83D54" w:rsidRPr="00A72C88">
        <w:rPr>
          <w:color w:val="943634" w:themeColor="accent2" w:themeShade="BF"/>
          <w:highlight w:val="red"/>
          <w:lang w:bidi="ar-JO"/>
        </w:rPr>
        <w:t>Fig.</w:t>
      </w:r>
      <w:r w:rsidR="00A83D54">
        <w:rPr>
          <w:color w:val="943634" w:themeColor="accent2" w:themeShade="BF"/>
          <w:lang w:bidi="ar-JO"/>
        </w:rPr>
        <w:t xml:space="preserve">). </w:t>
      </w:r>
      <w:r w:rsidR="00A72C88">
        <w:rPr>
          <w:color w:val="943634" w:themeColor="accent2" w:themeShade="BF"/>
          <w:lang w:bidi="ar-JO"/>
        </w:rPr>
        <w:t xml:space="preserve">Plants from the </w:t>
      </w:r>
      <w:r w:rsidR="00A83D54">
        <w:rPr>
          <w:color w:val="943634" w:themeColor="accent2" w:themeShade="BF"/>
          <w:lang w:bidi="ar-JO"/>
        </w:rPr>
        <w:t xml:space="preserve">Kufranjah </w:t>
      </w:r>
      <w:r w:rsidR="00A72C88">
        <w:rPr>
          <w:color w:val="943634" w:themeColor="accent2" w:themeShade="BF"/>
          <w:lang w:bidi="ar-JO"/>
        </w:rPr>
        <w:t xml:space="preserve">and Dead Sea valleys were significantly </w:t>
      </w:r>
      <w:r w:rsidR="00A72C88">
        <w:rPr>
          <w:color w:val="943634" w:themeColor="accent2" w:themeShade="BF"/>
          <w:lang w:bidi="ar-JO"/>
        </w:rPr>
        <w:lastRenderedPageBreak/>
        <w:t xml:space="preserve">different along </w:t>
      </w:r>
      <w:r w:rsidR="00A72C88">
        <w:rPr>
          <w:color w:val="943634" w:themeColor="accent2" w:themeShade="BF"/>
          <w:lang w:bidi="ar-JO"/>
        </w:rPr>
        <w:t>axis 2 (</w:t>
      </w:r>
      <w:r w:rsidR="00A72C88" w:rsidRPr="00A83D54">
        <w:rPr>
          <w:i/>
          <w:color w:val="943634" w:themeColor="accent2" w:themeShade="BF"/>
          <w:lang w:bidi="ar-JO"/>
        </w:rPr>
        <w:t>F</w:t>
      </w:r>
      <w:r w:rsidR="00A72C88">
        <w:rPr>
          <w:color w:val="943634" w:themeColor="accent2" w:themeShade="BF"/>
          <w:lang w:bidi="ar-JO"/>
        </w:rPr>
        <w:t xml:space="preserve"> = 14.0, </w:t>
      </w:r>
      <w:r w:rsidR="00A72C88" w:rsidRPr="00A83D54">
        <w:rPr>
          <w:i/>
          <w:color w:val="943634" w:themeColor="accent2" w:themeShade="BF"/>
          <w:lang w:bidi="ar-JO"/>
        </w:rPr>
        <w:t>P</w:t>
      </w:r>
      <w:r w:rsidR="00A72C88">
        <w:rPr>
          <w:color w:val="943634" w:themeColor="accent2" w:themeShade="BF"/>
          <w:lang w:bidi="ar-JO"/>
        </w:rPr>
        <w:t xml:space="preserve"> &lt; 0.001</w:t>
      </w:r>
      <w:r w:rsidR="00A72C88">
        <w:rPr>
          <w:color w:val="943634" w:themeColor="accent2" w:themeShade="BF"/>
          <w:lang w:bidi="ar-JO"/>
        </w:rPr>
        <w:t>). On average, Kufranjah plants possessed more veins per bract, with longer anterior appendage but shorter anterior filament and shorter spine than plants from the Dead Sea valley. H</w:t>
      </w:r>
      <w:r w:rsidR="00A3608B">
        <w:rPr>
          <w:color w:val="943634" w:themeColor="accent2" w:themeShade="BF"/>
          <w:lang w:bidi="ar-JO"/>
        </w:rPr>
        <w:t>owever,</w:t>
      </w:r>
      <w:r w:rsidR="00A72C88">
        <w:rPr>
          <w:color w:val="943634" w:themeColor="accent2" w:themeShade="BF"/>
          <w:lang w:bidi="ar-JO"/>
        </w:rPr>
        <w:t xml:space="preserve"> 95% ellipses</w:t>
      </w:r>
      <w:r w:rsidR="00A3608B">
        <w:rPr>
          <w:color w:val="943634" w:themeColor="accent2" w:themeShade="BF"/>
          <w:lang w:bidi="ar-JO"/>
        </w:rPr>
        <w:t xml:space="preserve"> also overlap for these populations (</w:t>
      </w:r>
      <w:r w:rsidR="00A3608B" w:rsidRPr="00A3608B">
        <w:rPr>
          <w:color w:val="943634" w:themeColor="accent2" w:themeShade="BF"/>
          <w:highlight w:val="red"/>
          <w:lang w:bidi="ar-JO"/>
        </w:rPr>
        <w:t>Fig.</w:t>
      </w:r>
      <w:r w:rsidR="00A3608B">
        <w:rPr>
          <w:color w:val="943634" w:themeColor="accent2" w:themeShade="BF"/>
          <w:lang w:bidi="ar-JO"/>
        </w:rPr>
        <w:t>)</w:t>
      </w:r>
      <w:r w:rsidR="00A72C88">
        <w:rPr>
          <w:color w:val="943634" w:themeColor="accent2" w:themeShade="BF"/>
          <w:lang w:bidi="ar-JO"/>
        </w:rPr>
        <w:t>.</w:t>
      </w:r>
    </w:p>
    <w:p w14:paraId="66DFC5DC" w14:textId="016A7F23" w:rsidR="00997E57" w:rsidRPr="00997E57" w:rsidRDefault="00997E57" w:rsidP="00BB52E9">
      <w:pPr>
        <w:rPr>
          <w:color w:val="943634" w:themeColor="accent2" w:themeShade="BF"/>
          <w:lang w:bidi="ar-JO"/>
        </w:rPr>
      </w:pPr>
      <w:bookmarkStart w:id="2" w:name="_GoBack"/>
      <w:bookmarkEnd w:id="2"/>
    </w:p>
    <w:sectPr w:rsidR="00997E57" w:rsidRPr="00997E57" w:rsidSect="009018AB">
      <w:headerReference w:type="default" r:id="rId9"/>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ob Colautti" w:date="2017-04-28T12:33:00Z" w:initials="RC">
    <w:p w14:paraId="58F9EB75" w14:textId="77777777" w:rsidR="00257F03" w:rsidRDefault="00257F03">
      <w:pPr>
        <w:pStyle w:val="CommentText"/>
      </w:pPr>
      <w:r>
        <w:rPr>
          <w:rStyle w:val="CommentReference"/>
        </w:rPr>
        <w:annotationRef/>
      </w:r>
      <w:r>
        <w:t>When the paper is accepted, I can submit the data to get the proper link for the final manuscript.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F9EB7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FA6995" w14:textId="77777777" w:rsidR="00040CCE" w:rsidRDefault="00040CCE">
      <w:r>
        <w:separator/>
      </w:r>
    </w:p>
  </w:endnote>
  <w:endnote w:type="continuationSeparator" w:id="0">
    <w:p w14:paraId="5750B93C" w14:textId="77777777" w:rsidR="00040CCE" w:rsidRDefault="00040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864452" w14:textId="77777777" w:rsidR="00040CCE" w:rsidRDefault="00040CCE">
      <w:r>
        <w:separator/>
      </w:r>
    </w:p>
  </w:footnote>
  <w:footnote w:type="continuationSeparator" w:id="0">
    <w:p w14:paraId="0BDB58DC" w14:textId="77777777" w:rsidR="00040CCE" w:rsidRDefault="00040CC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31242"/>
      <w:docPartObj>
        <w:docPartGallery w:val="Page Numbers (Top of Page)"/>
        <w:docPartUnique/>
      </w:docPartObj>
    </w:sdtPr>
    <w:sdtEndPr/>
    <w:sdtContent>
      <w:p w14:paraId="0CF71484" w14:textId="3DC5F01E" w:rsidR="008E2E28" w:rsidRDefault="00BB52E9">
        <w:pPr>
          <w:pStyle w:val="Header"/>
          <w:jc w:val="right"/>
        </w:pPr>
        <w:r>
          <w:fldChar w:fldCharType="begin"/>
        </w:r>
        <w:r>
          <w:instrText xml:space="preserve"> PAGE   \* MERGEFORMAT </w:instrText>
        </w:r>
        <w:r>
          <w:fldChar w:fldCharType="separate"/>
        </w:r>
        <w:r w:rsidR="00A3608B">
          <w:rPr>
            <w:noProof/>
          </w:rPr>
          <w:t>6</w:t>
        </w:r>
        <w:r>
          <w:fldChar w:fldCharType="end"/>
        </w:r>
      </w:p>
    </w:sdtContent>
  </w:sdt>
  <w:p w14:paraId="7DDAC2B9" w14:textId="77777777" w:rsidR="008E2E28" w:rsidRDefault="00040CCE">
    <w:pPr>
      <w:pStyle w:val="Header"/>
    </w:pPr>
  </w:p>
</w:hdr>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 Colautti">
    <w15:presenceInfo w15:providerId="Windows Live" w15:userId="d809eaca2c1fca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B52E9"/>
    <w:rsid w:val="00040CCE"/>
    <w:rsid w:val="00097DB8"/>
    <w:rsid w:val="001A4827"/>
    <w:rsid w:val="00257F03"/>
    <w:rsid w:val="0075532F"/>
    <w:rsid w:val="009018AB"/>
    <w:rsid w:val="00997E57"/>
    <w:rsid w:val="00A3608B"/>
    <w:rsid w:val="00A72C88"/>
    <w:rsid w:val="00A83D54"/>
    <w:rsid w:val="00AB10F0"/>
    <w:rsid w:val="00BB52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1B185"/>
  <w15:docId w15:val="{B07E0002-335B-4D10-9B43-937975D2C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52E9"/>
    <w:pPr>
      <w:spacing w:after="0" w:line="240" w:lineRule="auto"/>
    </w:pPr>
    <w:rPr>
      <w:rFonts w:ascii="Times New Roman" w:eastAsiaTheme="minorEastAsia" w:hAnsi="Times New Roman" w:cs="Times New Roman"/>
      <w:sz w:val="24"/>
      <w:szCs w:val="24"/>
      <w:lang w:val="en-CA"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52E9"/>
    <w:pPr>
      <w:tabs>
        <w:tab w:val="center" w:pos="4153"/>
        <w:tab w:val="right" w:pos="8306"/>
      </w:tabs>
    </w:pPr>
  </w:style>
  <w:style w:type="character" w:customStyle="1" w:styleId="HeaderChar">
    <w:name w:val="Header Char"/>
    <w:basedOn w:val="DefaultParagraphFont"/>
    <w:link w:val="Header"/>
    <w:uiPriority w:val="99"/>
    <w:rsid w:val="00BB52E9"/>
    <w:rPr>
      <w:rFonts w:ascii="Times New Roman" w:eastAsiaTheme="minorEastAsia" w:hAnsi="Times New Roman" w:cs="Times New Roman"/>
      <w:sz w:val="24"/>
      <w:szCs w:val="24"/>
      <w:lang w:val="en-CA" w:eastAsia="ja-JP"/>
    </w:rPr>
  </w:style>
  <w:style w:type="character" w:styleId="HTMLCite">
    <w:name w:val="HTML Cite"/>
    <w:rsid w:val="00BB52E9"/>
    <w:rPr>
      <w:i w:val="0"/>
      <w:iCs w:val="0"/>
    </w:rPr>
  </w:style>
  <w:style w:type="character" w:styleId="CommentReference">
    <w:name w:val="annotation reference"/>
    <w:basedOn w:val="DefaultParagraphFont"/>
    <w:uiPriority w:val="99"/>
    <w:semiHidden/>
    <w:unhideWhenUsed/>
    <w:rsid w:val="00257F03"/>
    <w:rPr>
      <w:sz w:val="16"/>
      <w:szCs w:val="16"/>
    </w:rPr>
  </w:style>
  <w:style w:type="paragraph" w:styleId="CommentText">
    <w:name w:val="annotation text"/>
    <w:basedOn w:val="Normal"/>
    <w:link w:val="CommentTextChar"/>
    <w:uiPriority w:val="99"/>
    <w:semiHidden/>
    <w:unhideWhenUsed/>
    <w:rsid w:val="00257F03"/>
    <w:rPr>
      <w:sz w:val="20"/>
      <w:szCs w:val="20"/>
    </w:rPr>
  </w:style>
  <w:style w:type="character" w:customStyle="1" w:styleId="CommentTextChar">
    <w:name w:val="Comment Text Char"/>
    <w:basedOn w:val="DefaultParagraphFont"/>
    <w:link w:val="CommentText"/>
    <w:uiPriority w:val="99"/>
    <w:semiHidden/>
    <w:rsid w:val="00257F03"/>
    <w:rPr>
      <w:rFonts w:ascii="Times New Roman" w:eastAsiaTheme="minorEastAsia" w:hAnsi="Times New Roman" w:cs="Times New Roman"/>
      <w:sz w:val="20"/>
      <w:szCs w:val="20"/>
      <w:lang w:val="en-CA" w:eastAsia="ja-JP"/>
    </w:rPr>
  </w:style>
  <w:style w:type="paragraph" w:styleId="CommentSubject">
    <w:name w:val="annotation subject"/>
    <w:basedOn w:val="CommentText"/>
    <w:next w:val="CommentText"/>
    <w:link w:val="CommentSubjectChar"/>
    <w:uiPriority w:val="99"/>
    <w:semiHidden/>
    <w:unhideWhenUsed/>
    <w:rsid w:val="00257F03"/>
    <w:rPr>
      <w:b/>
      <w:bCs/>
    </w:rPr>
  </w:style>
  <w:style w:type="character" w:customStyle="1" w:styleId="CommentSubjectChar">
    <w:name w:val="Comment Subject Char"/>
    <w:basedOn w:val="CommentTextChar"/>
    <w:link w:val="CommentSubject"/>
    <w:uiPriority w:val="99"/>
    <w:semiHidden/>
    <w:rsid w:val="00257F03"/>
    <w:rPr>
      <w:rFonts w:ascii="Times New Roman" w:eastAsiaTheme="minorEastAsia" w:hAnsi="Times New Roman" w:cs="Times New Roman"/>
      <w:b/>
      <w:bCs/>
      <w:sz w:val="20"/>
      <w:szCs w:val="20"/>
      <w:lang w:val="en-CA" w:eastAsia="ja-JP"/>
    </w:rPr>
  </w:style>
  <w:style w:type="paragraph" w:styleId="BalloonText">
    <w:name w:val="Balloon Text"/>
    <w:basedOn w:val="Normal"/>
    <w:link w:val="BalloonTextChar"/>
    <w:uiPriority w:val="99"/>
    <w:semiHidden/>
    <w:unhideWhenUsed/>
    <w:rsid w:val="00257F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F03"/>
    <w:rPr>
      <w:rFonts w:ascii="Segoe UI" w:eastAsiaTheme="minorEastAsia" w:hAnsi="Segoe UI" w:cs="Segoe UI"/>
      <w:sz w:val="18"/>
      <w:szCs w:val="18"/>
      <w:lang w:val="en-CA"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38CFF-E375-4B8B-ABDD-84FD9C5A4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6</Pages>
  <Words>1310</Words>
  <Characters>7471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dc:creator>
  <cp:lastModifiedBy>Rob Colautti</cp:lastModifiedBy>
  <cp:revision>5</cp:revision>
  <dcterms:created xsi:type="dcterms:W3CDTF">2017-04-24T08:30:00Z</dcterms:created>
  <dcterms:modified xsi:type="dcterms:W3CDTF">2017-04-28T18:08:00Z</dcterms:modified>
</cp:coreProperties>
</file>