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Acoustic Data Collection Protocol — Hanoi Urban Noise Study</w:t>
      </w:r>
    </w:p>
    <w:p>
      <w:r>
        <w:rPr>
          <w:b w:val="0"/>
          <w:i/>
        </w:rPr>
        <w:t>Methodology replicates Nsumba et al. (2026, Scientific Data) — the Urban Noise Uganda 61K dataset — adapted to a two-collector, smartphone-based campaign in Hanoi.</w:t>
      </w:r>
    </w:p>
    <w:p>
      <w:pPr>
        <w:pStyle w:val="Heading1"/>
      </w:pPr>
      <w:r>
        <w:t>1. General Strategy</w:t>
      </w:r>
    </w:p>
    <w:p>
      <w:pPr>
        <w:pStyle w:val="ListBullet"/>
      </w:pPr>
      <w:r>
        <w:t>Collection method: mobile (walking) smartphone-based sampling, following the protocol of the reference study — short georeferenced samples collected on foot, rather than fixed long-duration sensors. This maximizes spatial diversity, the critical input for the spatial noise model (each sample = one GPS point with its own urban-morphology context).</w:t>
      </w:r>
    </w:p>
    <w:p>
      <w:pPr>
        <w:pStyle w:val="ListBullet"/>
      </w:pPr>
      <w:r>
        <w:t>Tooling: ODK Collect (same data collection tool as the reference study) connected to a KoboToolbox server; one shared sound level meter app on both phones.</w:t>
      </w:r>
    </w:p>
    <w:p>
      <w:pPr>
        <w:pStyle w:val="ListBullet"/>
      </w:pPr>
      <w:r>
        <w:t>Per sample (~45–75 s): &gt;= 10 s audio recording + sound pressure level (dB) + GPS (lat/lon/altitude/accuracy) + noise category + distance-to-road bracket + optional note.</w:t>
      </w:r>
    </w:p>
    <w:p>
      <w:pPr>
        <w:pStyle w:val="ListBullet"/>
      </w:pPr>
      <w:r>
        <w:t>Site mapping: walking circuits pre-selected with Google Maps/Earth and OSMnx, anchored on the typology points below.</w:t>
      </w:r>
    </w:p>
    <w:p>
      <w:pPr>
        <w:pStyle w:val="ListBullet"/>
      </w:pPr>
      <w:r>
        <w:t>Target volume: 20–30 samples per session; 300–700 samples total across all zones.</w:t>
      </w:r>
    </w:p>
    <w:p>
      <w:pPr>
        <w:pStyle w:val="Heading1"/>
      </w:pPr>
      <w:r>
        <w:t>2. Zone Typologies &amp; Walking Circuit Anchors</w:t>
      </w:r>
    </w:p>
    <w:p>
      <w:r>
        <w:rPr>
          <w:b w:val="0"/>
          <w:i w:val="0"/>
        </w:rPr>
        <w:t>Each former "sensor location" becomes an anchor on a walking circuit. At each anchor, collect 4–6 samples at varying distances from the source (0–10 m, 10–30 m, 30–60 m, &gt; 60 m / behind buildings) before moving to the next anchor. Distance variation is deliberate: the model learns how noise decays with distance and shielding.</w:t>
      </w:r>
    </w:p>
    <w:p>
      <w:pPr>
        <w:pStyle w:val="Heading2"/>
      </w:pPr>
      <w:r>
        <w:t>Zone 1 — Ocean Park (New Urban Fabric)</w:t>
      </w:r>
    </w:p>
    <w:p>
      <w:r>
        <w:rPr>
          <w:b w:val="0"/>
          <w:i/>
        </w:rPr>
        <w:t>Focus: sound propagation, high-rise shielding effect, construction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Anchor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Urban Canyon</w:t>
            </w:r>
          </w:p>
        </w:tc>
        <w:tc>
          <w:tcPr>
            <w:tcW w:type="dxa" w:w="4320"/>
          </w:tcPr>
          <w:p>
            <w:r>
              <w:t>Main avenue in front of the Masterise towers — continuous traffic in canyon geometry</w:t>
            </w:r>
          </w:p>
        </w:tc>
      </w:tr>
      <w:tr>
        <w:tc>
          <w:tcPr>
            <w:tcW w:type="dxa" w:w="4320"/>
          </w:tcPr>
          <w:p>
            <w:r>
              <w:t>2. Shield Zone</w:t>
            </w:r>
          </w:p>
        </w:tc>
        <w:tc>
          <w:tcPr>
            <w:tcW w:type="dxa" w:w="4320"/>
          </w:tcPr>
          <w:p>
            <w:r>
              <w:t>Adjacent street/courtyard directly behind the buildings — acoustic protection</w:t>
            </w:r>
          </w:p>
        </w:tc>
      </w:tr>
      <w:tr>
        <w:tc>
          <w:tcPr>
            <w:tcW w:type="dxa" w:w="4320"/>
          </w:tcPr>
          <w:p>
            <w:r>
              <w:t>3. Intersection</w:t>
            </w:r>
          </w:p>
        </w:tc>
        <w:tc>
          <w:tcPr>
            <w:tcW w:type="dxa" w:w="4320"/>
          </w:tcPr>
          <w:p>
            <w:r>
              <w:t>Major traffic light ~300–400 m from Anchor 1 — congestion and acceleration noise</w:t>
            </w:r>
          </w:p>
        </w:tc>
      </w:tr>
      <w:tr>
        <w:tc>
          <w:tcPr>
            <w:tcW w:type="dxa" w:w="4320"/>
          </w:tcPr>
          <w:p>
            <w:r>
              <w:t>4. Construction</w:t>
            </w:r>
          </w:p>
        </w:tc>
        <w:tc>
          <w:tcPr>
            <w:tcW w:type="dxa" w:w="4320"/>
          </w:tcPr>
          <w:p>
            <w:r>
              <w:t>Near an active construction site — acoustic footprint of urban development</w:t>
            </w:r>
          </w:p>
        </w:tc>
      </w:tr>
    </w:tbl>
    <w:p>
      <w:pPr>
        <w:pStyle w:val="Heading2"/>
      </w:pPr>
      <w:r>
        <w:t>Zone 2 — Vinh Tuy (Transport Infrastructure)</w:t>
      </w:r>
    </w:p>
    <w:p>
      <w:r>
        <w:rPr>
          <w:b w:val="0"/>
          <w:i/>
        </w:rPr>
        <w:t>Focus: heavy, continuous, high-speed flows (free-flow conditions).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Anchor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Source Zone</w:t>
            </w:r>
          </w:p>
        </w:tc>
        <w:tc>
          <w:tcPr>
            <w:tcW w:type="dxa" w:w="4320"/>
          </w:tcPr>
          <w:p>
            <w:r>
              <w:t>Long straight section of Vanh Dai 2, away from lights/intersections — maximum emission</w:t>
            </w:r>
          </w:p>
        </w:tc>
      </w:tr>
      <w:tr>
        <w:tc>
          <w:tcPr>
            <w:tcW w:type="dxa" w:w="4320"/>
          </w:tcPr>
          <w:p>
            <w:r>
              <w:t>2. Transition Zone</w:t>
            </w:r>
          </w:p>
        </w:tc>
        <w:tc>
          <w:tcPr>
            <w:tcW w:type="dxa" w:w="4320"/>
          </w:tcPr>
          <w:p>
            <w:r>
              <w:t>Near the T5 entry ramp — vehicle diffraction and insertion noise</w:t>
            </w:r>
          </w:p>
        </w:tc>
      </w:tr>
      <w:tr>
        <w:tc>
          <w:tcPr>
            <w:tcW w:type="dxa" w:w="4320"/>
          </w:tcPr>
          <w:p>
            <w:r>
              <w:t>3. Continuous Corridor</w:t>
            </w:r>
          </w:p>
        </w:tc>
        <w:tc>
          <w:tcPr>
            <w:tcW w:type="dxa" w:w="4320"/>
          </w:tcPr>
          <w:p>
            <w:r>
              <w:t>Long straight section — stable uninterrupted traffic</w:t>
            </w:r>
          </w:p>
        </w:tc>
      </w:tr>
    </w:tbl>
    <w:p>
      <w:pPr>
        <w:pStyle w:val="Heading2"/>
      </w:pPr>
      <w:r>
        <w:t>Zone 3 — Hoan Kiem (Old Quarter)</w:t>
      </w:r>
    </w:p>
    <w:p>
      <w:r>
        <w:rPr>
          <w:b w:val="0"/>
          <w:i/>
        </w:rPr>
        <w:t>Focus: narrow streets, mixed use, pedestrian zones.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Anchor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Pedestrian-Traffic Interface</w:t>
            </w:r>
          </w:p>
        </w:tc>
        <w:tc>
          <w:tcPr>
            <w:tcW w:type="dxa" w:w="4320"/>
          </w:tcPr>
          <w:p>
            <w:r>
              <w:t>Boundary where vehicle traffic meets high pedestrian activity</w:t>
            </w:r>
          </w:p>
        </w:tc>
      </w:tr>
      <w:tr>
        <w:tc>
          <w:tcPr>
            <w:tcW w:type="dxa" w:w="4320"/>
          </w:tcPr>
          <w:p>
            <w:r>
              <w:t>2. Dense Corridor</w:t>
            </w:r>
          </w:p>
        </w:tc>
        <w:tc>
          <w:tcPr>
            <w:tcW w:type="dxa" w:w="4320"/>
          </w:tcPr>
          <w:p>
            <w:r>
              <w:t>Narrow, highly built-up streets — reverberation, confined geometry</w:t>
            </w:r>
          </w:p>
        </w:tc>
      </w:tr>
      <w:tr>
        <w:tc>
          <w:tcPr>
            <w:tcW w:type="dxa" w:w="4320"/>
          </w:tcPr>
          <w:p>
            <w:r>
              <w:t>3. Lake Corridor</w:t>
            </w:r>
          </w:p>
        </w:tc>
        <w:tc>
          <w:tcPr>
            <w:tcW w:type="dxa" w:w="4320"/>
          </w:tcPr>
          <w:p>
            <w:r>
              <w:t>Along the lake — transition from traffic noise to open-space acoustics</w:t>
            </w:r>
          </w:p>
        </w:tc>
      </w:tr>
    </w:tbl>
    <w:p>
      <w:pPr>
        <w:pStyle w:val="Heading1"/>
      </w:pPr>
      <w:r>
        <w:t>3. Temporal Planning</w:t>
      </w:r>
    </w:p>
    <w:p>
      <w:pPr>
        <w:pStyle w:val="ListBullet"/>
      </w:pPr>
      <w:r>
        <w:t>Daily capture window: 05:00 to 23:00 — any session within this window is valid and contributes to the hourly-cycle analysis.</w:t>
      </w:r>
    </w:p>
    <w:p>
      <w:pPr>
        <w:pStyle w:val="ListBullet"/>
      </w:pPr>
      <w:r>
        <w:t>Priority time slots (4 sessions/day when possible): 08:00, 12:00, 17:00, ~22:00. Rush-hour windows (08:00–10:00, 16:00–18:00) are priority slots. Late-evening sessions (after ~21:00) in pairs only (the reference study’s main limitation was night-time coverage due to safety; we mitigate but document the same constraint).</w:t>
      </w:r>
    </w:p>
    <w:p>
      <w:pPr>
        <w:pStyle w:val="ListBullet"/>
      </w:pPr>
      <w:r>
        <w:t>Weekday vs weekend: each zone covered on at least 1 weekday and 1 weekend day.</w:t>
      </w:r>
    </w:p>
    <w:p>
      <w:pPr>
        <w:pStyle w:val="ListBullet"/>
      </w:pPr>
      <w:r>
        <w:t>Rotation: with 2 collectors, cover 2 zones in parallel per session day; rotate so each zone accumulates all 4 time slots within 2–3 weeks.</w:t>
      </w:r>
    </w:p>
    <w:p>
      <w:pPr>
        <w:pStyle w:val="ListBullet"/>
      </w:pPr>
      <w:r>
        <w:t>Weather: no collection during rain (alters both traffic and propagation; also the reference study’s limitation #2). Rainy-day sessions are rescheduled.</w:t>
      </w:r>
    </w:p>
    <w:p>
      <w:pPr>
        <w:pStyle w:val="Heading1"/>
      </w:pPr>
      <w:r>
        <w:t>4. Hardware &amp; Measurement Protocol</w:t>
      </w:r>
    </w:p>
    <w:p>
      <w:pPr>
        <w:pStyle w:val="ListBullet"/>
      </w:pPr>
      <w:r>
        <w:t>Devices: 2 Android smartphones, ODK Collect + one shared sound meter app.</w:t>
      </w:r>
    </w:p>
    <w:p>
      <w:pPr>
        <w:pStyle w:val="ListBullet"/>
      </w:pPr>
      <w:r>
        <w:t>Cross-calibration: before the campaign, both phones side by side against the same source at 3 levels; systematic offsets recorded and corrected in analysis. Reference: the original study validated smartphone SPL against a Class 1 Casella CEL-633A1 meter with &lt; 2 dB error over 35–120 dB (their Table 1); we cite this and note the absence of a Class 1 reference as a limitation.</w:t>
      </w:r>
    </w:p>
    <w:p>
      <w:pPr>
        <w:pStyle w:val="ListBullet"/>
      </w:pPr>
      <w:r>
        <w:t>Handling: phone held at arm’s length, ~1.2 m above ground, mic unobstructed, collector silent during recording.</w:t>
      </w:r>
    </w:p>
    <w:p>
      <w:r>
        <w:rPr>
          <w:b/>
          <w:i w:val="0"/>
        </w:rPr>
        <w:t>Sequence per sample:</w:t>
      </w:r>
    </w:p>
    <w:p>
      <w:pPr>
        <w:pStyle w:val="ListNumber"/>
      </w:pPr>
      <w:r>
        <w:t>1. Open ODK form</w:t>
      </w:r>
    </w:p>
    <w:p>
      <w:pPr>
        <w:pStyle w:val="ListNumber"/>
      </w:pPr>
      <w:r>
        <w:t>2. Wait for GPS accuracy &lt; 10 m</w:t>
      </w:r>
    </w:p>
    <w:p>
      <w:pPr>
        <w:pStyle w:val="ListNumber"/>
      </w:pPr>
      <w:r>
        <w:t>3. Record &gt;= 10 s audio</w:t>
      </w:r>
    </w:p>
    <w:p>
      <w:pPr>
        <w:pStyle w:val="ListNumber"/>
      </w:pPr>
      <w:r>
        <w:t>4. Read dB from sound meter app immediately after (quasi-stationary ambient assumption over the ~30 s window; transient events noted in the form)</w:t>
      </w:r>
    </w:p>
    <w:p>
      <w:pPr>
        <w:pStyle w:val="ListNumber"/>
      </w:pPr>
      <w:r>
        <w:t>5. Enter dB + category + distance bracket</w:t>
      </w:r>
    </w:p>
    <w:p>
      <w:pPr>
        <w:pStyle w:val="ListNumber"/>
      </w:pPr>
      <w:r>
        <w:t>6. Submit, then walk 30–60 s to the next spot</w:t>
      </w:r>
    </w:p>
    <w:p>
      <w:pPr>
        <w:pStyle w:val="Heading1"/>
      </w:pPr>
      <w:r>
        <w:t>5. 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Metadata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collected</w:t>
            </w:r>
          </w:p>
        </w:tc>
      </w:tr>
      <w:tr>
        <w:tc>
          <w:tcPr>
            <w:tcW w:type="dxa" w:w="4320"/>
          </w:tcPr>
          <w:p>
            <w:r>
              <w:t>Date &amp; time</w:t>
            </w:r>
          </w:p>
        </w:tc>
        <w:tc>
          <w:tcPr>
            <w:tcW w:type="dxa" w:w="4320"/>
          </w:tcPr>
          <w:p>
            <w:r>
              <w:t>Automatic (ODK timestamp)</w:t>
            </w:r>
          </w:p>
        </w:tc>
      </w:tr>
      <w:tr>
        <w:tc>
          <w:tcPr>
            <w:tcW w:type="dxa" w:w="4320"/>
          </w:tcPr>
          <w:p>
            <w:r>
              <w:t>GPS + accuracy</w:t>
            </w:r>
          </w:p>
        </w:tc>
        <w:tc>
          <w:tcPr>
            <w:tcW w:type="dxa" w:w="4320"/>
          </w:tcPr>
          <w:p>
            <w:r>
              <w:t>Automatic (ODK geopoint)</w:t>
            </w:r>
          </w:p>
        </w:tc>
      </w:tr>
      <w:tr>
        <w:tc>
          <w:tcPr>
            <w:tcW w:type="dxa" w:w="4320"/>
          </w:tcPr>
          <w:p>
            <w:r>
              <w:t>Weather (temp, wind, precipitation, humidity)</w:t>
            </w:r>
          </w:p>
        </w:tc>
        <w:tc>
          <w:tcPr>
            <w:tcW w:type="dxa" w:w="4320"/>
          </w:tcPr>
          <w:p>
            <w:r>
              <w:t>Open-Meteo API from timestamps, merged during analysis — no field entry needed</w:t>
            </w:r>
          </w:p>
        </w:tc>
      </w:tr>
      <w:tr>
        <w:tc>
          <w:tcPr>
            <w:tcW w:type="dxa" w:w="4320"/>
          </w:tcPr>
          <w:p>
            <w:r>
              <w:t>Spatial context (building density, road density, intersections, distance to road)</w:t>
            </w:r>
          </w:p>
        </w:tc>
        <w:tc>
          <w:tcPr>
            <w:tcW w:type="dxa" w:w="4320"/>
          </w:tcPr>
          <w:p>
            <w:r>
              <w:t>Computed post-hoc from OpenStreetMap via OSMnx, per the reference study’s morphology metrics (R = 300 m)</w:t>
            </w:r>
          </w:p>
        </w:tc>
      </w:tr>
      <w:tr>
        <w:tc>
          <w:tcPr>
            <w:tcW w:type="dxa" w:w="4320"/>
          </w:tcPr>
          <w:p>
            <w:r>
              <w:t>Notable events</w:t>
            </w:r>
          </w:p>
        </w:tc>
        <w:tc>
          <w:tcPr>
            <w:tcW w:type="dxa" w:w="4320"/>
          </w:tcPr>
          <w:p>
            <w:r>
              <w:t>Free-text note field in the ODK form</w:t>
            </w:r>
          </w:p>
        </w:tc>
      </w:tr>
    </w:tbl>
    <w:p>
      <w:pPr>
        <w:pStyle w:val="Heading1"/>
      </w:pPr>
      <w:r>
        <w:t>6. Data Flow</w:t>
      </w:r>
    </w:p>
    <w:p>
      <w:r>
        <w:rPr>
          <w:b w:val="0"/>
          <w:i w:val="0"/>
        </w:rPr>
        <w:t>ODK Collect (phone) → KoboToolbox server → CSV export → cleaning + weather enrichment + standards analysis (QCVN 26:2010/BTNMT, WHO) → transfer learning (Uganda-pretrained model + our measurements) → predicted noise map → GAMA scenario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