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bidi w:val="1"/>
        <w:spacing w:before="480" w:lineRule="auto"/>
        <w:jc w:val="center"/>
        <w:rPr/>
      </w:pPr>
      <w:bookmarkStart w:colFirst="0" w:colLast="0" w:name="_ilj2szz6d9uw" w:id="0"/>
      <w:bookmarkEnd w:id="0"/>
      <w:hyperlink r:id="rId6">
        <w:r w:rsidDel="00000000" w:rsidR="00000000" w:rsidRPr="00000000">
          <w:rPr>
            <w:u w:val="single"/>
            <w:rtl w:val="1"/>
          </w:rPr>
          <w:t xml:space="preserve">אבני</w:t>
        </w:r>
      </w:hyperlink>
      <w:hyperlink r:id="rId7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u w:val="single"/>
            <w:rtl w:val="1"/>
          </w:rPr>
          <w:t xml:space="preserve">ראשה</w:t>
        </w:r>
      </w:hyperlink>
      <w:hyperlink r:id="rId9">
        <w:r w:rsidDel="00000000" w:rsidR="00000000" w:rsidRPr="00000000">
          <w:rPr>
            <w:u w:val="single"/>
            <w:rtl w:val="1"/>
          </w:rPr>
          <w:t xml:space="preserve">: </w:t>
        </w:r>
      </w:hyperlink>
      <w:hyperlink r:id="rId10">
        <w:r w:rsidDel="00000000" w:rsidR="00000000" w:rsidRPr="00000000">
          <w:rPr>
            <w:u w:val="single"/>
            <w:rtl w:val="1"/>
          </w:rPr>
          <w:t xml:space="preserve">חקרנות</w:t>
        </w:r>
      </w:hyperlink>
      <w:hyperlink r:id="rId11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u w:val="single"/>
            <w:rtl w:val="1"/>
          </w:rPr>
          <w:t xml:space="preserve">אמפתית</w:t>
        </w:r>
      </w:hyperlink>
      <w:hyperlink r:id="rId13">
        <w:r w:rsidDel="00000000" w:rsidR="00000000" w:rsidRPr="00000000">
          <w:rPr>
            <w:u w:val="single"/>
            <w:rtl w:val="1"/>
          </w:rPr>
          <w:t xml:space="preserve">- </w:t>
        </w:r>
      </w:hyperlink>
      <w:hyperlink r:id="rId14">
        <w:r w:rsidDel="00000000" w:rsidR="00000000" w:rsidRPr="00000000">
          <w:rPr>
            <w:u w:val="single"/>
            <w:rtl w:val="1"/>
          </w:rPr>
          <w:t xml:space="preserve">חקר</w:t>
        </w:r>
      </w:hyperlink>
      <w:hyperlink r:id="rId15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u w:val="single"/>
            <w:rtl w:val="1"/>
          </w:rPr>
          <w:t xml:space="preserve">פרקטיקה</w:t>
        </w:r>
      </w:hyperlink>
      <w:hyperlink r:id="rId17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u w:val="single"/>
            <w:rtl w:val="1"/>
          </w:rPr>
          <w:t xml:space="preserve">אמפתי</w:t>
        </w:r>
      </w:hyperlink>
      <w:hyperlink r:id="rId19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u w:val="single"/>
            <w:rtl w:val="1"/>
          </w:rPr>
          <w:t xml:space="preserve">לביסוס</w:t>
        </w:r>
      </w:hyperlink>
      <w:hyperlink r:id="rId21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u w:val="single"/>
            <w:rtl w:val="1"/>
          </w:rPr>
          <w:t xml:space="preserve">סמכות</w:t>
        </w:r>
      </w:hyperlink>
      <w:hyperlink r:id="rId23">
        <w:r w:rsidDel="00000000" w:rsidR="00000000" w:rsidRPr="00000000">
          <w:rPr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u w:val="single"/>
            <w:rtl w:val="1"/>
          </w:rPr>
          <w:t xml:space="preserve">מצמיחה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32"/>
          <w:szCs w:val="32"/>
        </w:rPr>
      </w:pPr>
      <w:hyperlink r:id="rId25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https://avneyrosha.org.il/resources/article/empathic-inquiry/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vneyrosha.org.il/resources/article/empathic-inquiry/" TargetMode="External"/><Relationship Id="rId22" Type="http://schemas.openxmlformats.org/officeDocument/2006/relationships/hyperlink" Target="https://avneyrosha.org.il/resources/article/empathic-inquiry/" TargetMode="External"/><Relationship Id="rId21" Type="http://schemas.openxmlformats.org/officeDocument/2006/relationships/hyperlink" Target="https://avneyrosha.org.il/resources/article/empathic-inquiry/" TargetMode="External"/><Relationship Id="rId24" Type="http://schemas.openxmlformats.org/officeDocument/2006/relationships/hyperlink" Target="https://avneyrosha.org.il/resources/article/empathic-inquiry/" TargetMode="External"/><Relationship Id="rId23" Type="http://schemas.openxmlformats.org/officeDocument/2006/relationships/hyperlink" Target="https://avneyrosha.org.il/resources/article/empathic-inquir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vneyrosha.org.il/resources/article/empathic-inquiry/" TargetMode="External"/><Relationship Id="rId25" Type="http://schemas.openxmlformats.org/officeDocument/2006/relationships/hyperlink" Target="https://avneyrosha.org.il/resources/article/empathic-inquiry/" TargetMode="External"/><Relationship Id="rId5" Type="http://schemas.openxmlformats.org/officeDocument/2006/relationships/styles" Target="styles.xml"/><Relationship Id="rId6" Type="http://schemas.openxmlformats.org/officeDocument/2006/relationships/hyperlink" Target="https://avneyrosha.org.il/resources/article/empathic-inquiry/" TargetMode="External"/><Relationship Id="rId7" Type="http://schemas.openxmlformats.org/officeDocument/2006/relationships/hyperlink" Target="https://avneyrosha.org.il/resources/article/empathic-inquiry/" TargetMode="External"/><Relationship Id="rId8" Type="http://schemas.openxmlformats.org/officeDocument/2006/relationships/hyperlink" Target="https://avneyrosha.org.il/resources/article/empathic-inquiry/" TargetMode="External"/><Relationship Id="rId11" Type="http://schemas.openxmlformats.org/officeDocument/2006/relationships/hyperlink" Target="https://avneyrosha.org.il/resources/article/empathic-inquiry/" TargetMode="External"/><Relationship Id="rId10" Type="http://schemas.openxmlformats.org/officeDocument/2006/relationships/hyperlink" Target="https://avneyrosha.org.il/resources/article/empathic-inquiry/" TargetMode="External"/><Relationship Id="rId13" Type="http://schemas.openxmlformats.org/officeDocument/2006/relationships/hyperlink" Target="https://avneyrosha.org.il/resources/article/empathic-inquiry/" TargetMode="External"/><Relationship Id="rId12" Type="http://schemas.openxmlformats.org/officeDocument/2006/relationships/hyperlink" Target="https://avneyrosha.org.il/resources/article/empathic-inquiry/" TargetMode="External"/><Relationship Id="rId15" Type="http://schemas.openxmlformats.org/officeDocument/2006/relationships/hyperlink" Target="https://avneyrosha.org.il/resources/article/empathic-inquiry/" TargetMode="External"/><Relationship Id="rId14" Type="http://schemas.openxmlformats.org/officeDocument/2006/relationships/hyperlink" Target="https://avneyrosha.org.il/resources/article/empathic-inquiry/" TargetMode="External"/><Relationship Id="rId17" Type="http://schemas.openxmlformats.org/officeDocument/2006/relationships/hyperlink" Target="https://avneyrosha.org.il/resources/article/empathic-inquiry/" TargetMode="External"/><Relationship Id="rId16" Type="http://schemas.openxmlformats.org/officeDocument/2006/relationships/hyperlink" Target="https://avneyrosha.org.il/resources/article/empathic-inquiry/" TargetMode="External"/><Relationship Id="rId19" Type="http://schemas.openxmlformats.org/officeDocument/2006/relationships/hyperlink" Target="https://avneyrosha.org.il/resources/article/empathic-inquiry/" TargetMode="External"/><Relationship Id="rId18" Type="http://schemas.openxmlformats.org/officeDocument/2006/relationships/hyperlink" Target="https://avneyrosha.org.il/resources/article/empathic-inqui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