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BCSE497J Project-I — Outcome Report</w:t>
      </w:r>
    </w:p>
    <w:p>
      <w:pPr>
        <w:jc w:val="center"/>
      </w:pPr>
      <w:r>
        <w:rPr>
          <w:rFonts w:ascii="Times New Roman" w:hAnsi="Times New Roman"/>
          <w:b/>
          <w:sz w:val="26"/>
        </w:rPr>
        <w:t>Retrieval-Augmented Cold-Start Risk Prediction for Serverless Computing</w:t>
      </w:r>
    </w:p>
    <w:p>
      <w:pPr>
        <w:jc w:val="center"/>
      </w:pPr>
      <w:r>
        <w:rPr>
          <w:rFonts w:ascii="Times New Roman" w:hAnsi="Times New Roman"/>
          <w:sz w:val="22"/>
        </w:rPr>
        <w:t>Team 15785UG03 — Parth Goyal (23BCE0411), Saanvi Sharma (23BDS0064) — Guide: Dr. Narayanan Prashanth</w:t>
      </w:r>
    </w:p>
    <w:p>
      <w:pPr>
        <w:spacing w:before="240" w:line="360" w:lineRule="auto"/>
      </w:pPr>
      <w:r>
        <w:rPr>
          <w:rFonts w:ascii="Times New Roman" w:hAnsi="Times New Roman"/>
          <w:b/>
          <w:sz w:val="28"/>
        </w:rPr>
        <w:t>1. What was claimed at Review-1</w:t>
      </w:r>
    </w:p>
    <w:p>
      <w:pPr>
        <w:spacing w:line="276" w:lineRule="auto"/>
        <w:jc w:val="both"/>
      </w:pPr>
      <w:r>
        <w:rPr>
          <w:rFonts w:ascii="Times New Roman" w:hAnsi="Times New Roman"/>
          <w:sz w:val="24"/>
        </w:rPr>
        <w:t>That a serverless scheduler would make better keep-alive decisions if given an explicit episodic memory of past workload situations, retrieved by similarity and used to predict cold-start risk. Review-1 committed to evaluating that on the Azure Functions 2019 production trace against the hybrid histogram policy deployed in Azure.</w:t>
      </w:r>
    </w:p>
    <w:p>
      <w:pPr>
        <w:spacing w:before="240" w:line="360" w:lineRule="auto"/>
      </w:pPr>
      <w:r>
        <w:rPr>
          <w:rFonts w:ascii="Times New Roman" w:hAnsi="Times New Roman"/>
          <w:b/>
          <w:sz w:val="28"/>
        </w:rPr>
        <w:t>2. What was built</w:t>
      </w:r>
    </w:p>
    <w:p>
      <w:pPr>
        <w:pStyle w:val="ListBullet"/>
        <w:spacing w:line="276" w:lineRule="auto"/>
      </w:pPr>
      <w:r>
        <w:rPr>
          <w:rFonts w:ascii="Times New Roman" w:hAnsi="Times New Roman"/>
          <w:sz w:val="24"/>
        </w:rPr>
        <w:t>A minute-tick serverless simulator, implemented twice (an explicit loop and an array-algebra version) and pinned to itself by randomised equivalence testing over fifty traces. Thirty-four tests in total, covering causality, accounting, and each estimator's limiting behaviour.</w:t>
      </w:r>
    </w:p>
    <w:p>
      <w:pPr>
        <w:pStyle w:val="ListBullet"/>
        <w:spacing w:line="276" w:lineRule="auto"/>
      </w:pPr>
      <w:r>
        <w:rPr>
          <w:rFonts w:ascii="Times New Roman" w:hAnsi="Times New Roman"/>
          <w:sz w:val="24"/>
        </w:rPr>
        <w:t>A faithful reimplementation of the ATC'20 hybrid histogram policy, including its ARIMA-style fallback, verified by reproducing the paper's central claim that it Pareto-dominates the fixed keep-alive family.</w:t>
      </w:r>
    </w:p>
    <w:p>
      <w:pPr>
        <w:pStyle w:val="ListBullet"/>
        <w:spacing w:line="276" w:lineRule="auto"/>
      </w:pPr>
      <w:r>
        <w:rPr>
          <w:rFonts w:ascii="Times New Roman" w:hAnsi="Times New Roman"/>
          <w:sz w:val="24"/>
        </w:rPr>
        <w:t>A full retrieval stack: situation encoder, episodic memory bank, FAISS similarity index, cross-attention fusion and calibration, together with the controls needed to interpret it.</w:t>
      </w:r>
    </w:p>
    <w:p>
      <w:pPr>
        <w:pStyle w:val="ListBullet"/>
        <w:spacing w:line="276" w:lineRule="auto"/>
      </w:pPr>
      <w:r>
        <w:rPr>
          <w:rFonts w:ascii="Times New Roman" w:hAnsi="Times New Roman"/>
          <w:sz w:val="24"/>
        </w:rPr>
        <w:t>An information audit that measures, model-free, how much of an application's next idle gap is predictable from each observable context.</w:t>
      </w:r>
    </w:p>
    <w:p>
      <w:pPr>
        <w:pStyle w:val="ListBullet"/>
        <w:spacing w:line="276" w:lineRule="auto"/>
      </w:pPr>
      <w:r>
        <w:rPr>
          <w:rFonts w:ascii="Times New Roman" w:hAnsi="Times New Roman"/>
          <w:sz w:val="24"/>
        </w:rPr>
        <w:t>The final estimator: a per-state conditional idle-gap histogram, partially pooled towards the marginal.</w:t>
      </w:r>
    </w:p>
    <w:p>
      <w:pPr>
        <w:pStyle w:val="ListBullet"/>
        <w:spacing w:line="276" w:lineRule="auto"/>
      </w:pPr>
      <w:r>
        <w:rPr>
          <w:rFonts w:ascii="Times New Roman" w:hAnsi="Times New Roman"/>
          <w:sz w:val="24"/>
        </w:rPr>
        <w:t>An offline web demonstration served entirely from precomputed artefacts.</w:t>
      </w:r>
    </w:p>
    <w:p>
      <w:pPr>
        <w:spacing w:before="240" w:line="360" w:lineRule="auto"/>
      </w:pPr>
      <w:r>
        <w:rPr>
          <w:rFonts w:ascii="Times New Roman" w:hAnsi="Times New Roman"/>
          <w:b/>
          <w:sz w:val="28"/>
        </w:rPr>
        <w:t>3. What was measured</w:t>
      </w:r>
    </w:p>
    <w:p>
      <w:pPr>
        <w:spacing w:line="276" w:lineRule="auto"/>
        <w:jc w:val="both"/>
      </w:pPr>
      <w:r>
        <w:rPr>
          <w:rFonts w:ascii="Times New Roman" w:hAnsi="Times New Roman"/>
          <w:sz w:val="24"/>
        </w:rPr>
        <w:t>Dataset: 24,274 applications x 20,160 minutes, 12.50 billion invocations. The parse reproduces the published characterisation (82.3% of applications invoked at most once per minute on average, against approximately 81% reported).</w:t>
      </w:r>
    </w:p>
    <w:p>
      <w:pPr>
        <w:spacing w:line="276" w:lineRule="auto"/>
        <w:jc w:val="both"/>
      </w:pPr>
      <w:r>
        <w:rPr>
          <w:rFonts w:ascii="Times New Roman" w:hAnsi="Times New Roman"/>
          <w:sz w:val="24"/>
        </w:rPr>
        <w:t>Baseline established: the ATC'20 hybrid histogram incurs 22,359 cold starts for 336,198 idle GB-minutes, against 26,443 cold starts for 505,408 GB-minutes for a twenty-minute fixed window - fewer cold starts at roughly two thirds of the memory cost, which is the property the paper claims and which our reimplementation therefore reproduces.</w:t>
      </w:r>
    </w:p>
    <w:p>
      <w:pPr>
        <w:spacing w:line="276" w:lineRule="auto"/>
        <w:jc w:val="both"/>
      </w:pPr>
      <w:r>
        <w:rPr>
          <w:rFonts w:ascii="Times New Roman" w:hAnsi="Times New Roman"/>
          <w:sz w:val="24"/>
        </w:rPr>
        <w:t>Information audit (264 applications, median gap entropy 1.242 bits):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9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Context</w:t>
            </w:r>
          </w:p>
        </w:tc>
        <w:tc>
          <w:tcPr>
            <w:tcW w:type="dxa" w:w="345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% of the next gap entropy explained</w:t>
            </w:r>
          </w:p>
        </w:tc>
      </w:tr>
      <w:tr>
        <w:tc>
          <w:tcPr>
            <w:tcW w:type="dxa" w:w="489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previous gap</w:t>
            </w:r>
          </w:p>
        </w:tc>
        <w:tc>
          <w:tcPr>
            <w:tcW w:type="dxa" w:w="345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11.0%</w:t>
            </w:r>
          </w:p>
        </w:tc>
      </w:tr>
      <w:tr>
        <w:tc>
          <w:tcPr>
            <w:tcW w:type="dxa" w:w="489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recent 5-min activity</w:t>
            </w:r>
          </w:p>
        </w:tc>
        <w:tc>
          <w:tcPr>
            <w:tcW w:type="dxa" w:w="345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8.6%</w:t>
            </w:r>
          </w:p>
        </w:tc>
      </w:tr>
      <w:tr>
        <w:tc>
          <w:tcPr>
            <w:tcW w:type="dxa" w:w="489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time of day</w:t>
            </w:r>
          </w:p>
        </w:tc>
        <w:tc>
          <w:tcPr>
            <w:tcW w:type="dxa" w:w="345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7.6%</w:t>
            </w:r>
          </w:p>
        </w:tc>
      </w:tr>
      <w:tr>
        <w:tc>
          <w:tcPr>
            <w:tcW w:type="dxa" w:w="489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recent 60-min activity</w:t>
            </w:r>
          </w:p>
        </w:tc>
        <w:tc>
          <w:tcPr>
            <w:tcW w:type="dxa" w:w="345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5.5%</w:t>
            </w:r>
          </w:p>
        </w:tc>
      </w:tr>
      <w:tr>
        <w:tc>
          <w:tcPr>
            <w:tcW w:type="dxa" w:w="489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day of week</w:t>
            </w:r>
          </w:p>
        </w:tc>
        <w:tc>
          <w:tcPr>
            <w:tcW w:type="dxa" w:w="345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3.7%</w:t>
            </w:r>
          </w:p>
        </w:tc>
      </w:tr>
      <w:tr>
        <w:tc>
          <w:tcPr>
            <w:tcW w:type="dxa" w:w="489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burst level (24 h)</w:t>
            </w:r>
          </w:p>
        </w:tc>
        <w:tc>
          <w:tcPr>
            <w:tcW w:type="dxa" w:w="345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489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irreducible from all of the above</w:t>
            </w:r>
          </w:p>
        </w:tc>
        <w:tc>
          <w:tcPr>
            <w:tcW w:type="dxa" w:w="345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89%</w:t>
            </w:r>
          </w:p>
        </w:tc>
      </w:tr>
    </w:tbl>
    <w:p>
      <w:pPr>
        <w:spacing w:before="240" w:line="360" w:lineRule="auto"/>
      </w:pPr>
      <w:r>
        <w:rPr>
          <w:rFonts w:ascii="Times New Roman" w:hAnsi="Times New Roman"/>
          <w:b/>
          <w:sz w:val="28"/>
        </w:rPr>
        <w:t>4. The result</w:t>
      </w:r>
    </w:p>
    <w:p>
      <w:pPr>
        <w:spacing w:line="276" w:lineRule="auto"/>
        <w:jc w:val="both"/>
      </w:pPr>
      <w:r>
        <w:rPr>
          <w:rFonts w:ascii="Times New Roman" w:hAnsi="Times New Roman"/>
          <w:sz w:val="24"/>
        </w:rPr>
        <w:t>Conditioning the deployed policy's own estimator on the length of the gap that just closed reduces cold starts by a median 21.4% at MATCHED memory cost (range 14.8% to 27.3% across the baseline's operating points), on 1,999 applications over the held-out test days. A random key with the same number of cells changes the result by -0.2%, so the gain is the conditioning and not the data split.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Memory budget (idle GB-min)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ATC'20 marginal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Conditioned (ours)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Reduction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Random key (control)</w:t>
            </w:r>
          </w:p>
        </w:tc>
      </w:tr>
      <w:tr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235,172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197,089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167,823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+14.8%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+0.7%</w:t>
            </w:r>
          </w:p>
        </w:tc>
      </w:tr>
      <w:tr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274,305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136,411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107,173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+21.4%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-0.2%</w:t>
            </w:r>
          </w:p>
        </w:tc>
      </w:tr>
      <w:tr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314,927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73,780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58,452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+20.8%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-1.0%</w:t>
            </w:r>
          </w:p>
        </w:tc>
      </w:tr>
      <w:tr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350,695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44,026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32,755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+25.6%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+1.3%</w:t>
            </w:r>
          </w:p>
        </w:tc>
      </w:tr>
      <w:tr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381,101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26,430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19,212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+27.3%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-0.1%</w:t>
            </w:r>
          </w:p>
        </w:tc>
      </w:tr>
      <w:tr>
        <w:tc>
          <w:tcPr>
            <w:tcW w:type="dxa" w:w="230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425,747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11,719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-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-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19"/>
              </w:rPr>
              <w:t>-3.0%</w:t>
            </w:r>
          </w:p>
        </w:tc>
      </w:tr>
    </w:tbl>
    <w:p>
      <w:pPr>
        <w:spacing w:line="276" w:lineRule="auto"/>
        <w:jc w:val="both"/>
      </w:pPr>
      <w:r>
        <w:rPr>
          <w:rFonts w:ascii="Times New Roman" w:hAnsi="Times New Roman"/>
          <w:sz w:val="24"/>
        </w:rPr>
        <w:t>The deployed policy is recovered exactly as the limiting case of the estimator, so this is a strict generalisation along the conditioning axis rather than a competing heuristic.</w:t>
      </w:r>
    </w:p>
    <w:p>
      <w:pPr>
        <w:spacing w:before="240" w:line="360" w:lineRule="auto"/>
      </w:pPr>
      <w:r>
        <w:rPr>
          <w:rFonts w:ascii="Times New Roman" w:hAnsi="Times New Roman"/>
          <w:b/>
          <w:sz w:val="28"/>
        </w:rPr>
        <w:t>5. What did not work, and is reported as such</w:t>
      </w:r>
    </w:p>
    <w:p>
      <w:pPr>
        <w:pStyle w:val="ListBullet"/>
        <w:spacing w:line="276" w:lineRule="auto"/>
      </w:pPr>
      <w:r>
        <w:rPr>
          <w:rFonts w:ascii="Times New Roman" w:hAnsi="Times New Roman"/>
          <w:sz w:val="24"/>
        </w:rPr>
        <w:t>Retrieving situations across applications: null. Every application already had its own history in its features, so a shared memory was redundant by construction, and the random-memory control said so.</w:t>
      </w:r>
    </w:p>
    <w:p>
      <w:pPr>
        <w:pStyle w:val="ListBullet"/>
        <w:spacing w:line="276" w:lineRule="auto"/>
      </w:pPr>
      <w:r>
        <w:rPr>
          <w:rFonts w:ascii="Times New Roman" w:hAnsi="Times New Roman"/>
          <w:sz w:val="24"/>
        </w:rPr>
        <w:t>Borrowing idle-gap distributions across applications: loses at matched cost, and an ORACLE retriever that picks the applications whose true distribution is closest loses too. Applications are individuals.</w:t>
      </w:r>
    </w:p>
    <w:p>
      <w:pPr>
        <w:pStyle w:val="ListBullet"/>
        <w:spacing w:line="276" w:lineRule="auto"/>
      </w:pPr>
      <w:r>
        <w:rPr>
          <w:rFonts w:ascii="Times New Roman" w:hAnsi="Times New Roman"/>
          <w:sz w:val="24"/>
        </w:rPr>
        <w:t>Conditioning on a rich key (time of day, day of week, recent activity shape, k-nearest-neighbour lookup): loses. The information audit explains why - those contexts explain 4-9% of the gap's entropy, too little to pay for the variance of estimating a distribution from a few dozen neighbours.</w:t>
      </w:r>
    </w:p>
    <w:p>
      <w:pPr>
        <w:spacing w:line="276" w:lineRule="auto"/>
        <w:jc w:val="both"/>
      </w:pPr>
      <w:r>
        <w:rPr>
          <w:rFonts w:ascii="Times New Roman" w:hAnsi="Times New Roman"/>
          <w:sz w:val="24"/>
        </w:rPr>
        <w:t>Method note, reported rather than buried: controls repeatedly reversed conclusions this project would otherwise have published. A model fed RANDOM memories scored 0.9854, 0.0003 above the retrieval-augmented model's 0.9851 - indistinguishable. A no-retrieval model given the SAME number of extra training steps beat it outright (0.9862), so the advantage the architecture comparison appeared to show was extra optimisation rather than retrieval. A matched-cost sweep flipped the sign of a 38% cold-start reduction that had been bought entirely with memory. And a mechanism check compared strata at a fixed percentile and reported -149% while spending 20% less memory. Unmatched cost is the single most reliable way to be confidently wrong about a keep-alive policy, which is why every comparison reported here is a curve rather than a point. Neither the random-memory control nor the matched-cost sweep is standard practice in retrieval-augmented systems work.</w:t>
      </w:r>
    </w:p>
    <w:p>
      <w:pPr>
        <w:spacing w:before="240" w:line="360" w:lineRule="auto"/>
      </w:pPr>
      <w:r>
        <w:rPr>
          <w:rFonts w:ascii="Times New Roman" w:hAnsi="Times New Roman"/>
          <w:b/>
          <w:sz w:val="28"/>
        </w:rPr>
        <w:t>6. Outcome against the Review-1 commitments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Committed at Review-1</w:t>
            </w:r>
          </w:p>
        </w:tc>
        <w:tc>
          <w:tcPr>
            <w:tcW w:type="dxa" w:w="31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57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Cold-start mitigation formulated as risk/distribution estimation rather than invocation forecasting</w:t>
            </w:r>
          </w:p>
        </w:tc>
        <w:tc>
          <w:tcPr>
            <w:tcW w:type="dxa" w:w="31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Delivered</w:t>
            </w:r>
          </w:p>
        </w:tc>
      </w:tr>
      <w:tr>
        <w:tc>
          <w:tcPr>
            <w:tcW w:type="dxa" w:w="57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Vectorised repository of historical workload situations with similarity retrieval</w:t>
            </w:r>
          </w:p>
        </w:tc>
        <w:tc>
          <w:tcPr>
            <w:tcW w:type="dxa" w:w="31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Delivered (and evaluated; see section 5)</w:t>
            </w:r>
          </w:p>
        </w:tc>
      </w:tr>
      <w:tr>
        <w:tc>
          <w:tcPr>
            <w:tcW w:type="dxa" w:w="57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Retrieval-augmented predictor with the contribution isolated by ablation</w:t>
            </w:r>
          </w:p>
        </w:tc>
        <w:tc>
          <w:tcPr>
            <w:tcW w:type="dxa" w:w="31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Delivered; the ablation is reported honestly</w:t>
            </w:r>
          </w:p>
        </w:tc>
      </w:tr>
      <w:tr>
        <w:tc>
          <w:tcPr>
            <w:tcW w:type="dxa" w:w="57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Evaluation against histogram, LSTM and Transformer baselines on cold-start rate, latency and memory-time</w:t>
            </w:r>
          </w:p>
        </w:tc>
        <w:tc>
          <w:tcPr>
            <w:tcW w:type="dxa" w:w="31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Delivered, at matched cost</w:t>
            </w:r>
          </w:p>
        </w:tc>
      </w:tr>
      <w:tr>
        <w:tc>
          <w:tcPr>
            <w:tcW w:type="dxa" w:w="57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Improvement over the deployed policy</w:t>
            </w:r>
          </w:p>
        </w:tc>
        <w:tc>
          <w:tcPr>
            <w:tcW w:type="dxa" w:w="31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Delivered by the state-conditioned estimator</w:t>
            </w:r>
          </w:p>
        </w:tc>
      </w:tr>
    </w:tbl>
    <w:p>
      <w:pPr>
        <w:spacing w:before="240" w:line="360" w:lineRule="auto"/>
      </w:pPr>
      <w:r>
        <w:rPr>
          <w:rFonts w:ascii="Times New Roman" w:hAnsi="Times New Roman"/>
          <w:b/>
          <w:sz w:val="28"/>
        </w:rPr>
        <w:t>7. Remaining work for Project-II</w:t>
      </w:r>
    </w:p>
    <w:p>
      <w:pPr>
        <w:pStyle w:val="ListBullet"/>
        <w:spacing w:line="276" w:lineRule="auto"/>
      </w:pPr>
      <w:r>
        <w:rPr>
          <w:rFonts w:ascii="Times New Roman" w:hAnsi="Times New Roman"/>
          <w:sz w:val="24"/>
        </w:rPr>
        <w:t>Non-stationarity rather than scarcity. The audit shows an application's own recent state is the informative context; the regime where that breaks down is a change of regime - a deployment, an incident, a traffic shift - which this evaluation did not isolate and where an episodic memory has a plausible remaining role.</w:t>
      </w:r>
    </w:p>
    <w:p>
      <w:pPr>
        <w:pStyle w:val="ListBullet"/>
        <w:spacing w:line="276" w:lineRule="auto"/>
      </w:pPr>
      <w:r>
        <w:rPr>
          <w:rFonts w:ascii="Times New Roman" w:hAnsi="Times New Roman"/>
          <w:sz w:val="24"/>
        </w:rPr>
        <w:t>A hazard formulation over the idle gap rather than a binary at one horizon, which matches the decision the scheduler actually makes and does not saturate.</w:t>
      </w:r>
    </w:p>
    <w:p>
      <w:pPr>
        <w:pStyle w:val="ListBullet"/>
        <w:spacing w:line="276" w:lineRule="auto"/>
      </w:pPr>
      <w:r>
        <w:rPr>
          <w:rFonts w:ascii="Times New Roman" w:hAnsi="Times New Roman"/>
          <w:sz w:val="24"/>
        </w:rPr>
        <w:t>Multi-instance concurrency in the simulator, so that warming interacts with scaling rather than being modelled as a single instance per application.</w:t>
      </w:r>
    </w:p>
    <w:p>
      <w:pPr>
        <w:pStyle w:val="ListBullet"/>
        <w:spacing w:line="276" w:lineRule="auto"/>
      </w:pPr>
      <w:r>
        <w:rPr>
          <w:rFonts w:ascii="Times New Roman" w:hAnsi="Times New Roman"/>
          <w:sz w:val="24"/>
        </w:rPr>
        <w:t>Validation on the Huawei production trace (EuroSys 2025) to test whether the near-memorylessness of idle gaps is a property of this workload or of serverless workloads generally.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