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200"/>
        <w:jc w:val="center"/>
        <w:rPr/>
      </w:pPr>
      <w:r>
        <w:rPr>
          <w:rFonts w:eastAsia="Calibri" w:cs="Calibri"/>
          <w:b/>
          <w:bCs/>
          <w:color w:val="1F4E5F"/>
          <w:sz w:val="52"/>
          <w:szCs w:val="52"/>
        </w:rPr>
        <w:t>İHA Video Arşivinde Semantik Arama</w:t>
      </w:r>
    </w:p>
    <w:p>
      <w:pPr>
        <w:pStyle w:val="Normal"/>
        <w:spacing w:before="0" w:after="200"/>
        <w:jc w:val="center"/>
        <w:rPr/>
      </w:pPr>
      <w:r>
        <w:rPr>
          <w:rFonts w:eastAsia="Calibri" w:cs="Calibri"/>
          <w:color w:val="444444"/>
          <w:sz w:val="32"/>
          <w:szCs w:val="32"/>
        </w:rPr>
        <w:t>Hibrit Sistem Geçiş Önerisi Raporu</w:t>
      </w:r>
    </w:p>
    <w:p>
      <w:pPr>
        <w:pStyle w:val="Normal"/>
        <w:spacing w:lineRule="exact" w:line="300" w:before="0" w:after="160"/>
        <w:jc w:val="left"/>
        <w:rPr/>
      </w:pPr>
      <w:r>
        <w:rPr>
          <w:rFonts w:eastAsia="Calibri" w:cs="Calibri"/>
          <w:b/>
          <w:bCs/>
          <w:sz w:val="22"/>
          <w:szCs w:val="22"/>
        </w:rPr>
        <w:t xml:space="preserve">Konu: </w:t>
      </w:r>
      <w:r>
        <w:rPr>
          <w:rFonts w:eastAsia="Calibri" w:cs="Calibri"/>
          <w:sz w:val="22"/>
          <w:szCs w:val="22"/>
        </w:rPr>
        <w:t>Mevcut CLIP tabanlı kare-embedding arama sisteminin, telemetri destekli hibrit (filtre + video-embedding) sistemle değiştirilmesi önerisi</w:t>
      </w:r>
    </w:p>
    <w:p>
      <w:pPr>
        <w:pStyle w:val="Normal"/>
        <w:spacing w:lineRule="exact" w:line="300" w:before="0" w:after="160"/>
        <w:jc w:val="left"/>
        <w:rPr/>
      </w:pPr>
      <w:r>
        <w:rPr>
          <w:rFonts w:eastAsia="Calibri" w:cs="Calibri"/>
          <w:b/>
          <w:bCs/>
          <w:sz w:val="22"/>
          <w:szCs w:val="22"/>
        </w:rPr>
        <w:t xml:space="preserve">Kapsam: </w:t>
      </w:r>
      <w:r>
        <w:rPr>
          <w:rFonts w:eastAsia="Calibri" w:cs="Calibri"/>
          <w:sz w:val="22"/>
          <w:szCs w:val="22"/>
        </w:rPr>
        <w:t>~1,5 PB / ~300.000 saat İHA uçuş videosu (MinIO), metadata (PostgreSQL), arama ve analitik katmanı (ClickHouse)</w:t>
      </w:r>
    </w:p>
    <w:p>
      <w:pPr>
        <w:pStyle w:val="Normal"/>
        <w:spacing w:lineRule="exact" w:line="300" w:before="0" w:after="160"/>
        <w:jc w:val="left"/>
        <w:rPr/>
      </w:pPr>
      <w:r>
        <w:rPr>
          <w:rFonts w:eastAsia="Calibri" w:cs="Calibri"/>
          <w:b/>
          <w:bCs/>
          <w:sz w:val="22"/>
          <w:szCs w:val="22"/>
        </w:rPr>
        <w:t xml:space="preserve">Sistem çıktısı: </w:t>
      </w:r>
      <w:r>
        <w:rPr>
          <w:rFonts w:eastAsia="Calibri" w:cs="Calibri"/>
          <w:sz w:val="22"/>
          <w:szCs w:val="22"/>
        </w:rPr>
        <w:t>Doğal dil sorgusuna karşılık video kimliği ve zaman aralığı listesi.</w:t>
      </w:r>
      <w:r>
        <w:br w:type="page"/>
      </w:r>
    </w:p>
    <w:p>
      <w:pPr>
        <w:pStyle w:val="Normal"/>
        <w:spacing w:before="0" w:after="0"/>
        <w:rPr/>
      </w:pPr>
      <w:r>
        <w:rPr/>
      </w:r>
    </w:p>
    <w:p>
      <w:pPr>
        <w:pStyle w:val="Heading1"/>
        <w:spacing w:before="360" w:after="160"/>
        <w:rPr/>
      </w:pPr>
      <w:r>
        <w:rPr/>
        <w:t>1. Özet</w:t>
      </w:r>
    </w:p>
    <w:p>
      <w:pPr>
        <w:pStyle w:val="Normal"/>
        <w:spacing w:lineRule="exact" w:line="300" w:before="0" w:after="160"/>
        <w:jc w:val="both"/>
        <w:rPr/>
      </w:pPr>
      <w:r>
        <w:rPr>
          <w:rFonts w:eastAsia="Calibri" w:cs="Calibri"/>
          <w:sz w:val="22"/>
          <w:szCs w:val="22"/>
        </w:rPr>
        <w:t>Mevcut sistem, videoları saniyede bir kare CLIP embedding'iyle temsil etmekte ve tüm sorgu yükünü tek bir semantik vektör katmanına yüklemektedir. Önerilen hibrit sistem üç temel değişiklik getirmektedir: kare yerine 8 saniyelik klip embedding'i (temporal modelleme eklenmiş açık model, X-CLIP), telemetriden otomatik türetilen deterministik filtre kolonları (hız, güneş açısı, deniz/kara, irtifa, sensör tipi vb.) ve sorguyu bu iki katmana paylaştıran bir LLM ayrıştırıcı.</w:t>
      </w:r>
    </w:p>
    <w:p>
      <w:pPr>
        <w:pStyle w:val="Normal"/>
        <w:pBdr>
          <w:left w:val="single" w:sz="18" w:space="8" w:color="2E6E85"/>
        </w:pBdr>
        <w:shd w:val="clear" w:fill="F2F6F8"/>
        <w:spacing w:lineRule="exact" w:line="280" w:before="0" w:after="160"/>
        <w:ind w:left="120"/>
        <w:jc w:val="both"/>
        <w:rPr/>
      </w:pPr>
      <w:r>
        <w:rPr>
          <w:rFonts w:eastAsia="Calibri" w:cs="Calibri"/>
          <w:b/>
          <w:bCs/>
          <w:i/>
          <w:iCs/>
          <w:sz w:val="20"/>
          <w:szCs w:val="20"/>
        </w:rPr>
        <w:t xml:space="preserve">Terminoloji notu: </w:t>
      </w:r>
      <w:r>
        <w:rPr>
          <w:rFonts w:eastAsia="Calibri" w:cs="Calibri"/>
          <w:i/>
          <w:iCs/>
          <w:sz w:val="20"/>
          <w:szCs w:val="20"/>
        </w:rPr>
        <w:t>Mevcut sistemin kullandığı düz kare-bazlı CLIP ile önerilen sistemin kullandığı X-CLIP aynı davranmaz. X-CLIP, CLIP'in görüntü-metin temsiline çapraz-kare dikkat (cross-frame attention) katmanı ekleyerek kareler arasındaki zamansal ilişkiyi (hareket, yön değişimi) modelleyebilir; düz kare-bazlı CLIP bunu yapamaz, her kareyi birbirinden bağımsız değerlendirir. İsim benzerliği bir uygulama tuzağı da barındırır: HuggingFace'teki "microsoft/xclip" modeli Kinetics video sınıflandırması için eğitilmiştir ve retrieval için tasarlanmamıştır; önerilen model, Ma vd. (2022) tarafından tanımlanan ve retrieval'a özel çoklu-granülerlik kontrastif mimariyi (AOSM modülü) kullanan orijinal X-CLIP'tir (MIT lisanslı, github.com/xuguohai/X-CLIP).</w:t>
      </w:r>
    </w:p>
    <w:p>
      <w:pPr>
        <w:pStyle w:val="Normal"/>
        <w:spacing w:lineRule="exact" w:line="300" w:before="0" w:after="160"/>
        <w:jc w:val="both"/>
        <w:rPr/>
      </w:pPr>
      <w:r>
        <w:rPr>
          <w:rFonts w:eastAsia="Calibri" w:cs="Calibri"/>
          <w:sz w:val="22"/>
          <w:szCs w:val="22"/>
        </w:rPr>
        <w:t>Sayısal özet: sıcak arama katmanı 1.875 GB'den ~343 GB'ye iner (yaklaşık 5,5 kat; X-CLIP'in 512 boyutlu vektörü sayesinde önceki tahminden de küçük), bileşik sorgularda beklenen isabet mevcut sistemin %30-50 bandına göre yapısal olarak üstün kalır, sayısal/eşikli sorgular ("200 km/s üstü", "500 m altı") ilk kez cevaplanabilir hale gelir. Bedeli, tek seferlik ingest maliyetinde artış ve işletilecek bileşen sayısında artıştır. Sıkıştırma uygulandığında hibrit sistemin sıcak RAM ihtiyacı ~17 GB'a kadar düşerken doğruluk garantilerinin ana taşıyıcısı (SQL filtreleri) kayıpsız kaldığı için isabet kaybı yalnızca semantik artık katmanında kalır; mevcut sistemde ise aynı sıkıştırma, doğruluğun tamamını taşıyan tek katmanı inceltir.</w:t>
      </w:r>
    </w:p>
    <w:p>
      <w:pPr>
        <w:pStyle w:val="Normal"/>
        <w:spacing w:lineRule="exact" w:line="300" w:before="0" w:after="160"/>
        <w:jc w:val="both"/>
        <w:rPr/>
      </w:pPr>
      <w:r>
        <w:rPr>
          <w:rFonts w:eastAsia="Calibri" w:cs="Calibri"/>
          <w:sz w:val="22"/>
          <w:szCs w:val="22"/>
        </w:rPr>
        <w:t>Öneri: X-CLIP'in kendi altın setinizle doğrulanmasıyla başlayan, çift kolonlu kademeli geçiş sonunda mevcut CLIP katmanının emekli edilmesidir. Bu sürümdeki model değişikliğinin kendisi, raporun önerdiği doğrulama disiplininin (altın set gate) neden atlanmaması gerektiğinin somut bir kanıtıdır.</w:t>
      </w:r>
    </w:p>
    <w:p>
      <w:pPr>
        <w:pStyle w:val="Heading1"/>
        <w:spacing w:before="360" w:after="160"/>
        <w:rPr/>
      </w:pPr>
      <w:r>
        <w:rPr/>
        <w:t>2. Önerilen Sistemin Baştan Sona Çalışışı</w:t>
      </w:r>
    </w:p>
    <w:p>
      <w:pPr>
        <w:pStyle w:val="Heading2"/>
        <w:spacing w:before="280" w:after="120"/>
        <w:rPr/>
      </w:pPr>
      <w:r>
        <w:rPr/>
        <w:t>2.1 Veri girişi (ingest)</w:t>
      </w:r>
    </w:p>
    <w:p>
      <w:pPr>
        <w:pStyle w:val="Normal"/>
        <w:spacing w:lineRule="exact" w:line="300" w:before="0" w:after="160"/>
        <w:jc w:val="both"/>
        <w:rPr/>
      </w:pPr>
      <w:r>
        <w:rPr>
          <w:rFonts w:eastAsia="Calibri" w:cs="Calibri"/>
          <w:sz w:val="22"/>
          <w:szCs w:val="22"/>
        </w:rPr>
        <w:t>Yeni video MinIO'ya düştüğünde bucket notification → Kafka → Temporal workflow tetiklenir. Workflow beş aktiviteden oluşur ve her aktivitenin ilerlemesi checkpoint'lenir; çöken bir GPU işi kaldığı pencereden başka bir node'da devam eder (heartbeat mekanizması). Bu, yüz binlerce saatlik backfill'de haftalar mertebesinde fark yaratan bir dayanıklılık özelliğidir.</w:t>
      </w:r>
    </w:p>
    <w:p>
      <w:pPr>
        <w:pStyle w:val="Normal"/>
        <w:spacing w:lineRule="exact" w:line="300" w:before="0" w:after="160"/>
        <w:jc w:val="both"/>
        <w:rPr/>
      </w:pPr>
      <w:r>
        <w:rPr>
          <w:rFonts w:eastAsia="Calibri" w:cs="Calibri"/>
          <w:b/>
          <w:bCs/>
          <w:sz w:val="22"/>
          <w:szCs w:val="22"/>
        </w:rPr>
        <w:t xml:space="preserve">Aktivite 1: Model proxy'si (ffmpeg + NVDEC): </w:t>
      </w:r>
      <w:r>
        <w:rPr>
          <w:rFonts w:eastAsia="Calibri" w:cs="Calibri"/>
          <w:sz w:val="22"/>
          <w:szCs w:val="22"/>
        </w:rPr>
        <w:t>Orijinal video bir kez okunarak 240-360p HEVC "model proxy'si" üretilir. Bu kopya insan izlemesi için değil, model tüketimi (embedding, detektör, rerank) ve gelecekteki backfill'lerin ~10 kat ucuz decode'u içindir. Kalıcı tutulması opsiyoneldir (bkz. Bölüm 5.3).</w:t>
      </w:r>
    </w:p>
    <w:p>
      <w:pPr>
        <w:pStyle w:val="Normal"/>
        <w:spacing w:lineRule="exact" w:line="300" w:before="0" w:after="160"/>
        <w:jc w:val="both"/>
        <w:rPr/>
      </w:pPr>
      <w:r>
        <w:rPr>
          <w:rFonts w:eastAsia="Calibri" w:cs="Calibri"/>
          <w:b/>
          <w:bCs/>
          <w:sz w:val="22"/>
          <w:szCs w:val="22"/>
        </w:rPr>
        <w:t xml:space="preserve">Aktivite 2: Telemetri işleme (pymavlink + polars + astral + Shapely): </w:t>
      </w:r>
      <w:r>
        <w:rPr>
          <w:rFonts w:eastAsia="Calibri" w:cs="Calibri"/>
          <w:sz w:val="22"/>
          <w:szCs w:val="22"/>
        </w:rPr>
        <w:t>Uçuş logu ayrıştırılır; video 8 sn pencere / 4 sn kaydırma ile klip pencerelerine bölünür ve her pencere için türetilmiş alanlar otomatik hesaplanır: ortalama hız, yerden yükseklik, güneş yükseklik açısı, deniz/kara durumu, sensör tipi. Ham telemetri özeti de satıra yazılır. Hiçbir alan elle girilmez.</w:t>
      </w:r>
    </w:p>
    <w:p>
      <w:pPr>
        <w:pStyle w:val="Normal"/>
        <w:spacing w:lineRule="exact" w:line="300" w:before="0" w:after="160"/>
        <w:jc w:val="both"/>
        <w:rPr/>
      </w:pPr>
      <w:r>
        <w:rPr>
          <w:rFonts w:eastAsia="Calibri" w:cs="Calibri"/>
          <w:b/>
          <w:bCs/>
          <w:sz w:val="22"/>
          <w:szCs w:val="22"/>
        </w:rPr>
        <w:t xml:space="preserve">Aktivite 3: Klip embedding (X-CLIP, Triton üzerinde): </w:t>
      </w:r>
      <w:r>
        <w:rPr>
          <w:rFonts w:eastAsia="Calibri" w:cs="Calibri"/>
          <w:sz w:val="22"/>
          <w:szCs w:val="22"/>
        </w:rPr>
        <w:t>Her 8 sn'lik pencereden örneklenen kareler, çapraz-kare dikkat katmanından geçirilerek 512 boyutlu tek vektöre dönüştürülür. Metin ve video aynı uzaya gömülür; "takip eden", "alçalan" gibi hareket kavramlarının kısmen temsil edilebilmesi, düz kare-bazlı CLIP'e karşı temel farktır. Triton, embedding modelini (autoregressive olmayan, ileri-beslemeli bir kodlayıcı) servisler; bu görev vLLM/SGLang'ın alanına girmez, onlar metin üretimi yapan LLM/VLM'ler için kullanılır (bkz. Bölüm 3.3.3).</w:t>
      </w:r>
    </w:p>
    <w:p>
      <w:pPr>
        <w:pStyle w:val="Normal"/>
        <w:spacing w:lineRule="exact" w:line="300" w:before="0" w:after="160"/>
        <w:jc w:val="both"/>
        <w:rPr/>
      </w:pPr>
      <w:r>
        <w:rPr>
          <w:rFonts w:eastAsia="Calibri" w:cs="Calibri"/>
          <w:b/>
          <w:bCs/>
          <w:sz w:val="22"/>
          <w:szCs w:val="22"/>
        </w:rPr>
        <w:t xml:space="preserve">(Opsiyonel) Aktivite 3.5: Terfi etmiş görsel alanlar (YOLO26, IR fine-tune): </w:t>
      </w:r>
      <w:r>
        <w:rPr>
          <w:rFonts w:eastAsia="Calibri" w:cs="Calibri"/>
          <w:sz w:val="22"/>
          <w:szCs w:val="22"/>
        </w:rPr>
        <w:t>Sorgu loglarından sık talep gördüğü tespit edilen ve deterministik çözülebilen görsel kavramlar (örn. araç sayısı) hafif detektörlerle kolonlaştırılır. Katalog, kullanım verisine göre organik büyür.</w:t>
      </w:r>
    </w:p>
    <w:p>
      <w:pPr>
        <w:pStyle w:val="Normal"/>
        <w:spacing w:lineRule="exact" w:line="300" w:before="0" w:after="160"/>
        <w:jc w:val="both"/>
        <w:rPr/>
      </w:pPr>
      <w:r>
        <w:rPr>
          <w:rFonts w:eastAsia="Calibri" w:cs="Calibri"/>
          <w:b/>
          <w:bCs/>
          <w:sz w:val="22"/>
          <w:szCs w:val="22"/>
        </w:rPr>
        <w:t xml:space="preserve">Aktivite 4: Seçici caption (Qwen2.5-VL, vLLM): </w:t>
      </w:r>
      <w:r>
        <w:rPr>
          <w:rFonts w:eastAsia="Calibri" w:cs="Calibri"/>
          <w:sz w:val="22"/>
          <w:szCs w:val="22"/>
        </w:rPr>
        <w:t>ffmpeg sahne değişim skoru yüksek ~%10'luk "olay pencerelerine" kısa metin açıklama üretilir; hibrit (vektör + tam metin) aramada ve sonuç açıklanabilirliğinde kullanılır.</w:t>
      </w:r>
    </w:p>
    <w:p>
      <w:pPr>
        <w:pStyle w:val="Normal"/>
        <w:spacing w:lineRule="exact" w:line="300" w:before="0" w:after="160"/>
        <w:jc w:val="both"/>
        <w:rPr/>
      </w:pPr>
      <w:r>
        <w:rPr>
          <w:rFonts w:eastAsia="Calibri" w:cs="Calibri"/>
          <w:b/>
          <w:bCs/>
          <w:sz w:val="22"/>
          <w:szCs w:val="22"/>
        </w:rPr>
        <w:t xml:space="preserve">Aktivite 5: Yazım: </w:t>
      </w:r>
      <w:r>
        <w:rPr>
          <w:rFonts w:eastAsia="Calibri" w:cs="Calibri"/>
          <w:sz w:val="22"/>
          <w:szCs w:val="22"/>
        </w:rPr>
        <w:t>Tüm alanlar tek satır halinde ClickHouse clips tablosuna girer: (video_id, t_start, t_end, embedding, sensor_type, avg_speed_kmh, sun_elevation, over_sea, agl_m, vehicle_count, caption, ham telemetri...). Vektör üzerinde HNSW (vector_similarity) indeksi bulunur. PostgreSQL'de ingest durumu kapatılır.</w:t>
      </w:r>
    </w:p>
    <w:p>
      <w:pPr>
        <w:pStyle w:val="Heading2"/>
        <w:spacing w:before="280" w:after="120"/>
        <w:rPr/>
      </w:pPr>
      <w:r>
        <w:rPr/>
        <w:t>2.2 Sorgu akışı</w:t>
      </w:r>
    </w:p>
    <w:p>
      <w:pPr>
        <w:pStyle w:val="Normal"/>
        <w:spacing w:lineRule="exact" w:line="300" w:before="0" w:after="160"/>
        <w:jc w:val="both"/>
        <w:rPr/>
      </w:pPr>
      <w:r>
        <w:rPr>
          <w:rFonts w:eastAsia="Calibri" w:cs="Calibri"/>
          <w:b/>
          <w:bCs/>
          <w:sz w:val="22"/>
          <w:szCs w:val="22"/>
        </w:rPr>
        <w:t xml:space="preserve">Örnek sorgu: </w:t>
      </w:r>
      <w:r>
        <w:rPr>
          <w:rFonts w:eastAsia="Calibri" w:cs="Calibri"/>
          <w:i/>
          <w:iCs/>
          <w:sz w:val="22"/>
          <w:szCs w:val="22"/>
        </w:rPr>
        <w:t>"Gece kızılötesi kamerayla, alçak irtifadan, yolda ilerleyen bir araç konvoyunu takip eden görüntüler."</w:t>
      </w:r>
    </w:p>
    <w:p>
      <w:pPr>
        <w:pStyle w:val="Normal"/>
        <w:spacing w:lineRule="exact" w:line="300" w:before="0" w:after="160"/>
        <w:jc w:val="both"/>
        <w:rPr/>
      </w:pPr>
      <w:r>
        <w:rPr>
          <w:rFonts w:eastAsia="Calibri" w:cs="Calibri"/>
          <w:b/>
          <w:bCs/>
          <w:sz w:val="22"/>
          <w:szCs w:val="22"/>
        </w:rPr>
        <w:t xml:space="preserve">Adım 1: LLM ayrıştırma (Qwen 14B + xgrammar şema zorlama): </w:t>
      </w:r>
      <w:r>
        <w:rPr>
          <w:rFonts w:eastAsia="Calibri" w:cs="Calibri"/>
          <w:sz w:val="22"/>
          <w:szCs w:val="22"/>
        </w:rPr>
        <w:t>Sorgu, alan kataloğunu içeren prompt ile yapısal filtrelere ve semantik artığa ayrılır. Katalogda karşılığı olmayan kavramlar hata üretmez; olduğu gibi semantik aramaya düşer, filtreler bir optimizasyon ve kesinlik katmanıdır, zorunluluk değildir.</w:t>
      </w:r>
    </w:p>
    <w:p>
      <w:pPr>
        <w:pStyle w:val="Normal"/>
        <w:spacing w:lineRule="exact" w:line="300" w:before="0" w:after="160"/>
        <w:jc w:val="both"/>
        <w:rPr/>
      </w:pPr>
      <w:r>
        <w:rPr>
          <w:rFonts w:eastAsia="Calibri" w:cs="Calibri"/>
          <w:b/>
          <w:bCs/>
          <w:sz w:val="22"/>
          <w:szCs w:val="22"/>
        </w:rPr>
        <w:t xml:space="preserve">Adım 2: Hibrit arama (ClickHouse, tek sorgu): </w:t>
      </w:r>
      <w:r>
        <w:rPr>
          <w:rFonts w:eastAsia="Calibri" w:cs="Calibri"/>
          <w:sz w:val="22"/>
          <w:szCs w:val="22"/>
        </w:rPr>
        <w:t>Filtreler skip index'lerle 270 milyon klibi küçük bir aday kümesine indirir; ANN/kesin vektör karşılaştırması bu küçük kümede koşar; caption'da anahtar kelime eşleşmesi hafif skor bonusu verir. Vektör ile filtre kolonları aynı satırda yaşadığı için ayrı vektör veritabanlarındaki pre-filter/post-filter ikilemi oluşmaz.</w:t>
      </w:r>
    </w:p>
    <w:p>
      <w:pPr>
        <w:pStyle w:val="Normal"/>
        <w:spacing w:lineRule="exact" w:line="300" w:before="0" w:after="160"/>
        <w:jc w:val="both"/>
        <w:rPr/>
      </w:pPr>
      <w:r>
        <w:rPr>
          <w:rFonts w:eastAsia="Calibri" w:cs="Calibri"/>
          <w:b/>
          <w:bCs/>
          <w:sz w:val="22"/>
          <w:szCs w:val="22"/>
        </w:rPr>
        <w:t xml:space="preserve">Adım 3: Aralık birleştirme: </w:t>
      </w:r>
      <w:r>
        <w:rPr>
          <w:rFonts w:eastAsia="Calibri" w:cs="Calibri"/>
          <w:sz w:val="22"/>
          <w:szCs w:val="22"/>
        </w:rPr>
        <w:t>Eşleşen ardışık pencereler, ≤10 sn boşluk toleransıyla sürekli zaman aralıklarına birleştirilir. Çıktı doğrudan istenen formattır: akinci_gorev_7702  0:52:32–0:54:48  (skor 0.93).</w:t>
      </w:r>
    </w:p>
    <w:p>
      <w:pPr>
        <w:pStyle w:val="Normal"/>
        <w:spacing w:lineRule="exact" w:line="300" w:before="0" w:after="160"/>
        <w:jc w:val="both"/>
        <w:rPr/>
      </w:pPr>
      <w:r>
        <w:rPr>
          <w:rFonts w:eastAsia="Calibri" w:cs="Calibri"/>
          <w:b/>
          <w:bCs/>
          <w:sz w:val="22"/>
          <w:szCs w:val="22"/>
        </w:rPr>
        <w:t xml:space="preserve">Adım 4: Opsiyonel rerank (Qwen2.5-VL): </w:t>
      </w:r>
      <w:r>
        <w:rPr>
          <w:rFonts w:eastAsia="Calibri" w:cs="Calibri"/>
          <w:sz w:val="22"/>
          <w:szCs w:val="22"/>
        </w:rPr>
        <w:t>Yüksek kesinlik istendiğinde top 10-20 adayın klipleri VLM'e doğrulatılır; embedding'in görsel benzerlik yanılgıları bu adımda ayıklanır. X-CLIP'in ham semantik kalitesi InternVideo2 varsayımına göre daha temkinli olduğundan (bkz. Bölüm 3.1), rerank adımının önemi bu sürümde arttı.</w:t>
      </w:r>
    </w:p>
    <w:p>
      <w:pPr>
        <w:pStyle w:val="Normal"/>
        <w:spacing w:lineRule="exact" w:line="300" w:before="0" w:after="160"/>
        <w:jc w:val="both"/>
        <w:rPr/>
      </w:pPr>
      <w:r>
        <w:rPr>
          <w:rFonts w:eastAsia="Calibri" w:cs="Calibri"/>
          <w:sz w:val="22"/>
          <w:szCs w:val="22"/>
        </w:rPr>
        <w:t>Sorgu hattının hiçbir adımı video dosyalarına dokunmaz; arama tamamen sayısal katman üzerinde döner. Orijinal 1,5 PB bu sayede bütünüyle soğuk/arşiv depolama sınıfına taşınabilir.</w:t>
      </w:r>
    </w:p>
    <w:p>
      <w:pPr>
        <w:pStyle w:val="Heading1"/>
        <w:spacing w:before="360" w:after="160"/>
        <w:rPr/>
      </w:pPr>
      <w:r>
        <w:rPr/>
        <w:t>3. Teknoloji Yığını</w:t>
      </w:r>
    </w:p>
    <w:p>
      <w:pPr>
        <w:pStyle w:val="Heading2"/>
        <w:spacing w:before="280" w:after="120"/>
        <w:rPr/>
      </w:pPr>
      <w:r>
        <w:rPr/>
        <w:t>3.1 Ana teknoloji tablosu</w:t>
      </w:r>
    </w:p>
    <w:p>
      <w:pPr>
        <w:pStyle w:val="Normal"/>
        <w:spacing w:lineRule="exact" w:line="300" w:before="0" w:after="160"/>
        <w:jc w:val="both"/>
        <w:rPr/>
      </w:pPr>
      <w:r>
        <w:rPr>
          <w:rFonts w:eastAsia="Calibri" w:cs="Calibri"/>
          <w:sz w:val="22"/>
          <w:szCs w:val="22"/>
        </w:rPr>
        <w:t>Sistem, İHA görüntüsünün hassasiyeti gözetilerek uçtan uca on-prem çalışabilen açık model ve bileşenlerle tasarlanmıştır.</w:t>
      </w:r>
    </w:p>
    <w:tbl>
      <w:tblPr>
        <w:tblW w:w="9000" w:type="dxa"/>
        <w:jc w:val="left"/>
        <w:tblInd w:w="0" w:type="dxa"/>
        <w:tblLayout w:type="fixed"/>
        <w:tblCellMar>
          <w:top w:w="60" w:type="dxa"/>
          <w:left w:w="100" w:type="dxa"/>
          <w:bottom w:w="60" w:type="dxa"/>
          <w:right w:w="100" w:type="dxa"/>
        </w:tblCellMar>
      </w:tblPr>
      <w:tblGrid>
        <w:gridCol w:w="2400"/>
        <w:gridCol w:w="2900"/>
        <w:gridCol w:w="3700"/>
      </w:tblGrid>
      <w:tr>
        <w:trPr>
          <w:tblHeader w:val="true"/>
        </w:trPr>
        <w:tc>
          <w:tcPr>
            <w:tcW w:w="2400" w:type="dxa"/>
            <w:tcBorders>
              <w:top w:val="single" w:sz="4" w:space="0" w:color="BFBFBF"/>
              <w:left w:val="single" w:sz="4" w:space="0" w:color="BFBFBF"/>
              <w:bottom w:val="single" w:sz="4" w:space="0" w:color="BFBFBF"/>
              <w:right w:val="single" w:sz="4" w:space="0" w:color="BFBFBF"/>
            </w:tcBorders>
            <w:shd w:fill="DDE8ED" w:val="clear"/>
          </w:tcPr>
          <w:p>
            <w:pPr>
              <w:pStyle w:val="Normal"/>
              <w:spacing w:before="40" w:after="40"/>
              <w:rPr/>
            </w:pPr>
            <w:r>
              <w:rPr>
                <w:rFonts w:eastAsia="Calibri" w:cs="Calibri"/>
                <w:b/>
                <w:bCs/>
                <w:sz w:val="18"/>
                <w:szCs w:val="18"/>
              </w:rPr>
              <w:t>İş</w:t>
            </w:r>
          </w:p>
        </w:tc>
        <w:tc>
          <w:tcPr>
            <w:tcW w:w="2900" w:type="dxa"/>
            <w:tcBorders>
              <w:top w:val="single" w:sz="4" w:space="0" w:color="BFBFBF"/>
              <w:left w:val="single" w:sz="4" w:space="0" w:color="BFBFBF"/>
              <w:bottom w:val="single" w:sz="4" w:space="0" w:color="BFBFBF"/>
              <w:right w:val="single" w:sz="4" w:space="0" w:color="BFBFBF"/>
            </w:tcBorders>
            <w:shd w:fill="DDE8ED" w:val="clear"/>
          </w:tcPr>
          <w:p>
            <w:pPr>
              <w:pStyle w:val="Normal"/>
              <w:spacing w:before="40" w:after="40"/>
              <w:rPr/>
            </w:pPr>
            <w:r>
              <w:rPr>
                <w:rFonts w:eastAsia="Calibri" w:cs="Calibri"/>
                <w:b/>
                <w:bCs/>
                <w:sz w:val="18"/>
                <w:szCs w:val="18"/>
              </w:rPr>
              <w:t>Teknoloji / Model</w:t>
            </w:r>
          </w:p>
        </w:tc>
        <w:tc>
          <w:tcPr>
            <w:tcW w:w="3700" w:type="dxa"/>
            <w:tcBorders>
              <w:top w:val="single" w:sz="4" w:space="0" w:color="BFBFBF"/>
              <w:left w:val="single" w:sz="4" w:space="0" w:color="BFBFBF"/>
              <w:bottom w:val="single" w:sz="4" w:space="0" w:color="BFBFBF"/>
              <w:right w:val="single" w:sz="4" w:space="0" w:color="BFBFBF"/>
            </w:tcBorders>
            <w:shd w:fill="DDE8ED" w:val="clear"/>
          </w:tcPr>
          <w:p>
            <w:pPr>
              <w:pStyle w:val="Normal"/>
              <w:spacing w:before="40" w:after="40"/>
              <w:rPr/>
            </w:pPr>
            <w:r>
              <w:rPr>
                <w:rFonts w:eastAsia="Calibri" w:cs="Calibri"/>
                <w:b/>
                <w:bCs/>
                <w:sz w:val="18"/>
                <w:szCs w:val="18"/>
              </w:rPr>
              <w:t>Seçim gerekçesi</w:t>
            </w:r>
          </w:p>
        </w:tc>
      </w:tr>
      <w:tr>
        <w:trPr/>
        <w:tc>
          <w:tcPr>
            <w:tcW w:w="24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Video decode + proxy üretimi</w:t>
            </w:r>
          </w:p>
        </w:tc>
        <w:tc>
          <w:tcPr>
            <w:tcW w:w="29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ffmpeg (NVDEC donanım decode)</w:t>
            </w:r>
          </w:p>
        </w:tc>
        <w:tc>
          <w:tcPr>
            <w:tcW w:w="37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Endüstri standardı; decode GPU'nun ayrı biriminde koşar, inference'ı yavaşlatmaz</w:t>
            </w:r>
          </w:p>
        </w:tc>
      </w:tr>
      <w:tr>
        <w:trPr/>
        <w:tc>
          <w:tcPr>
            <w:tcW w:w="24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Olay/iş kuyruğu</w:t>
            </w:r>
          </w:p>
        </w:tc>
        <w:tc>
          <w:tcPr>
            <w:tcW w:w="29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MinIO bucket notification + Kafka</w:t>
            </w:r>
          </w:p>
        </w:tc>
        <w:tc>
          <w:tcPr>
            <w:tcW w:w="37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İngest'in otomatik tetiklenmesi; elle müdahale sıfır</w:t>
            </w:r>
          </w:p>
        </w:tc>
      </w:tr>
      <w:tr>
        <w:trPr/>
        <w:tc>
          <w:tcPr>
            <w:tcW w:w="24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Orkestrasyon ve dayanıklılık</w:t>
            </w:r>
          </w:p>
        </w:tc>
        <w:tc>
          <w:tcPr>
            <w:tcW w:w="29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Temporal (arşiv backfill: Airflow)</w:t>
            </w:r>
          </w:p>
        </w:tc>
        <w:tc>
          <w:tcPr>
            <w:tcW w:w="37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Checkpoint + heartbeat ile çöken iş kaldığı pencereden devam eder</w:t>
            </w:r>
          </w:p>
        </w:tc>
      </w:tr>
      <w:tr>
        <w:trPr/>
        <w:tc>
          <w:tcPr>
            <w:tcW w:w="24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Video-metin embedding</w:t>
            </w:r>
          </w:p>
        </w:tc>
        <w:tc>
          <w:tcPr>
            <w:tcW w:w="29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X-CLIP (MIT lisans, retrieval-özel AOSM varyantı)</w:t>
            </w:r>
          </w:p>
        </w:tc>
        <w:tc>
          <w:tcPr>
            <w:tcW w:w="37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Bağımsız testte en iyi self-hosted seçenek; 512 boyutlu vektör, çapraz-kare dikkatle temel hareket temsili</w:t>
            </w:r>
          </w:p>
        </w:tc>
      </w:tr>
      <w:tr>
        <w:trPr/>
        <w:tc>
          <w:tcPr>
            <w:tcW w:w="24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Embedding servisleme</w:t>
            </w:r>
          </w:p>
        </w:tc>
        <w:tc>
          <w:tcPr>
            <w:tcW w:w="29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NVIDIA Triton + TensorRT</w:t>
            </w:r>
          </w:p>
        </w:tc>
        <w:tc>
          <w:tcPr>
            <w:tcW w:w="37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Otomatik batch'leme; encoder-tipi modeller için (LLM değil) doğru araç</w:t>
            </w:r>
          </w:p>
        </w:tc>
      </w:tr>
      <w:tr>
        <w:trPr/>
        <w:tc>
          <w:tcPr>
            <w:tcW w:w="24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Caption + rerank VLM</w:t>
            </w:r>
          </w:p>
        </w:tc>
        <w:tc>
          <w:tcPr>
            <w:tcW w:w="29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Qwen2.5-VL (vLLM üzerinde)</w:t>
            </w:r>
          </w:p>
        </w:tc>
        <w:tc>
          <w:tcPr>
            <w:tcW w:w="37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Açık VLM'lerde video anlama ve çok dilli performans</w:t>
            </w:r>
          </w:p>
        </w:tc>
      </w:tr>
      <w:tr>
        <w:trPr/>
        <w:tc>
          <w:tcPr>
            <w:tcW w:w="24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Sorgu ayrıştırma LLM</w:t>
            </w:r>
          </w:p>
        </w:tc>
        <w:tc>
          <w:tcPr>
            <w:tcW w:w="29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Qwen 14B + xgrammar yapısal çıktı, SGLang üzerinde</w:t>
            </w:r>
          </w:p>
        </w:tc>
        <w:tc>
          <w:tcPr>
            <w:tcW w:w="37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Dar görev için küçük model yeterli; tekrarlayan sistem promptu SGLang'ın RadixAttention'ından fayda görür (bkz. 3.3.3)</w:t>
            </w:r>
          </w:p>
        </w:tc>
      </w:tr>
      <w:tr>
        <w:trPr/>
        <w:tc>
          <w:tcPr>
            <w:tcW w:w="24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Görsel alan detektörleri</w:t>
            </w:r>
          </w:p>
        </w:tc>
        <w:tc>
          <w:tcPr>
            <w:tcW w:w="29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YOLO26 (IR için fine-tune)</w:t>
            </w:r>
          </w:p>
        </w:tc>
        <w:tc>
          <w:tcPr>
            <w:tcW w:w="37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Güncel nesil (Ocak 2026); NMS-free, küçük nesne doğruluğu iyileştirilmiş — uzak/küçük araç-gemi tespiti için uygun</w:t>
            </w:r>
          </w:p>
        </w:tc>
      </w:tr>
      <w:tr>
        <w:trPr/>
        <w:tc>
          <w:tcPr>
            <w:tcW w:w="24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Telemetri ayrıştırma</w:t>
            </w:r>
          </w:p>
        </w:tc>
        <w:tc>
          <w:tcPr>
            <w:tcW w:w="29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pymavlink + polars</w:t>
            </w:r>
          </w:p>
        </w:tc>
        <w:tc>
          <w:tcPr>
            <w:tcW w:w="37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MAVLink fiili standart; polars büyük logları hızlı işler</w:t>
            </w:r>
          </w:p>
        </w:tc>
      </w:tr>
      <w:tr>
        <w:trPr/>
        <w:tc>
          <w:tcPr>
            <w:tcW w:w="24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*Güneş açısı hesabı</w:t>
            </w:r>
          </w:p>
        </w:tc>
        <w:tc>
          <w:tcPr>
            <w:tcW w:w="29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astral / pysolar</w:t>
            </w:r>
          </w:p>
        </w:tc>
        <w:tc>
          <w:tcPr>
            <w:tcW w:w="37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Saf astronomik hesap, kütüphane olgun</w:t>
            </w:r>
          </w:p>
        </w:tc>
      </w:tr>
      <w:tr>
        <w:trPr/>
        <w:tc>
          <w:tcPr>
            <w:tcW w:w="24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*Deniz/kara geofence</w:t>
            </w:r>
          </w:p>
        </w:tc>
        <w:tc>
          <w:tcPr>
            <w:tcW w:w="29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Shapely + GeoPandas (OSM/Natural Earth poligonları)</w:t>
            </w:r>
          </w:p>
        </w:tc>
        <w:tc>
          <w:tcPr>
            <w:tcW w:w="37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Point-in-polygon, R-tree indeksle pencere başına mikrosaniyeler</w:t>
            </w:r>
          </w:p>
        </w:tc>
      </w:tr>
      <w:tr>
        <w:trPr/>
        <w:tc>
          <w:tcPr>
            <w:tcW w:w="24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Vektör arama + analitik</w:t>
            </w:r>
          </w:p>
        </w:tc>
        <w:tc>
          <w:tcPr>
            <w:tcW w:w="29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ClickHouse vector_similarity (HNSW) + skip index'ler</w:t>
            </w:r>
          </w:p>
        </w:tc>
        <w:tc>
          <w:tcPr>
            <w:tcW w:w="37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ANN ve SQL filtresi tek sorguda; ayrı vektör DB'nin senkronizasyon yükü yok (alternatif değerlendirmesi: 3.3.1)</w:t>
            </w:r>
          </w:p>
        </w:tc>
      </w:tr>
      <w:tr>
        <w:trPr/>
        <w:tc>
          <w:tcPr>
            <w:tcW w:w="24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Tam metin (caption) arama</w:t>
            </w:r>
          </w:p>
        </w:tc>
        <w:tc>
          <w:tcPr>
            <w:tcW w:w="29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ClickHouse inverted index</w:t>
            </w:r>
          </w:p>
        </w:tc>
        <w:tc>
          <w:tcPr>
            <w:tcW w:w="37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Hibrit skor tek sistemde birleşir</w:t>
            </w:r>
          </w:p>
        </w:tc>
      </w:tr>
      <w:tr>
        <w:trPr/>
        <w:tc>
          <w:tcPr>
            <w:tcW w:w="24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Metadata / durum takibi</w:t>
            </w:r>
          </w:p>
        </w:tc>
        <w:tc>
          <w:tcPr>
            <w:tcW w:w="29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PostgreSQL</w:t>
            </w:r>
          </w:p>
        </w:tc>
        <w:tc>
          <w:tcPr>
            <w:tcW w:w="37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Transactional bütünlük; ingest state machine burada yaşar</w:t>
            </w:r>
          </w:p>
        </w:tc>
      </w:tr>
      <w:tr>
        <w:trPr/>
        <w:tc>
          <w:tcPr>
            <w:tcW w:w="24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Nesne depolama</w:t>
            </w:r>
          </w:p>
        </w:tc>
        <w:tc>
          <w:tcPr>
            <w:tcW w:w="29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MinIO (orijinal soğuk katman + model proxy)</w:t>
            </w:r>
          </w:p>
        </w:tc>
        <w:tc>
          <w:tcPr>
            <w:tcW w:w="37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Mevcut altyapı; lifecycle policy ile katmanlı saklama</w:t>
            </w:r>
          </w:p>
        </w:tc>
      </w:tr>
      <w:tr>
        <w:trPr/>
        <w:tc>
          <w:tcPr>
            <w:tcW w:w="24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Değerlendirme / etiketleme</w:t>
            </w:r>
          </w:p>
        </w:tc>
        <w:tc>
          <w:tcPr>
            <w:tcW w:w="29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FiftyOne + altın set (200-500 çift)</w:t>
            </w:r>
          </w:p>
        </w:tc>
        <w:tc>
          <w:tcPr>
            <w:tcW w:w="37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Model, eşik ve sıkıştırma kararlarının tek geçerli ölçüm zemini</w:t>
            </w:r>
          </w:p>
        </w:tc>
      </w:tr>
      <w:tr>
        <w:trPr/>
        <w:tc>
          <w:tcPr>
            <w:tcW w:w="24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İzleme</w:t>
            </w:r>
          </w:p>
        </w:tc>
        <w:tc>
          <w:tcPr>
            <w:tcW w:w="29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Prometheus + Grafana</w:t>
            </w:r>
          </w:p>
        </w:tc>
        <w:tc>
          <w:tcPr>
            <w:tcW w:w="37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İngest throughput, telemetri kapsaması, sorgu logları (terfi sinyali)</w:t>
            </w:r>
          </w:p>
        </w:tc>
      </w:tr>
    </w:tbl>
    <w:p>
      <w:pPr>
        <w:pStyle w:val="Heading2"/>
        <w:spacing w:before="280" w:after="120"/>
        <w:rPr/>
      </w:pPr>
      <w:r>
        <w:rPr/>
        <w:t>3.2 Diğer teknolojiler için karşılaştırma</w:t>
      </w:r>
    </w:p>
    <w:p>
      <w:pPr>
        <w:pStyle w:val="Normal"/>
        <w:spacing w:lineRule="exact" w:line="300" w:before="0" w:after="160"/>
        <w:jc w:val="both"/>
        <w:rPr/>
      </w:pPr>
      <w:r>
        <w:rPr>
          <w:rFonts w:eastAsia="Calibri" w:cs="Calibri"/>
          <w:sz w:val="22"/>
          <w:szCs w:val="22"/>
        </w:rPr>
        <w:t>Aşağıda yığındaki dört bileşen kategorisi güncel kaynaklarla doğrulanmış karşılaştırmalarla, geri kalanı mimari akıl yürütmeyle değerlendirilmiştir.</w:t>
      </w:r>
    </w:p>
    <w:p>
      <w:pPr>
        <w:pStyle w:val="Heading3"/>
        <w:spacing w:before="220" w:after="100"/>
        <w:rPr/>
      </w:pPr>
      <w:r>
        <w:rPr/>
        <w:t>3.2.1 Vektör + filtre arama katmanı</w:t>
      </w:r>
    </w:p>
    <w:tbl>
      <w:tblPr>
        <w:tblW w:w="9000" w:type="dxa"/>
        <w:jc w:val="left"/>
        <w:tblInd w:w="0" w:type="dxa"/>
        <w:tblLayout w:type="fixed"/>
        <w:tblCellMar>
          <w:top w:w="60" w:type="dxa"/>
          <w:left w:w="100" w:type="dxa"/>
          <w:bottom w:w="60" w:type="dxa"/>
          <w:right w:w="100" w:type="dxa"/>
        </w:tblCellMar>
      </w:tblPr>
      <w:tblGrid>
        <w:gridCol w:w="2199"/>
        <w:gridCol w:w="2400"/>
        <w:gridCol w:w="2201"/>
        <w:gridCol w:w="2199"/>
      </w:tblGrid>
      <w:tr>
        <w:trPr>
          <w:tblHeader w:val="true"/>
        </w:trPr>
        <w:tc>
          <w:tcPr>
            <w:tcW w:w="2199" w:type="dxa"/>
            <w:tcBorders>
              <w:top w:val="single" w:sz="4" w:space="0" w:color="BFBFBF"/>
              <w:left w:val="single" w:sz="4" w:space="0" w:color="BFBFBF"/>
              <w:bottom w:val="single" w:sz="4" w:space="0" w:color="BFBFBF"/>
              <w:right w:val="single" w:sz="4" w:space="0" w:color="BFBFBF"/>
            </w:tcBorders>
            <w:shd w:fill="DDE8ED" w:val="clear"/>
          </w:tcPr>
          <w:p>
            <w:pPr>
              <w:pStyle w:val="Normal"/>
              <w:spacing w:before="40" w:after="40"/>
              <w:rPr/>
            </w:pPr>
            <w:r>
              <w:rPr/>
            </w:r>
          </w:p>
        </w:tc>
        <w:tc>
          <w:tcPr>
            <w:tcW w:w="2400" w:type="dxa"/>
            <w:tcBorders>
              <w:top w:val="single" w:sz="4" w:space="0" w:color="BFBFBF"/>
              <w:left w:val="single" w:sz="4" w:space="0" w:color="BFBFBF"/>
              <w:bottom w:val="single" w:sz="4" w:space="0" w:color="BFBFBF"/>
              <w:right w:val="single" w:sz="4" w:space="0" w:color="BFBFBF"/>
            </w:tcBorders>
            <w:shd w:fill="DDE8ED" w:val="clear"/>
          </w:tcPr>
          <w:p>
            <w:pPr>
              <w:pStyle w:val="Normal"/>
              <w:spacing w:before="40" w:after="40"/>
              <w:rPr/>
            </w:pPr>
            <w:r>
              <w:rPr>
                <w:rFonts w:eastAsia="Calibri" w:cs="Calibri"/>
                <w:b/>
                <w:bCs/>
                <w:sz w:val="18"/>
                <w:szCs w:val="18"/>
              </w:rPr>
              <w:t>ClickHouse (seçili)</w:t>
            </w:r>
          </w:p>
        </w:tc>
        <w:tc>
          <w:tcPr>
            <w:tcW w:w="2201" w:type="dxa"/>
            <w:tcBorders>
              <w:top w:val="single" w:sz="4" w:space="0" w:color="BFBFBF"/>
              <w:left w:val="single" w:sz="4" w:space="0" w:color="BFBFBF"/>
              <w:bottom w:val="single" w:sz="4" w:space="0" w:color="BFBFBF"/>
              <w:right w:val="single" w:sz="4" w:space="0" w:color="BFBFBF"/>
            </w:tcBorders>
            <w:shd w:fill="DDE8ED" w:val="clear"/>
          </w:tcPr>
          <w:p>
            <w:pPr>
              <w:pStyle w:val="Normal"/>
              <w:spacing w:before="40" w:after="40"/>
              <w:rPr/>
            </w:pPr>
            <w:r>
              <w:rPr>
                <w:rFonts w:eastAsia="Calibri" w:cs="Calibri"/>
                <w:b/>
                <w:bCs/>
                <w:sz w:val="18"/>
                <w:szCs w:val="18"/>
              </w:rPr>
              <w:t>Qdrant</w:t>
            </w:r>
          </w:p>
        </w:tc>
        <w:tc>
          <w:tcPr>
            <w:tcW w:w="2199" w:type="dxa"/>
            <w:tcBorders>
              <w:top w:val="single" w:sz="4" w:space="0" w:color="BFBFBF"/>
              <w:left w:val="single" w:sz="4" w:space="0" w:color="BFBFBF"/>
              <w:bottom w:val="single" w:sz="4" w:space="0" w:color="BFBFBF"/>
              <w:right w:val="single" w:sz="4" w:space="0" w:color="BFBFBF"/>
            </w:tcBorders>
            <w:shd w:fill="DDE8ED" w:val="clear"/>
          </w:tcPr>
          <w:p>
            <w:pPr>
              <w:pStyle w:val="Normal"/>
              <w:spacing w:before="40" w:after="40"/>
              <w:rPr/>
            </w:pPr>
            <w:r>
              <w:rPr>
                <w:rFonts w:eastAsia="Calibri" w:cs="Calibri"/>
                <w:b/>
                <w:bCs/>
                <w:sz w:val="18"/>
                <w:szCs w:val="18"/>
              </w:rPr>
              <w:t>Milvus</w:t>
            </w:r>
          </w:p>
        </w:tc>
      </w:tr>
      <w:tr>
        <w:trPr/>
        <w:tc>
          <w:tcPr>
            <w:tcW w:w="2199"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Konum</w:t>
            </w:r>
          </w:p>
        </w:tc>
        <w:tc>
          <w:tcPr>
            <w:tcW w:w="24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Analitik DB + vektör eklentisi</w:t>
            </w:r>
          </w:p>
        </w:tc>
        <w:tc>
          <w:tcPr>
            <w:tcW w:w="2201"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Saf vektör DB (Rust)</w:t>
            </w:r>
          </w:p>
        </w:tc>
        <w:tc>
          <w:tcPr>
            <w:tcW w:w="2199"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Saf vektör DB, dağıtık</w:t>
            </w:r>
          </w:p>
        </w:tc>
      </w:tr>
      <w:tr>
        <w:trPr/>
        <w:tc>
          <w:tcPr>
            <w:tcW w:w="2199"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Filtre + vektör tek sorguda</w:t>
            </w:r>
          </w:p>
        </w:tc>
        <w:tc>
          <w:tcPr>
            <w:tcW w:w="24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Doğal — aynı satır, tek SQL</w:t>
            </w:r>
          </w:p>
        </w:tc>
        <w:tc>
          <w:tcPr>
            <w:tcW w:w="2201"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Güçlü — 2026'da öne çıkan yönü</w:t>
            </w:r>
          </w:p>
        </w:tc>
        <w:tc>
          <w:tcPr>
            <w:tcW w:w="2199"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Orta — önceliği filtreleme değil</w:t>
            </w:r>
          </w:p>
        </w:tc>
      </w:tr>
      <w:tr>
        <w:trPr/>
        <w:tc>
          <w:tcPr>
            <w:tcW w:w="2199"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Ölçek tavanı</w:t>
            </w:r>
          </w:p>
        </w:tc>
        <w:tc>
          <w:tcPr>
            <w:tcW w:w="24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Yüz milyonlarca satırda rahat</w:t>
            </w:r>
          </w:p>
        </w:tc>
        <w:tc>
          <w:tcPr>
            <w:tcW w:w="2201"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~100 milyona kadar ideal</w:t>
            </w:r>
          </w:p>
        </w:tc>
        <w:tc>
          <w:tcPr>
            <w:tcW w:w="2199"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Milyarlarca vektörde asıl güçlü</w:t>
            </w:r>
          </w:p>
        </w:tc>
      </w:tr>
      <w:tr>
        <w:trPr/>
        <w:tc>
          <w:tcPr>
            <w:tcW w:w="2199"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Operasyon yükü</w:t>
            </w:r>
          </w:p>
        </w:tc>
        <w:tc>
          <w:tcPr>
            <w:tcW w:w="24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Tek sistem (metadata + vektör bir arada)</w:t>
            </w:r>
          </w:p>
        </w:tc>
        <w:tc>
          <w:tcPr>
            <w:tcW w:w="2201"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Ayrı ama hafif sistem</w:t>
            </w:r>
          </w:p>
        </w:tc>
        <w:tc>
          <w:tcPr>
            <w:tcW w:w="2199"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Ayrı; etcd + MinIO + kuyruk gerektirir</w:t>
            </w:r>
          </w:p>
        </w:tc>
      </w:tr>
      <w:tr>
        <w:trPr/>
        <w:tc>
          <w:tcPr>
            <w:tcW w:w="2199"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2026 pazar konumu</w:t>
            </w:r>
          </w:p>
        </w:tc>
        <w:tc>
          <w:tcPr>
            <w:tcW w:w="24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Analitik + arama karışık iş yükü tercihi</w:t>
            </w:r>
          </w:p>
        </w:tc>
        <w:tc>
          <w:tcPr>
            <w:tcW w:w="2201"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"Çoğu production RAG için varsayılan"</w:t>
            </w:r>
          </w:p>
        </w:tc>
        <w:tc>
          <w:tcPr>
            <w:tcW w:w="2199"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Milyar ölçek + Kubernetes-native gerektiğinde</w:t>
            </w:r>
          </w:p>
        </w:tc>
      </w:tr>
    </w:tbl>
    <w:p>
      <w:pPr>
        <w:pStyle w:val="Normal"/>
        <w:spacing w:before="0" w:after="120"/>
        <w:rPr/>
      </w:pPr>
      <w:r>
        <w:rPr/>
      </w:r>
    </w:p>
    <w:p>
      <w:pPr>
        <w:pStyle w:val="Normal"/>
        <w:spacing w:lineRule="exact" w:line="300" w:before="0" w:after="160"/>
        <w:jc w:val="both"/>
        <w:rPr/>
      </w:pPr>
      <w:r>
        <w:rPr>
          <w:rFonts w:eastAsia="Calibri" w:cs="Calibri"/>
          <w:sz w:val="22"/>
          <w:szCs w:val="22"/>
        </w:rPr>
        <w:t>Karar gerekçesi değişmiyor: filtre ve vektörü aynı satırda tutmak metadata senkronizasyon riskini ortadan kaldırıyor. Ancak Qdrant, 2026'da tam bizim örüntümüz ("complex filtering") için pazarlanıyor; ClickHouse'un analitik ve vektör yükü ileride birbirine karışırsa, vektör katmanını Qdrant'a taşıyıp metadata'yı ClickHouse'ta bırakan hibrit bir mimari makul bir B planıdır.</w:t>
      </w:r>
    </w:p>
    <w:p>
      <w:pPr>
        <w:pStyle w:val="Heading3"/>
        <w:spacing w:before="220" w:after="100"/>
        <w:rPr/>
      </w:pPr>
      <w:r>
        <w:rPr/>
        <w:t>3.2.2 LLM / VLM servisleme</w:t>
      </w:r>
    </w:p>
    <w:tbl>
      <w:tblPr>
        <w:tblW w:w="9000" w:type="dxa"/>
        <w:jc w:val="left"/>
        <w:tblInd w:w="0" w:type="dxa"/>
        <w:tblLayout w:type="fixed"/>
        <w:tblCellMar>
          <w:top w:w="60" w:type="dxa"/>
          <w:left w:w="100" w:type="dxa"/>
          <w:bottom w:w="60" w:type="dxa"/>
          <w:right w:w="100" w:type="dxa"/>
        </w:tblCellMar>
      </w:tblPr>
      <w:tblGrid>
        <w:gridCol w:w="1800"/>
        <w:gridCol w:w="1800"/>
        <w:gridCol w:w="1800"/>
        <w:gridCol w:w="1800"/>
        <w:gridCol w:w="1800"/>
      </w:tblGrid>
      <w:tr>
        <w:trPr>
          <w:tblHeader w:val="true"/>
        </w:trPr>
        <w:tc>
          <w:tcPr>
            <w:tcW w:w="1800" w:type="dxa"/>
            <w:tcBorders>
              <w:top w:val="single" w:sz="4" w:space="0" w:color="BFBFBF"/>
              <w:left w:val="single" w:sz="4" w:space="0" w:color="BFBFBF"/>
              <w:bottom w:val="single" w:sz="4" w:space="0" w:color="BFBFBF"/>
              <w:right w:val="single" w:sz="4" w:space="0" w:color="BFBFBF"/>
            </w:tcBorders>
            <w:shd w:fill="DDE8ED" w:val="clear"/>
          </w:tcPr>
          <w:p>
            <w:pPr>
              <w:pStyle w:val="Normal"/>
              <w:spacing w:before="40" w:after="40"/>
              <w:rPr/>
            </w:pPr>
            <w:r>
              <w:rPr/>
            </w:r>
          </w:p>
        </w:tc>
        <w:tc>
          <w:tcPr>
            <w:tcW w:w="1800" w:type="dxa"/>
            <w:tcBorders>
              <w:top w:val="single" w:sz="4" w:space="0" w:color="BFBFBF"/>
              <w:left w:val="single" w:sz="4" w:space="0" w:color="BFBFBF"/>
              <w:bottom w:val="single" w:sz="4" w:space="0" w:color="BFBFBF"/>
              <w:right w:val="single" w:sz="4" w:space="0" w:color="BFBFBF"/>
            </w:tcBorders>
            <w:shd w:fill="DDE8ED" w:val="clear"/>
          </w:tcPr>
          <w:p>
            <w:pPr>
              <w:pStyle w:val="Normal"/>
              <w:spacing w:before="40" w:after="40"/>
              <w:rPr/>
            </w:pPr>
            <w:r>
              <w:rPr>
                <w:rFonts w:eastAsia="Calibri" w:cs="Calibri"/>
                <w:b/>
                <w:bCs/>
                <w:sz w:val="18"/>
                <w:szCs w:val="18"/>
              </w:rPr>
              <w:t>vLLM</w:t>
            </w:r>
          </w:p>
        </w:tc>
        <w:tc>
          <w:tcPr>
            <w:tcW w:w="1800" w:type="dxa"/>
            <w:tcBorders>
              <w:top w:val="single" w:sz="4" w:space="0" w:color="BFBFBF"/>
              <w:left w:val="single" w:sz="4" w:space="0" w:color="BFBFBF"/>
              <w:bottom w:val="single" w:sz="4" w:space="0" w:color="BFBFBF"/>
              <w:right w:val="single" w:sz="4" w:space="0" w:color="BFBFBF"/>
            </w:tcBorders>
            <w:shd w:fill="DDE8ED" w:val="clear"/>
          </w:tcPr>
          <w:p>
            <w:pPr>
              <w:pStyle w:val="Normal"/>
              <w:spacing w:before="40" w:after="40"/>
              <w:rPr/>
            </w:pPr>
            <w:r>
              <w:rPr>
                <w:rFonts w:eastAsia="Calibri" w:cs="Calibri"/>
                <w:b/>
                <w:bCs/>
                <w:sz w:val="18"/>
                <w:szCs w:val="18"/>
              </w:rPr>
              <w:t>SGLang</w:t>
            </w:r>
          </w:p>
        </w:tc>
        <w:tc>
          <w:tcPr>
            <w:tcW w:w="1800" w:type="dxa"/>
            <w:tcBorders>
              <w:top w:val="single" w:sz="4" w:space="0" w:color="BFBFBF"/>
              <w:left w:val="single" w:sz="4" w:space="0" w:color="BFBFBF"/>
              <w:bottom w:val="single" w:sz="4" w:space="0" w:color="BFBFBF"/>
              <w:right w:val="single" w:sz="4" w:space="0" w:color="BFBFBF"/>
            </w:tcBorders>
            <w:shd w:fill="DDE8ED" w:val="clear"/>
          </w:tcPr>
          <w:p>
            <w:pPr>
              <w:pStyle w:val="Normal"/>
              <w:spacing w:before="40" w:after="40"/>
              <w:rPr/>
            </w:pPr>
            <w:r>
              <w:rPr>
                <w:rFonts w:eastAsia="Calibri" w:cs="Calibri"/>
                <w:b/>
                <w:bCs/>
                <w:sz w:val="18"/>
                <w:szCs w:val="18"/>
              </w:rPr>
              <w:t>TensorRT-LLM</w:t>
            </w:r>
          </w:p>
        </w:tc>
        <w:tc>
          <w:tcPr>
            <w:tcW w:w="1800" w:type="dxa"/>
            <w:tcBorders>
              <w:top w:val="single" w:sz="4" w:space="0" w:color="BFBFBF"/>
              <w:left w:val="single" w:sz="4" w:space="0" w:color="BFBFBF"/>
              <w:bottom w:val="single" w:sz="4" w:space="0" w:color="BFBFBF"/>
              <w:right w:val="single" w:sz="4" w:space="0" w:color="BFBFBF"/>
            </w:tcBorders>
            <w:shd w:fill="DDE8ED" w:val="clear"/>
          </w:tcPr>
          <w:p>
            <w:pPr>
              <w:pStyle w:val="Normal"/>
              <w:spacing w:before="40" w:after="40"/>
              <w:rPr/>
            </w:pPr>
            <w:r>
              <w:rPr>
                <w:rFonts w:eastAsia="Calibri" w:cs="Calibri"/>
                <w:b/>
                <w:bCs/>
                <w:sz w:val="18"/>
                <w:szCs w:val="18"/>
              </w:rPr>
              <w:t>TGI</w:t>
            </w:r>
          </w:p>
        </w:tc>
      </w:tr>
      <w:tr>
        <w:trPr/>
        <w:tc>
          <w:tcPr>
            <w:tcW w:w="18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2026 durumu</w:t>
            </w:r>
          </w:p>
        </w:tc>
        <w:tc>
          <w:tcPr>
            <w:tcW w:w="18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Geniş donanım desteği, pratik varsayılan</w:t>
            </w:r>
          </w:p>
        </w:tc>
        <w:tc>
          <w:tcPr>
            <w:tcW w:w="18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Güçlü alternatif, tekrarlayan promptta üstün</w:t>
            </w:r>
          </w:p>
        </w:tc>
        <w:tc>
          <w:tcPr>
            <w:tcW w:w="18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En yüksek throughput, NVIDIA'ya kilitli</w:t>
            </w:r>
          </w:p>
        </w:tc>
        <w:tc>
          <w:tcPr>
            <w:tcW w:w="18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Bakım modunda — kullanılmamalı</w:t>
            </w:r>
          </w:p>
        </w:tc>
      </w:tr>
      <w:tr>
        <w:trPr/>
        <w:tc>
          <w:tcPr>
            <w:tcW w:w="18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Kilit mekanizma</w:t>
            </w:r>
          </w:p>
        </w:tc>
        <w:tc>
          <w:tcPr>
            <w:tcW w:w="18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PagedAttention</w:t>
            </w:r>
          </w:p>
        </w:tc>
        <w:tc>
          <w:tcPr>
            <w:tcW w:w="18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RadixAttention (paylaşılan önek önbelleklenir)</w:t>
            </w:r>
          </w:p>
        </w:tc>
        <w:tc>
          <w:tcPr>
            <w:tcW w:w="18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GPU'ya özel derlenmiş motor</w:t>
            </w:r>
          </w:p>
        </w:tc>
        <w:tc>
          <w:tcPr>
            <w:tcW w:w="18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w:t>
            </w:r>
          </w:p>
        </w:tc>
      </w:tr>
      <w:tr>
        <w:trPr/>
        <w:tc>
          <w:tcPr>
            <w:tcW w:w="18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Kurulum yükü</w:t>
            </w:r>
          </w:p>
        </w:tc>
        <w:tc>
          <w:tcPr>
            <w:tcW w:w="18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Düşük (tek pip komutu)</w:t>
            </w:r>
          </w:p>
        </w:tc>
        <w:tc>
          <w:tcPr>
            <w:tcW w:w="18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Düşük-orta</w:t>
            </w:r>
          </w:p>
        </w:tc>
        <w:tc>
          <w:tcPr>
            <w:tcW w:w="18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Yüksek (1-2 hafta)</w:t>
            </w:r>
          </w:p>
        </w:tc>
        <w:tc>
          <w:tcPr>
            <w:tcW w:w="18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w:t>
            </w:r>
          </w:p>
        </w:tc>
      </w:tr>
    </w:tbl>
    <w:p>
      <w:pPr>
        <w:pStyle w:val="Normal"/>
        <w:spacing w:before="0" w:after="120"/>
        <w:rPr/>
      </w:pPr>
      <w:r>
        <w:rPr/>
      </w:r>
    </w:p>
    <w:p>
      <w:pPr>
        <w:pStyle w:val="Normal"/>
        <w:spacing w:lineRule="exact" w:line="300" w:before="0" w:after="160"/>
        <w:jc w:val="both"/>
        <w:rPr/>
      </w:pPr>
      <w:r>
        <w:rPr>
          <w:rFonts w:eastAsia="Calibri" w:cs="Calibri"/>
          <w:sz w:val="22"/>
          <w:szCs w:val="22"/>
        </w:rPr>
        <w:t>Somut fırsat: sorgu ayrıştırma adımında (Qwen 14B) her çağrıda aynı uzun sistem promptu (alan kataloğu + eşleme tablosu + few-shot) tekrarlanıyor, değişen tek şey kullanıcı sorgusu, SGLang'ın RadixAttention'ının hedeflediği tam örüntü bu. Rerank VLM'inde (her klip görsel olarak farklı, paylaşılan önek yok) bu kazanım geçerli değil; bu yüzden ana tablodaki tercih sorgu ayrıştırıcı için SGLang, caption/rerank için vLLM olarak ayrıştırılmıştır. Gecikme kazanımı altın set üzerinde ölçülmeden kesinleştirilmemelidir. TGI, HuggingFace'in kendisi tarafından da vLLM/SGLang'a yönlendirildiği için değerlendirme dışı bırakılmıştır.</w:t>
      </w:r>
    </w:p>
    <w:p>
      <w:pPr>
        <w:pStyle w:val="Heading3"/>
        <w:spacing w:before="220" w:after="100"/>
        <w:rPr/>
      </w:pPr>
      <w:r>
        <w:rPr/>
        <w:t>3.2.3 Diğer bileşenler (akıl yürütmeyle değerlendirilmiştir)</w:t>
      </w:r>
    </w:p>
    <w:tbl>
      <w:tblPr>
        <w:tblW w:w="9000" w:type="dxa"/>
        <w:jc w:val="left"/>
        <w:tblInd w:w="0" w:type="dxa"/>
        <w:tblLayout w:type="fixed"/>
        <w:tblCellMar>
          <w:top w:w="60" w:type="dxa"/>
          <w:left w:w="100" w:type="dxa"/>
          <w:bottom w:w="60" w:type="dxa"/>
          <w:right w:w="100" w:type="dxa"/>
        </w:tblCellMar>
      </w:tblPr>
      <w:tblGrid>
        <w:gridCol w:w="1899"/>
        <w:gridCol w:w="1900"/>
        <w:gridCol w:w="2402"/>
        <w:gridCol w:w="2798"/>
      </w:tblGrid>
      <w:tr>
        <w:trPr>
          <w:tblHeader w:val="true"/>
        </w:trPr>
        <w:tc>
          <w:tcPr>
            <w:tcW w:w="1899" w:type="dxa"/>
            <w:tcBorders>
              <w:top w:val="single" w:sz="4" w:space="0" w:color="BFBFBF"/>
              <w:left w:val="single" w:sz="4" w:space="0" w:color="BFBFBF"/>
              <w:bottom w:val="single" w:sz="4" w:space="0" w:color="BFBFBF"/>
              <w:right w:val="single" w:sz="4" w:space="0" w:color="BFBFBF"/>
            </w:tcBorders>
            <w:shd w:fill="DDE8ED" w:val="clear"/>
          </w:tcPr>
          <w:p>
            <w:pPr>
              <w:pStyle w:val="Normal"/>
              <w:spacing w:before="40" w:after="40"/>
              <w:rPr/>
            </w:pPr>
            <w:r>
              <w:rPr>
                <w:rFonts w:eastAsia="Calibri" w:cs="Calibri"/>
                <w:b/>
                <w:bCs/>
                <w:sz w:val="18"/>
                <w:szCs w:val="18"/>
              </w:rPr>
              <w:t>Bileşen</w:t>
            </w:r>
          </w:p>
        </w:tc>
        <w:tc>
          <w:tcPr>
            <w:tcW w:w="1900" w:type="dxa"/>
            <w:tcBorders>
              <w:top w:val="single" w:sz="4" w:space="0" w:color="BFBFBF"/>
              <w:left w:val="single" w:sz="4" w:space="0" w:color="BFBFBF"/>
              <w:bottom w:val="single" w:sz="4" w:space="0" w:color="BFBFBF"/>
              <w:right w:val="single" w:sz="4" w:space="0" w:color="BFBFBF"/>
            </w:tcBorders>
            <w:shd w:fill="DDE8ED" w:val="clear"/>
          </w:tcPr>
          <w:p>
            <w:pPr>
              <w:pStyle w:val="Normal"/>
              <w:spacing w:before="40" w:after="40"/>
              <w:rPr/>
            </w:pPr>
            <w:r>
              <w:rPr>
                <w:rFonts w:eastAsia="Calibri" w:cs="Calibri"/>
                <w:b/>
                <w:bCs/>
                <w:sz w:val="18"/>
                <w:szCs w:val="18"/>
              </w:rPr>
              <w:t>Seçili</w:t>
            </w:r>
          </w:p>
        </w:tc>
        <w:tc>
          <w:tcPr>
            <w:tcW w:w="2402" w:type="dxa"/>
            <w:tcBorders>
              <w:top w:val="single" w:sz="4" w:space="0" w:color="BFBFBF"/>
              <w:left w:val="single" w:sz="4" w:space="0" w:color="BFBFBF"/>
              <w:bottom w:val="single" w:sz="4" w:space="0" w:color="BFBFBF"/>
              <w:right w:val="single" w:sz="4" w:space="0" w:color="BFBFBF"/>
            </w:tcBorders>
            <w:shd w:fill="DDE8ED" w:val="clear"/>
          </w:tcPr>
          <w:p>
            <w:pPr>
              <w:pStyle w:val="Normal"/>
              <w:spacing w:before="40" w:after="40"/>
              <w:rPr/>
            </w:pPr>
            <w:r>
              <w:rPr>
                <w:rFonts w:eastAsia="Calibri" w:cs="Calibri"/>
                <w:b/>
                <w:bCs/>
                <w:sz w:val="18"/>
                <w:szCs w:val="18"/>
              </w:rPr>
              <w:t>Ana alternatif</w:t>
            </w:r>
          </w:p>
        </w:tc>
        <w:tc>
          <w:tcPr>
            <w:tcW w:w="2798" w:type="dxa"/>
            <w:tcBorders>
              <w:top w:val="single" w:sz="4" w:space="0" w:color="BFBFBF"/>
              <w:left w:val="single" w:sz="4" w:space="0" w:color="BFBFBF"/>
              <w:bottom w:val="single" w:sz="4" w:space="0" w:color="BFBFBF"/>
              <w:right w:val="single" w:sz="4" w:space="0" w:color="BFBFBF"/>
            </w:tcBorders>
            <w:shd w:fill="DDE8ED" w:val="clear"/>
          </w:tcPr>
          <w:p>
            <w:pPr>
              <w:pStyle w:val="Normal"/>
              <w:spacing w:before="40" w:after="40"/>
              <w:rPr/>
            </w:pPr>
            <w:r>
              <w:rPr>
                <w:rFonts w:eastAsia="Calibri" w:cs="Calibri"/>
                <w:b/>
                <w:bCs/>
                <w:sz w:val="18"/>
                <w:szCs w:val="18"/>
              </w:rPr>
              <w:t>Ne zaman alternatif düşünülür</w:t>
            </w:r>
          </w:p>
        </w:tc>
      </w:tr>
      <w:tr>
        <w:trPr/>
        <w:tc>
          <w:tcPr>
            <w:tcW w:w="1899"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Orkestrasyon</w:t>
            </w:r>
          </w:p>
        </w:tc>
        <w:tc>
          <w:tcPr>
            <w:tcW w:w="19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Temporal</w:t>
            </w:r>
          </w:p>
        </w:tc>
        <w:tc>
          <w:tcPr>
            <w:tcW w:w="2402"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Airflow, Prefect, Dagster</w:t>
            </w:r>
          </w:p>
        </w:tc>
        <w:tc>
          <w:tcPr>
            <w:tcW w:w="2798"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Airflow adım-içi checkpoint sunmaz; Prefect/Dagster daha modern ama ölçekte kanıtlanmışlık Temporal'da daha güçlü</w:t>
            </w:r>
          </w:p>
        </w:tc>
      </w:tr>
      <w:tr>
        <w:trPr/>
        <w:tc>
          <w:tcPr>
            <w:tcW w:w="1899"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Mesaj kuyruğu</w:t>
            </w:r>
          </w:p>
        </w:tc>
        <w:tc>
          <w:tcPr>
            <w:tcW w:w="19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Kafka</w:t>
            </w:r>
          </w:p>
        </w:tc>
        <w:tc>
          <w:tcPr>
            <w:tcW w:w="2402"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RabbitMQ, Redis Streams, Pulsar</w:t>
            </w:r>
          </w:p>
        </w:tc>
        <w:tc>
          <w:tcPr>
            <w:tcW w:w="2798"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Tekli tetikleme yeterliyse RabbitMQ de çalışır; Kafka ClickHouse ekosistemiyle sürtünmesiz</w:t>
            </w:r>
          </w:p>
        </w:tc>
      </w:tr>
      <w:tr>
        <w:trPr/>
        <w:tc>
          <w:tcPr>
            <w:tcW w:w="1899"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Yapısal LLM çıktısı</w:t>
            </w:r>
          </w:p>
        </w:tc>
        <w:tc>
          <w:tcPr>
            <w:tcW w:w="19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xgrammar</w:t>
            </w:r>
          </w:p>
        </w:tc>
        <w:tc>
          <w:tcPr>
            <w:tcW w:w="2402"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Outlines, Guidance, native JSON mode</w:t>
            </w:r>
          </w:p>
        </w:tc>
        <w:tc>
          <w:tcPr>
            <w:tcW w:w="2798"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Üçü de aynı temel fikri uygular; ekip aşinalığı belirleyici olabilir</w:t>
            </w:r>
          </w:p>
        </w:tc>
      </w:tr>
      <w:tr>
        <w:trPr/>
        <w:tc>
          <w:tcPr>
            <w:tcW w:w="1899"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Etiketleme/değerlendirme</w:t>
            </w:r>
          </w:p>
        </w:tc>
        <w:tc>
          <w:tcPr>
            <w:tcW w:w="19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FiftyOne</w:t>
            </w:r>
          </w:p>
        </w:tc>
        <w:tc>
          <w:tcPr>
            <w:tcW w:w="2402"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Label Studio, CVAT</w:t>
            </w:r>
          </w:p>
        </w:tc>
        <w:tc>
          <w:tcPr>
            <w:tcW w:w="2798"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CVAT sınırlama kutusu etiketlemede daha güçlü; ikisini birlikte kullanmak (CVAT: YOLO verisi, FiftyOne: altın set) yaygın pratik</w:t>
            </w:r>
          </w:p>
        </w:tc>
      </w:tr>
      <w:tr>
        <w:trPr/>
        <w:tc>
          <w:tcPr>
            <w:tcW w:w="1899"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İzleme</w:t>
            </w:r>
          </w:p>
        </w:tc>
        <w:tc>
          <w:tcPr>
            <w:tcW w:w="19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Prometheus + Grafana</w:t>
            </w:r>
          </w:p>
        </w:tc>
        <w:tc>
          <w:tcPr>
            <w:tcW w:w="2402"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Datadog, kurumsal APM</w:t>
            </w:r>
          </w:p>
        </w:tc>
        <w:tc>
          <w:tcPr>
            <w:tcW w:w="2798"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Self-hosted kısıtla en uyumlu; ekosistemde native metrik desteği var</w:t>
            </w:r>
          </w:p>
        </w:tc>
      </w:tr>
    </w:tbl>
    <w:p>
      <w:pPr>
        <w:pStyle w:val="Heading1"/>
        <w:spacing w:before="360" w:after="160"/>
        <w:rPr/>
      </w:pPr>
      <w:r>
        <w:rPr/>
        <w:t>4. Mevcut Sistemle Karşılaştırma</w:t>
      </w:r>
    </w:p>
    <w:p>
      <w:pPr>
        <w:pStyle w:val="Normal"/>
        <w:spacing w:lineRule="exact" w:line="300" w:before="0" w:after="160"/>
        <w:jc w:val="both"/>
        <w:rPr/>
      </w:pPr>
      <w:r>
        <w:rPr>
          <w:rFonts w:eastAsia="Calibri" w:cs="Calibri"/>
          <w:b/>
          <w:bCs/>
          <w:sz w:val="22"/>
          <w:szCs w:val="22"/>
        </w:rPr>
        <w:t xml:space="preserve">Mevcut sistem tanımı: </w:t>
      </w:r>
      <w:r>
        <w:rPr>
          <w:rFonts w:eastAsia="Calibri" w:cs="Calibri"/>
          <w:sz w:val="22"/>
          <w:szCs w:val="22"/>
        </w:rPr>
        <w:t>kare bazlı düz CLIP (1 fps → ~1,08 milyar vektör, 768 boyut), telemetri/filtre katmanı yok, sorgu metni doğrudan embed edilir, tek vektör indeksinde ANN.</w:t>
      </w:r>
    </w:p>
    <w:p>
      <w:pPr>
        <w:pStyle w:val="Heading2"/>
        <w:spacing w:before="280" w:after="120"/>
        <w:rPr/>
      </w:pPr>
      <w:r>
        <w:rPr/>
        <w:t>4.1 Boyut (sıkıştırmasız, fp16)</w:t>
      </w:r>
    </w:p>
    <w:tbl>
      <w:tblPr>
        <w:tblW w:w="9000" w:type="dxa"/>
        <w:jc w:val="left"/>
        <w:tblInd w:w="0" w:type="dxa"/>
        <w:tblLayout w:type="fixed"/>
        <w:tblCellMar>
          <w:top w:w="60" w:type="dxa"/>
          <w:left w:w="100" w:type="dxa"/>
          <w:bottom w:w="60" w:type="dxa"/>
          <w:right w:w="100" w:type="dxa"/>
        </w:tblCellMar>
      </w:tblPr>
      <w:tblGrid>
        <w:gridCol w:w="3300"/>
        <w:gridCol w:w="1900"/>
        <w:gridCol w:w="1901"/>
        <w:gridCol w:w="1898"/>
      </w:tblGrid>
      <w:tr>
        <w:trPr>
          <w:tblHeader w:val="true"/>
        </w:trPr>
        <w:tc>
          <w:tcPr>
            <w:tcW w:w="3300" w:type="dxa"/>
            <w:tcBorders>
              <w:top w:val="single" w:sz="4" w:space="0" w:color="BFBFBF"/>
              <w:left w:val="single" w:sz="4" w:space="0" w:color="BFBFBF"/>
              <w:bottom w:val="single" w:sz="4" w:space="0" w:color="BFBFBF"/>
              <w:right w:val="single" w:sz="4" w:space="0" w:color="BFBFBF"/>
            </w:tcBorders>
            <w:shd w:fill="DDE8ED" w:val="clear"/>
          </w:tcPr>
          <w:p>
            <w:pPr>
              <w:pStyle w:val="Normal"/>
              <w:spacing w:before="40" w:after="40"/>
              <w:rPr/>
            </w:pPr>
            <w:r>
              <w:rPr>
                <w:rFonts w:eastAsia="Calibri" w:cs="Calibri"/>
                <w:b/>
                <w:bCs/>
                <w:sz w:val="18"/>
                <w:szCs w:val="18"/>
              </w:rPr>
              <w:t>Katman</w:t>
            </w:r>
          </w:p>
        </w:tc>
        <w:tc>
          <w:tcPr>
            <w:tcW w:w="1900" w:type="dxa"/>
            <w:tcBorders>
              <w:top w:val="single" w:sz="4" w:space="0" w:color="BFBFBF"/>
              <w:left w:val="single" w:sz="4" w:space="0" w:color="BFBFBF"/>
              <w:bottom w:val="single" w:sz="4" w:space="0" w:color="BFBFBF"/>
              <w:right w:val="single" w:sz="4" w:space="0" w:color="BFBFBF"/>
            </w:tcBorders>
            <w:shd w:fill="DDE8ED" w:val="clear"/>
          </w:tcPr>
          <w:p>
            <w:pPr>
              <w:pStyle w:val="Normal"/>
              <w:spacing w:before="40" w:after="40"/>
              <w:rPr/>
            </w:pPr>
            <w:r>
              <w:rPr>
                <w:rFonts w:eastAsia="Calibri" w:cs="Calibri"/>
                <w:b/>
                <w:bCs/>
                <w:sz w:val="18"/>
                <w:szCs w:val="18"/>
              </w:rPr>
              <w:t>Mevcut (CLIP)</w:t>
            </w:r>
          </w:p>
        </w:tc>
        <w:tc>
          <w:tcPr>
            <w:tcW w:w="1901" w:type="dxa"/>
            <w:tcBorders>
              <w:top w:val="single" w:sz="4" w:space="0" w:color="BFBFBF"/>
              <w:left w:val="single" w:sz="4" w:space="0" w:color="BFBFBF"/>
              <w:bottom w:val="single" w:sz="4" w:space="0" w:color="BFBFBF"/>
              <w:right w:val="single" w:sz="4" w:space="0" w:color="BFBFBF"/>
            </w:tcBorders>
            <w:shd w:fill="DDE8ED" w:val="clear"/>
          </w:tcPr>
          <w:p>
            <w:pPr>
              <w:pStyle w:val="Normal"/>
              <w:spacing w:before="40" w:after="40"/>
              <w:rPr/>
            </w:pPr>
            <w:r>
              <w:rPr>
                <w:rFonts w:eastAsia="Calibri" w:cs="Calibri"/>
                <w:b/>
                <w:bCs/>
                <w:sz w:val="18"/>
                <w:szCs w:val="18"/>
              </w:rPr>
              <w:t>Önerilen (X-CLIP)</w:t>
            </w:r>
          </w:p>
        </w:tc>
        <w:tc>
          <w:tcPr>
            <w:tcW w:w="1898" w:type="dxa"/>
            <w:tcBorders>
              <w:top w:val="single" w:sz="4" w:space="0" w:color="BFBFBF"/>
              <w:left w:val="single" w:sz="4" w:space="0" w:color="BFBFBF"/>
              <w:bottom w:val="single" w:sz="4" w:space="0" w:color="BFBFBF"/>
              <w:right w:val="single" w:sz="4" w:space="0" w:color="BFBFBF"/>
            </w:tcBorders>
            <w:shd w:fill="DDE8ED" w:val="clear"/>
          </w:tcPr>
          <w:p>
            <w:pPr>
              <w:pStyle w:val="Normal"/>
              <w:spacing w:before="40" w:after="40"/>
              <w:rPr/>
            </w:pPr>
            <w:r>
              <w:rPr>
                <w:rFonts w:eastAsia="Calibri" w:cs="Calibri"/>
                <w:b/>
                <w:bCs/>
                <w:sz w:val="18"/>
                <w:szCs w:val="18"/>
              </w:rPr>
              <w:t>Fark</w:t>
            </w:r>
          </w:p>
        </w:tc>
      </w:tr>
      <w:tr>
        <w:trPr/>
        <w:tc>
          <w:tcPr>
            <w:tcW w:w="33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Embedding vektörleri</w:t>
            </w:r>
          </w:p>
        </w:tc>
        <w:tc>
          <w:tcPr>
            <w:tcW w:w="19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1.660 GB</w:t>
            </w:r>
          </w:p>
        </w:tc>
        <w:tc>
          <w:tcPr>
            <w:tcW w:w="1901"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276 GB</w:t>
            </w:r>
          </w:p>
        </w:tc>
        <w:tc>
          <w:tcPr>
            <w:tcW w:w="1898"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6x</w:t>
            </w:r>
          </w:p>
        </w:tc>
      </w:tr>
      <w:tr>
        <w:trPr/>
        <w:tc>
          <w:tcPr>
            <w:tcW w:w="33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HNSW indeks</w:t>
            </w:r>
          </w:p>
        </w:tc>
        <w:tc>
          <w:tcPr>
            <w:tcW w:w="19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~180 GB</w:t>
            </w:r>
          </w:p>
        </w:tc>
        <w:tc>
          <w:tcPr>
            <w:tcW w:w="1901"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w:t>
            </w:r>
            <w:r>
              <w:rPr>
                <w:rFonts w:eastAsia="Calibri" w:cs="Calibri"/>
                <w:b w:val="false"/>
                <w:bCs w:val="false"/>
                <w:sz w:val="18"/>
                <w:szCs w:val="18"/>
              </w:rPr>
              <w:t>50</w:t>
            </w:r>
            <w:r>
              <w:rPr>
                <w:rFonts w:eastAsia="Calibri" w:cs="Calibri"/>
                <w:b w:val="false"/>
                <w:bCs w:val="false"/>
                <w:sz w:val="18"/>
                <w:szCs w:val="18"/>
              </w:rPr>
              <w:t xml:space="preserve"> GB</w:t>
            </w:r>
          </w:p>
        </w:tc>
        <w:tc>
          <w:tcPr>
            <w:tcW w:w="1898"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~5,5x</w:t>
            </w:r>
          </w:p>
        </w:tc>
      </w:tr>
      <w:tr>
        <w:trPr/>
        <w:tc>
          <w:tcPr>
            <w:tcW w:w="33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Telemetri + türetilmiş kolonlar</w:t>
            </w:r>
          </w:p>
        </w:tc>
        <w:tc>
          <w:tcPr>
            <w:tcW w:w="19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w:t>
            </w:r>
          </w:p>
        </w:tc>
        <w:tc>
          <w:tcPr>
            <w:tcW w:w="1901"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20 GB</w:t>
            </w:r>
          </w:p>
        </w:tc>
        <w:tc>
          <w:tcPr>
            <w:tcW w:w="1898"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hibrite özgü</w:t>
            </w:r>
          </w:p>
        </w:tc>
      </w:tr>
      <w:tr>
        <w:trPr/>
        <w:tc>
          <w:tcPr>
            <w:tcW w:w="33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Caption + terfi alanları</w:t>
            </w:r>
          </w:p>
        </w:tc>
        <w:tc>
          <w:tcPr>
            <w:tcW w:w="19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w:t>
            </w:r>
          </w:p>
        </w:tc>
        <w:tc>
          <w:tcPr>
            <w:tcW w:w="1901"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5 GB</w:t>
            </w:r>
          </w:p>
        </w:tc>
        <w:tc>
          <w:tcPr>
            <w:tcW w:w="1898"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hibrite özgü</w:t>
            </w:r>
          </w:p>
        </w:tc>
      </w:tr>
      <w:tr>
        <w:trPr/>
        <w:tc>
          <w:tcPr>
            <w:tcW w:w="33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Satır iskeleti</w:t>
            </w:r>
          </w:p>
        </w:tc>
        <w:tc>
          <w:tcPr>
            <w:tcW w:w="19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~35 GB</w:t>
            </w:r>
          </w:p>
        </w:tc>
        <w:tc>
          <w:tcPr>
            <w:tcW w:w="1901"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~9 GB</w:t>
            </w:r>
          </w:p>
        </w:tc>
        <w:tc>
          <w:tcPr>
            <w:tcW w:w="1898"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4x</w:t>
            </w:r>
          </w:p>
        </w:tc>
      </w:tr>
      <w:tr>
        <w:trPr/>
        <w:tc>
          <w:tcPr>
            <w:tcW w:w="33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Sıcak arama katmanı toplamı</w:t>
            </w:r>
          </w:p>
        </w:tc>
        <w:tc>
          <w:tcPr>
            <w:tcW w:w="19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~1.875 GB</w:t>
            </w:r>
          </w:p>
        </w:tc>
        <w:tc>
          <w:tcPr>
            <w:tcW w:w="1901"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~3</w:t>
            </w:r>
            <w:r>
              <w:rPr>
                <w:rFonts w:eastAsia="Calibri" w:cs="Calibri"/>
                <w:b w:val="false"/>
                <w:bCs w:val="false"/>
                <w:sz w:val="18"/>
                <w:szCs w:val="18"/>
              </w:rPr>
              <w:t>60</w:t>
            </w:r>
            <w:r>
              <w:rPr>
                <w:rFonts w:eastAsia="Calibri" w:cs="Calibri"/>
                <w:b w:val="false"/>
                <w:bCs w:val="false"/>
                <w:sz w:val="18"/>
                <w:szCs w:val="18"/>
              </w:rPr>
              <w:t xml:space="preserve"> GB</w:t>
            </w:r>
          </w:p>
        </w:tc>
        <w:tc>
          <w:tcPr>
            <w:tcW w:w="1898"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~5,</w:t>
            </w:r>
            <w:r>
              <w:rPr>
                <w:rFonts w:eastAsia="Calibri" w:cs="Calibri"/>
                <w:b w:val="false"/>
                <w:bCs w:val="false"/>
                <w:sz w:val="18"/>
                <w:szCs w:val="18"/>
              </w:rPr>
              <w:t>2</w:t>
            </w:r>
            <w:r>
              <w:rPr>
                <w:rFonts w:eastAsia="Calibri" w:cs="Calibri"/>
                <w:b w:val="false"/>
                <w:bCs w:val="false"/>
                <w:sz w:val="18"/>
                <w:szCs w:val="18"/>
              </w:rPr>
              <w:t>x</w:t>
            </w:r>
          </w:p>
        </w:tc>
      </w:tr>
      <w:tr>
        <w:trPr/>
        <w:tc>
          <w:tcPr>
            <w:tcW w:w="33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Orijinal + proxy dahil genel toplam</w:t>
            </w:r>
          </w:p>
        </w:tc>
        <w:tc>
          <w:tcPr>
            <w:tcW w:w="19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~1.652,9 TB</w:t>
            </w:r>
          </w:p>
        </w:tc>
        <w:tc>
          <w:tcPr>
            <w:tcW w:w="1901"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~1.652,0 TB</w:t>
            </w:r>
          </w:p>
        </w:tc>
        <w:tc>
          <w:tcPr>
            <w:tcW w:w="1898"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ihmal edilebilir</w:t>
            </w:r>
          </w:p>
        </w:tc>
      </w:tr>
    </w:tbl>
    <w:p>
      <w:pPr>
        <w:pStyle w:val="Normal"/>
        <w:spacing w:before="0" w:after="120"/>
        <w:rPr/>
      </w:pPr>
      <w:r>
        <w:rPr/>
      </w:r>
    </w:p>
    <w:p>
      <w:pPr>
        <w:pStyle w:val="Normal"/>
        <w:spacing w:lineRule="exact" w:line="300" w:before="0" w:after="160"/>
        <w:jc w:val="both"/>
        <w:rPr/>
      </w:pPr>
      <w:r>
        <w:rPr>
          <w:rFonts w:eastAsia="Calibri" w:cs="Calibri"/>
          <w:sz w:val="22"/>
          <w:szCs w:val="22"/>
        </w:rPr>
        <w:t>Genel toplamda fark yoktur (envanterin %99,9'u ortak video kütlesi); belirleyici fark sıcak katmandadır: 1.875 GB tek makine RAM'ini aşar, 343 GB tek dolgun sunucuya rahatça sığar.</w:t>
      </w:r>
    </w:p>
    <w:p>
      <w:pPr>
        <w:pStyle w:val="Heading2"/>
        <w:spacing w:before="280" w:after="120"/>
        <w:rPr/>
      </w:pPr>
      <w:r>
        <w:rPr/>
        <w:t>4.2 Hız</w:t>
      </w:r>
    </w:p>
    <w:tbl>
      <w:tblPr>
        <w:tblW w:w="9000" w:type="dxa"/>
        <w:jc w:val="left"/>
        <w:tblInd w:w="0" w:type="dxa"/>
        <w:tblLayout w:type="fixed"/>
        <w:tblCellMar>
          <w:top w:w="60" w:type="dxa"/>
          <w:left w:w="100" w:type="dxa"/>
          <w:bottom w:w="60" w:type="dxa"/>
          <w:right w:w="100" w:type="dxa"/>
        </w:tblCellMar>
      </w:tblPr>
      <w:tblGrid>
        <w:gridCol w:w="3000"/>
        <w:gridCol w:w="3000"/>
        <w:gridCol w:w="3000"/>
      </w:tblGrid>
      <w:tr>
        <w:trPr>
          <w:tblHeader w:val="true"/>
        </w:trPr>
        <w:tc>
          <w:tcPr>
            <w:tcW w:w="3000" w:type="dxa"/>
            <w:tcBorders>
              <w:top w:val="single" w:sz="4" w:space="0" w:color="BFBFBF"/>
              <w:left w:val="single" w:sz="4" w:space="0" w:color="BFBFBF"/>
              <w:bottom w:val="single" w:sz="4" w:space="0" w:color="BFBFBF"/>
              <w:right w:val="single" w:sz="4" w:space="0" w:color="BFBFBF"/>
            </w:tcBorders>
            <w:shd w:fill="DDE8ED" w:val="clear"/>
          </w:tcPr>
          <w:p>
            <w:pPr>
              <w:pStyle w:val="Normal"/>
              <w:spacing w:before="40" w:after="40"/>
              <w:rPr/>
            </w:pPr>
            <w:r>
              <w:rPr>
                <w:rFonts w:eastAsia="Calibri" w:cs="Calibri"/>
                <w:b/>
                <w:bCs/>
                <w:sz w:val="18"/>
                <w:szCs w:val="18"/>
              </w:rPr>
              <w:t>Ölçüt</w:t>
            </w:r>
          </w:p>
        </w:tc>
        <w:tc>
          <w:tcPr>
            <w:tcW w:w="3000" w:type="dxa"/>
            <w:tcBorders>
              <w:top w:val="single" w:sz="4" w:space="0" w:color="BFBFBF"/>
              <w:left w:val="single" w:sz="4" w:space="0" w:color="BFBFBF"/>
              <w:bottom w:val="single" w:sz="4" w:space="0" w:color="BFBFBF"/>
              <w:right w:val="single" w:sz="4" w:space="0" w:color="BFBFBF"/>
            </w:tcBorders>
            <w:shd w:fill="DDE8ED" w:val="clear"/>
          </w:tcPr>
          <w:p>
            <w:pPr>
              <w:pStyle w:val="Normal"/>
              <w:spacing w:before="40" w:after="40"/>
              <w:rPr/>
            </w:pPr>
            <w:r>
              <w:rPr>
                <w:rFonts w:eastAsia="Calibri" w:cs="Calibri"/>
                <w:b/>
                <w:bCs/>
                <w:sz w:val="18"/>
                <w:szCs w:val="18"/>
              </w:rPr>
              <w:t>Mevcut</w:t>
            </w:r>
          </w:p>
        </w:tc>
        <w:tc>
          <w:tcPr>
            <w:tcW w:w="3000" w:type="dxa"/>
            <w:tcBorders>
              <w:top w:val="single" w:sz="4" w:space="0" w:color="BFBFBF"/>
              <w:left w:val="single" w:sz="4" w:space="0" w:color="BFBFBF"/>
              <w:bottom w:val="single" w:sz="4" w:space="0" w:color="BFBFBF"/>
              <w:right w:val="single" w:sz="4" w:space="0" w:color="BFBFBF"/>
            </w:tcBorders>
            <w:shd w:fill="DDE8ED" w:val="clear"/>
          </w:tcPr>
          <w:p>
            <w:pPr>
              <w:pStyle w:val="Normal"/>
              <w:spacing w:before="40" w:after="40"/>
              <w:rPr/>
            </w:pPr>
            <w:r>
              <w:rPr>
                <w:rFonts w:eastAsia="Calibri" w:cs="Calibri"/>
                <w:b/>
                <w:bCs/>
                <w:sz w:val="18"/>
                <w:szCs w:val="18"/>
              </w:rPr>
              <w:t>Önerilen</w:t>
            </w:r>
          </w:p>
        </w:tc>
      </w:tr>
      <w:tr>
        <w:trPr/>
        <w:tc>
          <w:tcPr>
            <w:tcW w:w="30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Taranan küme (4 kısıtlı sorgu)</w:t>
            </w:r>
          </w:p>
        </w:tc>
        <w:tc>
          <w:tcPr>
            <w:tcW w:w="30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1,08 milyar vektörün tamamı (ANN)</w:t>
            </w:r>
          </w:p>
        </w:tc>
        <w:tc>
          <w:tcPr>
            <w:tcW w:w="30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Filtre sonrası küçük aday kümesi (kesin arama)</w:t>
            </w:r>
          </w:p>
        </w:tc>
      </w:tr>
      <w:tr>
        <w:trPr/>
        <w:tc>
          <w:tcPr>
            <w:tcW w:w="30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Uçtan uca tipik sorgu</w:t>
            </w:r>
          </w:p>
        </w:tc>
        <w:tc>
          <w:tcPr>
            <w:tcW w:w="30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~300 ms (düşük kesinlikle)</w:t>
            </w:r>
          </w:p>
        </w:tc>
        <w:tc>
          <w:tcPr>
            <w:tcW w:w="30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~300 ms (yüksek kesinlikle; darboğaz LLM ayrıştırma)</w:t>
            </w:r>
          </w:p>
        </w:tc>
      </w:tr>
      <w:tr>
        <w:trPr/>
        <w:tc>
          <w:tcPr>
            <w:tcW w:w="30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Eşdeğer kesinlik için rerank yükü</w:t>
            </w:r>
          </w:p>
        </w:tc>
        <w:tc>
          <w:tcPr>
            <w:tcW w:w="30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Top 500-1000 aday → 3-15 dk/sorgu</w:t>
            </w:r>
          </w:p>
        </w:tc>
        <w:tc>
          <w:tcPr>
            <w:tcW w:w="30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Top 10-20 aday → ~8-10 sn (opsiyonel, bu sürümde daha kritik)</w:t>
            </w:r>
          </w:p>
        </w:tc>
      </w:tr>
      <w:tr>
        <w:trPr/>
        <w:tc>
          <w:tcPr>
            <w:tcW w:w="30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Recall garantisi</w:t>
            </w:r>
          </w:p>
        </w:tc>
        <w:tc>
          <w:tcPr>
            <w:tcW w:w="30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~%90-95 (HNSW yaklaşıklığı)</w:t>
            </w:r>
          </w:p>
        </w:tc>
        <w:tc>
          <w:tcPr>
            <w:tcW w:w="30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Filtre kümesinde %100 (kesin tarama)</w:t>
            </w:r>
          </w:p>
        </w:tc>
      </w:tr>
      <w:tr>
        <w:trPr/>
        <w:tc>
          <w:tcPr>
            <w:tcW w:w="30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Embedding üretim hızı (video başına)</w:t>
            </w:r>
          </w:p>
        </w:tc>
        <w:tc>
          <w:tcPr>
            <w:tcW w:w="30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Referans</w:t>
            </w:r>
          </w:p>
        </w:tc>
        <w:tc>
          <w:tcPr>
            <w:tcW w:w="30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Bağımsız testte kısa klipler için ~192 ms; POC ile doğrulanmalı</w:t>
            </w:r>
          </w:p>
        </w:tc>
      </w:tr>
    </w:tbl>
    <w:p>
      <w:pPr>
        <w:pStyle w:val="Heading2"/>
        <w:spacing w:before="280" w:after="120"/>
        <w:rPr/>
      </w:pPr>
      <w:r>
        <w:rPr/>
        <w:t>4.3 Doğruluk (altın setle doğrulanması gereken beklenti aralıkları)</w:t>
      </w:r>
    </w:p>
    <w:tbl>
      <w:tblPr>
        <w:tblW w:w="9000" w:type="dxa"/>
        <w:jc w:val="left"/>
        <w:tblInd w:w="0" w:type="dxa"/>
        <w:tblLayout w:type="fixed"/>
        <w:tblCellMar>
          <w:top w:w="60" w:type="dxa"/>
          <w:left w:w="100" w:type="dxa"/>
          <w:bottom w:w="60" w:type="dxa"/>
          <w:right w:w="100" w:type="dxa"/>
        </w:tblCellMar>
      </w:tblPr>
      <w:tblGrid>
        <w:gridCol w:w="3600"/>
        <w:gridCol w:w="2700"/>
        <w:gridCol w:w="2700"/>
      </w:tblGrid>
      <w:tr>
        <w:trPr>
          <w:tblHeader w:val="true"/>
        </w:trPr>
        <w:tc>
          <w:tcPr>
            <w:tcW w:w="3600" w:type="dxa"/>
            <w:tcBorders>
              <w:top w:val="single" w:sz="4" w:space="0" w:color="BFBFBF"/>
              <w:left w:val="single" w:sz="4" w:space="0" w:color="BFBFBF"/>
              <w:bottom w:val="single" w:sz="4" w:space="0" w:color="BFBFBF"/>
              <w:right w:val="single" w:sz="4" w:space="0" w:color="BFBFBF"/>
            </w:tcBorders>
            <w:shd w:fill="DDE8ED" w:val="clear"/>
          </w:tcPr>
          <w:p>
            <w:pPr>
              <w:pStyle w:val="Normal"/>
              <w:spacing w:before="40" w:after="40"/>
              <w:rPr/>
            </w:pPr>
            <w:r>
              <w:rPr>
                <w:rFonts w:eastAsia="Calibri" w:cs="Calibri"/>
                <w:b/>
                <w:bCs/>
                <w:sz w:val="18"/>
                <w:szCs w:val="18"/>
              </w:rPr>
              <w:t>Sorgu sınıfı</w:t>
            </w:r>
          </w:p>
        </w:tc>
        <w:tc>
          <w:tcPr>
            <w:tcW w:w="2700" w:type="dxa"/>
            <w:tcBorders>
              <w:top w:val="single" w:sz="4" w:space="0" w:color="BFBFBF"/>
              <w:left w:val="single" w:sz="4" w:space="0" w:color="BFBFBF"/>
              <w:bottom w:val="single" w:sz="4" w:space="0" w:color="BFBFBF"/>
              <w:right w:val="single" w:sz="4" w:space="0" w:color="BFBFBF"/>
            </w:tcBorders>
            <w:shd w:fill="DDE8ED" w:val="clear"/>
          </w:tcPr>
          <w:p>
            <w:pPr>
              <w:pStyle w:val="Normal"/>
              <w:spacing w:before="40" w:after="40"/>
              <w:rPr/>
            </w:pPr>
            <w:r>
              <w:rPr>
                <w:rFonts w:eastAsia="Calibri" w:cs="Calibri"/>
                <w:b/>
                <w:bCs/>
                <w:sz w:val="18"/>
                <w:szCs w:val="18"/>
              </w:rPr>
              <w:t>Mevcut</w:t>
            </w:r>
          </w:p>
        </w:tc>
        <w:tc>
          <w:tcPr>
            <w:tcW w:w="2700" w:type="dxa"/>
            <w:tcBorders>
              <w:top w:val="single" w:sz="4" w:space="0" w:color="BFBFBF"/>
              <w:left w:val="single" w:sz="4" w:space="0" w:color="BFBFBF"/>
              <w:bottom w:val="single" w:sz="4" w:space="0" w:color="BFBFBF"/>
              <w:right w:val="single" w:sz="4" w:space="0" w:color="BFBFBF"/>
            </w:tcBorders>
            <w:shd w:fill="DDE8ED" w:val="clear"/>
          </w:tcPr>
          <w:p>
            <w:pPr>
              <w:pStyle w:val="Normal"/>
              <w:spacing w:before="40" w:after="40"/>
              <w:rPr/>
            </w:pPr>
            <w:r>
              <w:rPr>
                <w:rFonts w:eastAsia="Calibri" w:cs="Calibri"/>
                <w:b/>
                <w:bCs/>
                <w:sz w:val="18"/>
                <w:szCs w:val="18"/>
              </w:rPr>
              <w:t>Önerilen</w:t>
            </w:r>
          </w:p>
        </w:tc>
      </w:tr>
      <w:tr>
        <w:trPr/>
        <w:tc>
          <w:tcPr>
            <w:tcW w:w="36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Tek kavramlı statik ("deniz üzerinde uçuş")</w:t>
            </w:r>
          </w:p>
        </w:tc>
        <w:tc>
          <w:tcPr>
            <w:tcW w:w="27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 xml:space="preserve">~%40-60 (SigLIP2 proxy'sine göre, ölçülmemiş) </w:t>
            </w:r>
          </w:p>
        </w:tc>
        <w:tc>
          <w:tcPr>
            <w:tcW w:w="27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 xml:space="preserve">~%55-75 (X-CLIP ölçümüne göre) </w:t>
            </w:r>
          </w:p>
        </w:tc>
      </w:tr>
      <w:tr>
        <w:trPr/>
        <w:tc>
          <w:tcPr>
            <w:tcW w:w="36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3-4 kısıtlı bileşik sorgu (precision@10)</w:t>
            </w:r>
          </w:p>
        </w:tc>
        <w:tc>
          <w:tcPr>
            <w:tcW w:w="27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Style w:val="Strong"/>
                <w:rFonts w:eastAsia="Calibri" w:cs="Calibri"/>
                <w:b w:val="false"/>
                <w:bCs w:val="false"/>
                <w:sz w:val="18"/>
                <w:szCs w:val="18"/>
              </w:rPr>
              <w:t>~%</w:t>
            </w:r>
            <w:r>
              <w:rPr>
                <w:rStyle w:val="Strong"/>
                <w:rFonts w:eastAsia="Calibri" w:cs="Calibri"/>
                <w:b w:val="false"/>
                <w:bCs w:val="false"/>
                <w:sz w:val="18"/>
                <w:szCs w:val="18"/>
              </w:rPr>
              <w:t>3-</w:t>
            </w:r>
            <w:r>
              <w:rPr>
                <w:rStyle w:val="Strong"/>
                <w:rFonts w:eastAsia="Calibri" w:cs="Calibri"/>
                <w:b w:val="false"/>
                <w:bCs w:val="false"/>
                <w:sz w:val="18"/>
                <w:szCs w:val="18"/>
              </w:rPr>
              <w:t>1</w:t>
            </w:r>
            <w:r>
              <w:rPr>
                <w:rStyle w:val="Strong"/>
                <w:rFonts w:eastAsia="Calibri" w:cs="Calibri"/>
                <w:b w:val="false"/>
                <w:bCs w:val="false"/>
                <w:sz w:val="18"/>
                <w:szCs w:val="18"/>
              </w:rPr>
              <w:t>3</w:t>
            </w:r>
          </w:p>
        </w:tc>
        <w:tc>
          <w:tcPr>
            <w:tcW w:w="27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Style w:val="Strong"/>
                <w:rFonts w:eastAsia="Calibri" w:cs="Calibri"/>
                <w:b w:val="false"/>
                <w:bCs w:val="false"/>
                <w:sz w:val="18"/>
                <w:szCs w:val="18"/>
              </w:rPr>
              <w:t>~%55-75</w:t>
            </w:r>
          </w:p>
        </w:tc>
      </w:tr>
      <w:tr>
        <w:trPr/>
        <w:tc>
          <w:tcPr>
            <w:tcW w:w="36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Sayısal/eşikli ("200 km/s üstü")</w:t>
            </w:r>
          </w:p>
        </w:tc>
        <w:tc>
          <w:tcPr>
            <w:tcW w:w="27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Cevaplayamaz</w:t>
            </w:r>
          </w:p>
        </w:tc>
        <w:tc>
          <w:tcPr>
            <w:tcW w:w="27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Kesin (telemetriden, embedding'den bağımsız)</w:t>
            </w:r>
          </w:p>
        </w:tc>
      </w:tr>
      <w:tr>
        <w:trPr/>
        <w:tc>
          <w:tcPr>
            <w:tcW w:w="36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Görsel özdeş ayrımlar (günbatımı/gündoğumu)</w:t>
            </w:r>
          </w:p>
        </w:tc>
        <w:tc>
          <w:tcPr>
            <w:tcW w:w="27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Ayıramaz</w:t>
            </w:r>
          </w:p>
        </w:tc>
        <w:tc>
          <w:tcPr>
            <w:tcW w:w="27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Telemetriyle kesin (embedding'den bağımsız)</w:t>
            </w:r>
          </w:p>
        </w:tc>
      </w:tr>
      <w:tr>
        <w:trPr/>
        <w:tc>
          <w:tcPr>
            <w:tcW w:w="36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Hareket kavramları ("takip eden", "manevra")</w:t>
            </w:r>
          </w:p>
        </w:tc>
        <w:tc>
          <w:tcPr>
            <w:tcW w:w="27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Kare embedding'de fiilen kaybolur</w:t>
            </w:r>
          </w:p>
        </w:tc>
        <w:tc>
          <w:tcPr>
            <w:tcW w:w="27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Çapraz-kare dikkatle kısmen yakalanır, rerank ile güçlendirilir</w:t>
            </w:r>
          </w:p>
        </w:tc>
      </w:tr>
    </w:tbl>
    <w:p>
      <w:pPr>
        <w:pStyle w:val="Normal"/>
        <w:spacing w:before="0" w:after="120"/>
        <w:rPr>
          <w:rFonts w:ascii="Calibri" w:hAnsi="Calibri" w:eastAsia="Calibri" w:cs="Calibri"/>
          <w:sz w:val="22"/>
          <w:szCs w:val="22"/>
        </w:rPr>
      </w:pPr>
      <w:r>
        <w:rPr>
          <w:rFonts w:eastAsia="Calibri" w:cs="Calibri"/>
          <w:sz w:val="22"/>
          <w:szCs w:val="22"/>
        </w:rPr>
      </w:r>
    </w:p>
    <w:p>
      <w:pPr>
        <w:pStyle w:val="Heading2"/>
        <w:spacing w:before="280" w:after="120"/>
        <w:rPr/>
      </w:pPr>
      <w:r>
        <w:rPr/>
        <w:t>4.4 Ingest maliyeti</w:t>
      </w:r>
    </w:p>
    <w:tbl>
      <w:tblPr>
        <w:tblW w:w="9000" w:type="dxa"/>
        <w:jc w:val="left"/>
        <w:tblInd w:w="0" w:type="dxa"/>
        <w:tblLayout w:type="fixed"/>
        <w:tblCellMar>
          <w:top w:w="60" w:type="dxa"/>
          <w:left w:w="100" w:type="dxa"/>
          <w:bottom w:w="60" w:type="dxa"/>
          <w:right w:w="100" w:type="dxa"/>
        </w:tblCellMar>
      </w:tblPr>
      <w:tblGrid>
        <w:gridCol w:w="2400"/>
        <w:gridCol w:w="3298"/>
        <w:gridCol w:w="3302"/>
      </w:tblGrid>
      <w:tr>
        <w:trPr>
          <w:tblHeader w:val="true"/>
        </w:trPr>
        <w:tc>
          <w:tcPr>
            <w:tcW w:w="2400" w:type="dxa"/>
            <w:tcBorders>
              <w:top w:val="single" w:sz="4" w:space="0" w:color="BFBFBF"/>
              <w:left w:val="single" w:sz="4" w:space="0" w:color="BFBFBF"/>
              <w:bottom w:val="single" w:sz="4" w:space="0" w:color="BFBFBF"/>
              <w:right w:val="single" w:sz="4" w:space="0" w:color="BFBFBF"/>
            </w:tcBorders>
            <w:shd w:fill="DDE8ED" w:val="clear"/>
          </w:tcPr>
          <w:p>
            <w:pPr>
              <w:pStyle w:val="Normal"/>
              <w:spacing w:before="40" w:after="40"/>
              <w:rPr/>
            </w:pPr>
            <w:r>
              <w:rPr>
                <w:rFonts w:eastAsia="Calibri" w:cs="Calibri"/>
                <w:b/>
                <w:bCs/>
                <w:sz w:val="18"/>
                <w:szCs w:val="18"/>
              </w:rPr>
              <w:t>İş</w:t>
            </w:r>
          </w:p>
        </w:tc>
        <w:tc>
          <w:tcPr>
            <w:tcW w:w="3298" w:type="dxa"/>
            <w:tcBorders>
              <w:top w:val="single" w:sz="4" w:space="0" w:color="BFBFBF"/>
              <w:left w:val="single" w:sz="4" w:space="0" w:color="BFBFBF"/>
              <w:bottom w:val="single" w:sz="4" w:space="0" w:color="BFBFBF"/>
              <w:right w:val="single" w:sz="4" w:space="0" w:color="BFBFBF"/>
            </w:tcBorders>
            <w:shd w:fill="DDE8ED" w:val="clear"/>
          </w:tcPr>
          <w:p>
            <w:pPr>
              <w:pStyle w:val="Normal"/>
              <w:spacing w:before="40" w:after="40"/>
              <w:rPr/>
            </w:pPr>
            <w:r>
              <w:rPr>
                <w:rFonts w:eastAsia="Calibri" w:cs="Calibri"/>
                <w:b/>
                <w:bCs/>
                <w:sz w:val="18"/>
                <w:szCs w:val="18"/>
              </w:rPr>
              <w:t>Mevcut</w:t>
            </w:r>
          </w:p>
        </w:tc>
        <w:tc>
          <w:tcPr>
            <w:tcW w:w="3302" w:type="dxa"/>
            <w:tcBorders>
              <w:top w:val="single" w:sz="4" w:space="0" w:color="BFBFBF"/>
              <w:left w:val="single" w:sz="4" w:space="0" w:color="BFBFBF"/>
              <w:bottom w:val="single" w:sz="4" w:space="0" w:color="BFBFBF"/>
              <w:right w:val="single" w:sz="4" w:space="0" w:color="BFBFBF"/>
            </w:tcBorders>
            <w:shd w:fill="DDE8ED" w:val="clear"/>
          </w:tcPr>
          <w:p>
            <w:pPr>
              <w:pStyle w:val="Normal"/>
              <w:spacing w:before="40" w:after="40"/>
              <w:rPr/>
            </w:pPr>
            <w:r>
              <w:rPr>
                <w:rFonts w:eastAsia="Calibri" w:cs="Calibri"/>
                <w:b/>
                <w:bCs/>
                <w:sz w:val="18"/>
                <w:szCs w:val="18"/>
              </w:rPr>
              <w:t>Önerilen</w:t>
            </w:r>
          </w:p>
        </w:tc>
      </w:tr>
      <w:tr>
        <w:trPr/>
        <w:tc>
          <w:tcPr>
            <w:tcW w:w="24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Embedding geçişi</w:t>
            </w:r>
          </w:p>
        </w:tc>
        <w:tc>
          <w:tcPr>
            <w:tcW w:w="3298"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~7.500 GPU-saat (referans)</w:t>
            </w:r>
          </w:p>
        </w:tc>
        <w:tc>
          <w:tcPr>
            <w:tcW w:w="3302"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İlk tahmin ~7.500 GPU-saat; X-CLIP'in ölçülen hızı bunun altına inebilir, POC ile doğrulanmalı</w:t>
            </w:r>
          </w:p>
        </w:tc>
      </w:tr>
      <w:tr>
        <w:trPr/>
        <w:tc>
          <w:tcPr>
            <w:tcW w:w="24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Telemetri hattı</w:t>
            </w:r>
          </w:p>
        </w:tc>
        <w:tc>
          <w:tcPr>
            <w:tcW w:w="3298"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w:t>
            </w:r>
          </w:p>
        </w:tc>
        <w:tc>
          <w:tcPr>
            <w:tcW w:w="3302"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~2.500 CPU-saat (GPU'ya sıfır)</w:t>
            </w:r>
          </w:p>
        </w:tc>
      </w:tr>
      <w:tr>
        <w:trPr/>
        <w:tc>
          <w:tcPr>
            <w:tcW w:w="24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YOLO26 + caption</w:t>
            </w:r>
          </w:p>
        </w:tc>
        <w:tc>
          <w:tcPr>
            <w:tcW w:w="3298"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w:t>
            </w:r>
          </w:p>
        </w:tc>
        <w:tc>
          <w:tcPr>
            <w:tcW w:w="3302"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~2.100-2.600 GPU-saat</w:t>
            </w:r>
          </w:p>
        </w:tc>
      </w:tr>
    </w:tbl>
    <w:p>
      <w:pPr>
        <w:pStyle w:val="Normal"/>
        <w:spacing w:before="0" w:after="120"/>
        <w:rPr/>
      </w:pPr>
      <w:r>
        <w:rPr/>
      </w:r>
    </w:p>
    <w:p>
      <w:pPr>
        <w:pStyle w:val="Normal"/>
        <w:spacing w:lineRule="exact" w:line="300" w:before="0" w:after="160"/>
        <w:jc w:val="both"/>
        <w:rPr/>
      </w:pPr>
      <w:r>
        <w:rPr>
          <w:rFonts w:eastAsia="Calibri" w:cs="Calibri"/>
          <w:sz w:val="22"/>
          <w:szCs w:val="22"/>
        </w:rPr>
        <w:t>Embedding maliyetini kesin sayıyla raporlamak, kendi donanımınızda ve kendi 8 sn'lik pencerelerinizde ölçüm yapmadan yanıltıcı olur, bağımsız testteki 192 ms rakamı 10 sn'lik kısa stok videolarla alınmıştır. Adım 0 POC'u bu rakamı da netleştirmelidir.</w:t>
      </w:r>
    </w:p>
    <w:p>
      <w:pPr>
        <w:pStyle w:val="Heading2"/>
        <w:spacing w:before="280" w:after="120"/>
        <w:rPr/>
      </w:pPr>
      <w:r>
        <w:rPr/>
        <w:t>4.5 Evrim maliyeti</w:t>
      </w:r>
    </w:p>
    <w:p>
      <w:pPr>
        <w:pStyle w:val="Normal"/>
        <w:spacing w:lineRule="exact" w:line="300" w:before="0" w:after="160"/>
        <w:jc w:val="both"/>
        <w:rPr/>
      </w:pPr>
      <w:r>
        <w:rPr>
          <w:rFonts w:eastAsia="Calibri" w:cs="Calibri"/>
          <w:sz w:val="22"/>
          <w:szCs w:val="22"/>
        </w:rPr>
        <w:t>Yeni bir kavram gerektiğinde mevcut sistemin tek yolu daha iyi modelle tüm arşivi yeniden embed etmektir. Hibrit sistemde dört maliyet sınıfı vardır: ham kolonlardan SQL türetme (1-3 saat), telemetri/dış veri yeniden işleme (~1-2 gün CPU), yeni görsel detektör backfill'i (proxy üzerinden 2-5 gün GPU) ve yalnızca model değişiminde tam yeniden embedding (haftalar).</w:t>
      </w:r>
    </w:p>
    <w:p>
      <w:pPr>
        <w:pStyle w:val="Heading1"/>
        <w:spacing w:before="360" w:after="160"/>
        <w:rPr/>
      </w:pPr>
      <w:r>
        <w:rPr/>
        <w:t>5. Sıkıştırma Olanakları ve Doğruluk Etkileri</w:t>
      </w:r>
    </w:p>
    <w:p>
      <w:pPr>
        <w:pStyle w:val="Normal"/>
        <w:spacing w:lineRule="exact" w:line="300" w:before="0" w:after="160"/>
        <w:jc w:val="both"/>
        <w:rPr/>
      </w:pPr>
      <w:r>
        <w:rPr>
          <w:rFonts w:eastAsia="Calibri" w:cs="Calibri"/>
          <w:sz w:val="22"/>
          <w:szCs w:val="22"/>
        </w:rPr>
        <w:t>Vektörler yüksek entropili olduğundan kayıpsız sıkıştırma (%5-15) etkisizdir; gerçek kazanç kayıplı quantization merdivenindedir. Skaler kolonlar kayıpsız codec'lerle (Delta + ZSTD, LowCardinality) 20 GB → ~4 GB'a iner, bu katman her koşulda bit bit korunur.</w:t>
      </w:r>
    </w:p>
    <w:p>
      <w:pPr>
        <w:pStyle w:val="Heading2"/>
        <w:spacing w:before="280" w:after="120"/>
        <w:rPr/>
      </w:pPr>
      <w:r>
        <w:rPr/>
        <w:t>5.1 Quantization merdiveni (270M vektör, X-CLIP 512 boyut)</w:t>
      </w:r>
    </w:p>
    <w:tbl>
      <w:tblPr>
        <w:tblW w:w="9000" w:type="dxa"/>
        <w:jc w:val="left"/>
        <w:tblInd w:w="0" w:type="dxa"/>
        <w:tblLayout w:type="fixed"/>
        <w:tblCellMar>
          <w:top w:w="60" w:type="dxa"/>
          <w:left w:w="100" w:type="dxa"/>
          <w:bottom w:w="60" w:type="dxa"/>
          <w:right w:w="100" w:type="dxa"/>
        </w:tblCellMar>
      </w:tblPr>
      <w:tblGrid>
        <w:gridCol w:w="3400"/>
        <w:gridCol w:w="2000"/>
        <w:gridCol w:w="1601"/>
        <w:gridCol w:w="1998"/>
      </w:tblGrid>
      <w:tr>
        <w:trPr>
          <w:tblHeader w:val="true"/>
        </w:trPr>
        <w:tc>
          <w:tcPr>
            <w:tcW w:w="3400" w:type="dxa"/>
            <w:tcBorders>
              <w:top w:val="single" w:sz="4" w:space="0" w:color="BFBFBF"/>
              <w:left w:val="single" w:sz="4" w:space="0" w:color="BFBFBF"/>
              <w:bottom w:val="single" w:sz="4" w:space="0" w:color="BFBFBF"/>
              <w:right w:val="single" w:sz="4" w:space="0" w:color="BFBFBF"/>
            </w:tcBorders>
            <w:shd w:fill="DDE8ED" w:val="clear"/>
          </w:tcPr>
          <w:p>
            <w:pPr>
              <w:pStyle w:val="Normal"/>
              <w:spacing w:before="40" w:after="40"/>
              <w:rPr/>
            </w:pPr>
            <w:r>
              <w:rPr>
                <w:rFonts w:eastAsia="Calibri" w:cs="Calibri"/>
                <w:b/>
                <w:bCs/>
                <w:sz w:val="18"/>
                <w:szCs w:val="18"/>
              </w:rPr>
              <w:t>Yöntem</w:t>
            </w:r>
          </w:p>
        </w:tc>
        <w:tc>
          <w:tcPr>
            <w:tcW w:w="2000" w:type="dxa"/>
            <w:tcBorders>
              <w:top w:val="single" w:sz="4" w:space="0" w:color="BFBFBF"/>
              <w:left w:val="single" w:sz="4" w:space="0" w:color="BFBFBF"/>
              <w:bottom w:val="single" w:sz="4" w:space="0" w:color="BFBFBF"/>
              <w:right w:val="single" w:sz="4" w:space="0" w:color="BFBFBF"/>
            </w:tcBorders>
            <w:shd w:fill="DDE8ED" w:val="clear"/>
          </w:tcPr>
          <w:p>
            <w:pPr>
              <w:pStyle w:val="Normal"/>
              <w:spacing w:before="40" w:after="40"/>
              <w:rPr/>
            </w:pPr>
            <w:r>
              <w:rPr>
                <w:rFonts w:eastAsia="Calibri" w:cs="Calibri"/>
                <w:b/>
                <w:bCs/>
                <w:sz w:val="18"/>
                <w:szCs w:val="18"/>
              </w:rPr>
              <w:t>Vektör başına</w:t>
            </w:r>
          </w:p>
        </w:tc>
        <w:tc>
          <w:tcPr>
            <w:tcW w:w="1601" w:type="dxa"/>
            <w:tcBorders>
              <w:top w:val="single" w:sz="4" w:space="0" w:color="BFBFBF"/>
              <w:left w:val="single" w:sz="4" w:space="0" w:color="BFBFBF"/>
              <w:bottom w:val="single" w:sz="4" w:space="0" w:color="BFBFBF"/>
              <w:right w:val="single" w:sz="4" w:space="0" w:color="BFBFBF"/>
            </w:tcBorders>
            <w:shd w:fill="DDE8ED" w:val="clear"/>
          </w:tcPr>
          <w:p>
            <w:pPr>
              <w:pStyle w:val="Normal"/>
              <w:spacing w:before="40" w:after="40"/>
              <w:rPr/>
            </w:pPr>
            <w:r>
              <w:rPr>
                <w:rFonts w:eastAsia="Calibri" w:cs="Calibri"/>
                <w:b/>
                <w:bCs/>
                <w:sz w:val="18"/>
                <w:szCs w:val="18"/>
              </w:rPr>
              <w:t>Toplam</w:t>
            </w:r>
          </w:p>
        </w:tc>
        <w:tc>
          <w:tcPr>
            <w:tcW w:w="1998" w:type="dxa"/>
            <w:tcBorders>
              <w:top w:val="single" w:sz="4" w:space="0" w:color="BFBFBF"/>
              <w:left w:val="single" w:sz="4" w:space="0" w:color="BFBFBF"/>
              <w:bottom w:val="single" w:sz="4" w:space="0" w:color="BFBFBF"/>
              <w:right w:val="single" w:sz="4" w:space="0" w:color="BFBFBF"/>
            </w:tcBorders>
            <w:shd w:fill="DDE8ED" w:val="clear"/>
          </w:tcPr>
          <w:p>
            <w:pPr>
              <w:pStyle w:val="Normal"/>
              <w:spacing w:before="40" w:after="40"/>
              <w:rPr/>
            </w:pPr>
            <w:r>
              <w:rPr>
                <w:rFonts w:eastAsia="Calibri" w:cs="Calibri"/>
                <w:b/>
                <w:bCs/>
                <w:sz w:val="18"/>
                <w:szCs w:val="18"/>
              </w:rPr>
              <w:t>Beklenen recall kaybı</w:t>
            </w:r>
          </w:p>
        </w:tc>
      </w:tr>
      <w:tr>
        <w:trPr/>
        <w:tc>
          <w:tcPr>
            <w:tcW w:w="34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fp16 (X-CLIP native, referans)</w:t>
            </w:r>
          </w:p>
        </w:tc>
        <w:tc>
          <w:tcPr>
            <w:tcW w:w="20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1.024 B</w:t>
            </w:r>
          </w:p>
        </w:tc>
        <w:tc>
          <w:tcPr>
            <w:tcW w:w="1601"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276 GB</w:t>
            </w:r>
          </w:p>
        </w:tc>
        <w:tc>
          <w:tcPr>
            <w:tcW w:w="1998"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referans</w:t>
            </w:r>
          </w:p>
        </w:tc>
      </w:tr>
      <w:tr>
        <w:trPr/>
        <w:tc>
          <w:tcPr>
            <w:tcW w:w="34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int8 skaler quantization</w:t>
            </w:r>
          </w:p>
        </w:tc>
        <w:tc>
          <w:tcPr>
            <w:tcW w:w="20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512 B</w:t>
            </w:r>
          </w:p>
        </w:tc>
        <w:tc>
          <w:tcPr>
            <w:tcW w:w="1601"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138 GB</w:t>
            </w:r>
          </w:p>
        </w:tc>
        <w:tc>
          <w:tcPr>
            <w:tcW w:w="1998"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~%1-2</w:t>
            </w:r>
          </w:p>
        </w:tc>
      </w:tr>
      <w:tr>
        <w:trPr/>
        <w:tc>
          <w:tcPr>
            <w:tcW w:w="34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Boyut indirgeme 512→256 (MRL/PCA) + fp16</w:t>
            </w:r>
          </w:p>
        </w:tc>
        <w:tc>
          <w:tcPr>
            <w:tcW w:w="20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512 B</w:t>
            </w:r>
          </w:p>
        </w:tc>
        <w:tc>
          <w:tcPr>
            <w:tcW w:w="1601"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138 GB</w:t>
            </w:r>
          </w:p>
        </w:tc>
        <w:tc>
          <w:tcPr>
            <w:tcW w:w="1998"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~%2-4</w:t>
            </w:r>
          </w:p>
        </w:tc>
      </w:tr>
      <w:tr>
        <w:trPr/>
        <w:tc>
          <w:tcPr>
            <w:tcW w:w="34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int8 + 256 boyut</w:t>
            </w:r>
          </w:p>
        </w:tc>
        <w:tc>
          <w:tcPr>
            <w:tcW w:w="20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256 B</w:t>
            </w:r>
          </w:p>
        </w:tc>
        <w:tc>
          <w:tcPr>
            <w:tcW w:w="1601"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69 GB</w:t>
            </w:r>
          </w:p>
        </w:tc>
        <w:tc>
          <w:tcPr>
            <w:tcW w:w="1998"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~%3-5</w:t>
            </w:r>
          </w:p>
        </w:tc>
      </w:tr>
      <w:tr>
        <w:trPr/>
        <w:tc>
          <w:tcPr>
            <w:tcW w:w="34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Binary (1 bit/boyut) + fp16 rescoring</w:t>
            </w:r>
          </w:p>
        </w:tc>
        <w:tc>
          <w:tcPr>
            <w:tcW w:w="20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RAM 17 GB + disk 276 GB</w:t>
            </w:r>
          </w:p>
        </w:tc>
        <w:tc>
          <w:tcPr>
            <w:tcW w:w="1601"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w:t>
            </w:r>
          </w:p>
        </w:tc>
        <w:tc>
          <w:tcPr>
            <w:tcW w:w="1998"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~%1-3 (rescoring ile)</w:t>
            </w:r>
          </w:p>
        </w:tc>
      </w:tr>
    </w:tbl>
    <w:p>
      <w:pPr>
        <w:pStyle w:val="Normal"/>
        <w:spacing w:before="0" w:after="120"/>
        <w:rPr/>
      </w:pPr>
      <w:r>
        <w:rPr/>
      </w:r>
    </w:p>
    <w:p>
      <w:pPr>
        <w:pStyle w:val="Normal"/>
        <w:spacing w:lineRule="exact" w:line="300" w:before="0" w:after="160"/>
        <w:jc w:val="both"/>
        <w:rPr/>
      </w:pPr>
      <w:r>
        <w:rPr>
          <w:rFonts w:eastAsia="Calibri" w:cs="Calibri"/>
          <w:sz w:val="22"/>
          <w:szCs w:val="22"/>
        </w:rPr>
        <w:t>512 boyutlu vektör, 768 boyutlu InternVideo2 varsayımına göre binary+rescoring'in sıcak RAM ihtiyacını ~26 GB'den ~17 GB'a indiriyor, X-CLIP geçişinin sıkıştırma tarafındaki ek kazancı. Tüm quantization adımları mevcut vektörlerden türetilir; videoya ve GPU'ya dokunulmaz ve altın set regresyonuyla doğrulanmadan kalıcılaştırılmaz.</w:t>
      </w:r>
    </w:p>
    <w:p>
      <w:pPr>
        <w:pStyle w:val="Heading2"/>
        <w:spacing w:before="280" w:after="120"/>
        <w:rPr/>
      </w:pPr>
      <w:r>
        <w:rPr/>
        <w:t>5.2 Sıkıştırma sonrası iki sistemin karşılaştırması</w:t>
      </w:r>
    </w:p>
    <w:tbl>
      <w:tblPr>
        <w:tblW w:w="9000" w:type="dxa"/>
        <w:jc w:val="left"/>
        <w:tblInd w:w="0" w:type="dxa"/>
        <w:tblLayout w:type="fixed"/>
        <w:tblCellMar>
          <w:top w:w="60" w:type="dxa"/>
          <w:left w:w="100" w:type="dxa"/>
          <w:bottom w:w="60" w:type="dxa"/>
          <w:right w:w="100" w:type="dxa"/>
        </w:tblCellMar>
      </w:tblPr>
      <w:tblGrid>
        <w:gridCol w:w="3000"/>
        <w:gridCol w:w="3000"/>
        <w:gridCol w:w="3000"/>
      </w:tblGrid>
      <w:tr>
        <w:trPr>
          <w:tblHeader w:val="true"/>
        </w:trPr>
        <w:tc>
          <w:tcPr>
            <w:tcW w:w="3000" w:type="dxa"/>
            <w:tcBorders>
              <w:top w:val="single" w:sz="4" w:space="0" w:color="BFBFBF"/>
              <w:left w:val="single" w:sz="4" w:space="0" w:color="BFBFBF"/>
              <w:bottom w:val="single" w:sz="4" w:space="0" w:color="BFBFBF"/>
              <w:right w:val="single" w:sz="4" w:space="0" w:color="BFBFBF"/>
            </w:tcBorders>
            <w:shd w:fill="DDE8ED" w:val="clear"/>
          </w:tcPr>
          <w:p>
            <w:pPr>
              <w:pStyle w:val="Normal"/>
              <w:spacing w:before="40" w:after="40"/>
              <w:rPr/>
            </w:pPr>
            <w:r>
              <w:rPr/>
            </w:r>
          </w:p>
        </w:tc>
        <w:tc>
          <w:tcPr>
            <w:tcW w:w="3000" w:type="dxa"/>
            <w:tcBorders>
              <w:top w:val="single" w:sz="4" w:space="0" w:color="BFBFBF"/>
              <w:left w:val="single" w:sz="4" w:space="0" w:color="BFBFBF"/>
              <w:bottom w:val="single" w:sz="4" w:space="0" w:color="BFBFBF"/>
              <w:right w:val="single" w:sz="4" w:space="0" w:color="BFBFBF"/>
            </w:tcBorders>
            <w:shd w:fill="DDE8ED" w:val="clear"/>
          </w:tcPr>
          <w:p>
            <w:pPr>
              <w:pStyle w:val="Normal"/>
              <w:spacing w:before="40" w:after="40"/>
              <w:rPr/>
            </w:pPr>
            <w:r>
              <w:rPr>
                <w:rFonts w:eastAsia="Calibri" w:cs="Calibri"/>
                <w:b/>
                <w:bCs/>
                <w:sz w:val="18"/>
                <w:szCs w:val="18"/>
              </w:rPr>
              <w:t>Mevcut CLIP (1,08 Mr vektör, 768d)</w:t>
            </w:r>
          </w:p>
        </w:tc>
        <w:tc>
          <w:tcPr>
            <w:tcW w:w="3000" w:type="dxa"/>
            <w:tcBorders>
              <w:top w:val="single" w:sz="4" w:space="0" w:color="BFBFBF"/>
              <w:left w:val="single" w:sz="4" w:space="0" w:color="BFBFBF"/>
              <w:bottom w:val="single" w:sz="4" w:space="0" w:color="BFBFBF"/>
              <w:right w:val="single" w:sz="4" w:space="0" w:color="BFBFBF"/>
            </w:tcBorders>
            <w:shd w:fill="DDE8ED" w:val="clear"/>
          </w:tcPr>
          <w:p>
            <w:pPr>
              <w:pStyle w:val="Normal"/>
              <w:spacing w:before="40" w:after="40"/>
              <w:rPr/>
            </w:pPr>
            <w:r>
              <w:rPr>
                <w:rFonts w:eastAsia="Calibri" w:cs="Calibri"/>
                <w:b/>
                <w:bCs/>
                <w:sz w:val="18"/>
                <w:szCs w:val="18"/>
              </w:rPr>
              <w:t>Önerilen X-CLIP (270 M vektör, 512d)</w:t>
            </w:r>
          </w:p>
        </w:tc>
      </w:tr>
      <w:tr>
        <w:trPr/>
        <w:tc>
          <w:tcPr>
            <w:tcW w:w="30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Sıkıştırmasız arama katmanı</w:t>
            </w:r>
          </w:p>
        </w:tc>
        <w:tc>
          <w:tcPr>
            <w:tcW w:w="30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~1.875 GB (çok makine)</w:t>
            </w:r>
          </w:p>
        </w:tc>
        <w:tc>
          <w:tcPr>
            <w:tcW w:w="30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~343 GB (tek makine)</w:t>
            </w:r>
          </w:p>
        </w:tc>
      </w:tr>
      <w:tr>
        <w:trPr/>
        <w:tc>
          <w:tcPr>
            <w:tcW w:w="30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int8 sonrası (yaklaşık toplam)</w:t>
            </w:r>
          </w:p>
        </w:tc>
        <w:tc>
          <w:tcPr>
            <w:tcW w:w="30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~1.000 GB</w:t>
            </w:r>
          </w:p>
        </w:tc>
        <w:tc>
          <w:tcPr>
            <w:tcW w:w="30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~190 GB</w:t>
            </w:r>
          </w:p>
        </w:tc>
      </w:tr>
      <w:tr>
        <w:trPr/>
        <w:tc>
          <w:tcPr>
            <w:tcW w:w="30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Binary + rescore sıcak RAM</w:t>
            </w:r>
          </w:p>
        </w:tc>
        <w:tc>
          <w:tcPr>
            <w:tcW w:w="30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~135 GB (+1,66 TB disk)</w:t>
            </w:r>
          </w:p>
        </w:tc>
        <w:tc>
          <w:tcPr>
            <w:tcW w:w="30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~17 GB (+276 GB disk)</w:t>
            </w:r>
          </w:p>
        </w:tc>
      </w:tr>
      <w:tr>
        <w:trPr/>
        <w:tc>
          <w:tcPr>
            <w:tcW w:w="30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Quantization kaybının vurduğu yer</w:t>
            </w:r>
          </w:p>
        </w:tc>
        <w:tc>
          <w:tcPr>
            <w:tcW w:w="30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Dört kısıtın dördü embedding'de → kayıp çarpımsal biner</w:t>
            </w:r>
          </w:p>
        </w:tc>
        <w:tc>
          <w:tcPr>
            <w:tcW w:w="30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Yalnızca semantik artık → tek terim</w:t>
            </w:r>
          </w:p>
        </w:tc>
      </w:tr>
      <w:tr>
        <w:trPr/>
        <w:tc>
          <w:tcPr>
            <w:tcW w:w="30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Sıkıştırılmış bileşik sorgu precision@10</w:t>
            </w:r>
          </w:p>
        </w:tc>
        <w:tc>
          <w:tcPr>
            <w:tcW w:w="30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~%25-45</w:t>
            </w:r>
          </w:p>
        </w:tc>
        <w:tc>
          <w:tcPr>
            <w:tcW w:w="3000" w:type="dxa"/>
            <w:tcBorders>
              <w:top w:val="single" w:sz="4" w:space="0" w:color="BFBFBF"/>
              <w:left w:val="single" w:sz="4" w:space="0" w:color="BFBFBF"/>
              <w:bottom w:val="single" w:sz="4" w:space="0" w:color="BFBFBF"/>
              <w:right w:val="single" w:sz="4" w:space="0" w:color="BFBFBF"/>
            </w:tcBorders>
            <w:tcMar>
              <w:top w:w="40" w:type="dxa"/>
              <w:bottom w:w="40" w:type="dxa"/>
            </w:tcMar>
          </w:tcPr>
          <w:p>
            <w:pPr>
              <w:pStyle w:val="Normal"/>
              <w:spacing w:before="40" w:after="40"/>
              <w:rPr/>
            </w:pPr>
            <w:r>
              <w:rPr>
                <w:rFonts w:eastAsia="Calibri" w:cs="Calibri"/>
                <w:b w:val="false"/>
                <w:bCs w:val="false"/>
                <w:sz w:val="18"/>
                <w:szCs w:val="18"/>
              </w:rPr>
              <w:t>~%60-80 (bkz. 4.3 revizyon notu)</w:t>
            </w:r>
          </w:p>
        </w:tc>
      </w:tr>
    </w:tbl>
    <w:p>
      <w:pPr>
        <w:pStyle w:val="Normal"/>
        <w:spacing w:before="0" w:after="120"/>
        <w:rPr/>
      </w:pPr>
      <w:r>
        <w:rPr/>
      </w:r>
    </w:p>
    <w:p>
      <w:pPr>
        <w:pStyle w:val="Normal"/>
        <w:spacing w:lineRule="exact" w:line="300" w:before="0" w:after="160"/>
        <w:jc w:val="both"/>
        <w:rPr/>
      </w:pPr>
      <w:r>
        <w:rPr>
          <w:rFonts w:eastAsia="Calibri" w:cs="Calibri"/>
          <w:sz w:val="22"/>
          <w:szCs w:val="22"/>
        </w:rPr>
        <w:t>Kritik asimetri değişmedi: kayıplı sıkıştırma yalnızca semantik katmanı bozar, SQL kolonları kayıpsızdır, sıkıştırmanın orantısal etkisi mevcut sistemden çok daha hafiftir, çünkü mevcut sistem doğruluğunun tamamını tek katmana yaslar, hibrit sistem yalnızca bir artık terime.</w:t>
      </w:r>
    </w:p>
    <w:p>
      <w:pPr>
        <w:pStyle w:val="Heading2"/>
        <w:spacing w:before="280" w:after="120"/>
        <w:rPr/>
      </w:pPr>
      <w:r>
        <w:rPr/>
        <w:t>5.3 Video katmanı sıkıştırması (mimariden bağımsız)</w:t>
      </w:r>
    </w:p>
    <w:p>
      <w:pPr>
        <w:pStyle w:val="Normal"/>
        <w:spacing w:lineRule="exact" w:line="300" w:before="0" w:after="160"/>
        <w:jc w:val="both"/>
        <w:rPr/>
      </w:pPr>
      <w:r>
        <w:rPr>
          <w:rFonts w:eastAsia="Calibri" w:cs="Calibri"/>
          <w:sz w:val="22"/>
          <w:szCs w:val="22"/>
        </w:rPr>
        <w:t>Önizleme gereksinimi bulunmadığından: thumbnail katmanı kaldırılır (~1 TB), proxy 240-360p HEVC "model proxy'sine" indirilir (150 TB → 25-35 TB), orijinal 1,5 PB'nin tamamı soğuk/arşiv depolama sınıfına taşınır, sorgu hattı videoya dokunmadığı için analist deneyimi etkilenmez. Bu bölüm embedding model seçiminden bağımsızdır, değişmedi.</w:t>
      </w:r>
    </w:p>
    <w:p>
      <w:pPr>
        <w:pStyle w:val="Heading1"/>
        <w:spacing w:before="360" w:after="160"/>
        <w:rPr/>
      </w:pPr>
      <w:r>
        <w:rPr/>
        <w:t>6. Artılar ve Eksiler</w:t>
      </w:r>
    </w:p>
    <w:p>
      <w:pPr>
        <w:pStyle w:val="Heading2"/>
        <w:spacing w:before="280" w:after="120"/>
        <w:rPr/>
      </w:pPr>
      <w:r>
        <w:rPr/>
        <w:t>6.1 Mevcut sistem (kare bazlı düz CLIP)</w:t>
      </w:r>
    </w:p>
    <w:p>
      <w:pPr>
        <w:pStyle w:val="Normal"/>
        <w:spacing w:lineRule="exact" w:line="300" w:before="0" w:after="160"/>
        <w:jc w:val="both"/>
        <w:rPr/>
      </w:pPr>
      <w:r>
        <w:rPr>
          <w:rFonts w:eastAsia="Calibri" w:cs="Calibri"/>
          <w:b/>
          <w:bCs/>
          <w:sz w:val="22"/>
          <w:szCs w:val="22"/>
        </w:rPr>
        <w:t xml:space="preserve">Artıları: </w:t>
      </w:r>
      <w:r>
        <w:rPr>
          <w:rFonts w:eastAsia="Calibri" w:cs="Calibri"/>
          <w:sz w:val="22"/>
          <w:szCs w:val="22"/>
        </w:rPr>
        <w:t>Mimari basitlik, LLM ayrıştırıcı, alan kataloğu, telemetri hattı, terfi süreci yoktur. Ekosistemi olgundur. Telemetrisi olmayan videolarda iki sistem fiilen eşitlenir. Filtre çevirisi olmadığından "yanlış eşik yüzünden kalıcı kaçırma" hata modu yoktur.</w:t>
      </w:r>
    </w:p>
    <w:p>
      <w:pPr>
        <w:pStyle w:val="Normal"/>
        <w:spacing w:lineRule="exact" w:line="300" w:before="0" w:after="160"/>
        <w:jc w:val="both"/>
        <w:rPr/>
      </w:pPr>
      <w:r>
        <w:rPr>
          <w:rFonts w:eastAsia="Calibri" w:cs="Calibri"/>
          <w:b/>
          <w:bCs/>
          <w:sz w:val="22"/>
          <w:szCs w:val="22"/>
        </w:rPr>
        <w:t xml:space="preserve">Eksileri: </w:t>
      </w:r>
      <w:r>
        <w:rPr>
          <w:rFonts w:eastAsia="Calibri" w:cs="Calibri"/>
          <w:sz w:val="22"/>
          <w:szCs w:val="22"/>
        </w:rPr>
        <w:t>Hareket kavramlarını hiç temsil edemez. Sayısal/eşikli sorguları hiç cevaplayamaz. Bileşik sorgularda doğruluk çarpımsal çöker. Görsel olarak özdeş ayrımları (günbatımı/gündoğumu) yapamaz. 6x vektör hacmi sıcak katmanı çok makineli cluster'a mahkûm eder. Yeni kavram eklemenin tek yolu tam yeniden embedding'dir.</w:t>
      </w:r>
    </w:p>
    <w:p>
      <w:pPr>
        <w:pStyle w:val="Heading2"/>
        <w:spacing w:before="280" w:after="120"/>
        <w:rPr/>
      </w:pPr>
      <w:r>
        <w:rPr/>
        <w:t>6.2 Önerilen sistem (hibrit, X-CLIP)</w:t>
      </w:r>
    </w:p>
    <w:p>
      <w:pPr>
        <w:pStyle w:val="Normal"/>
        <w:spacing w:lineRule="exact" w:line="300" w:before="0" w:after="160"/>
        <w:jc w:val="both"/>
        <w:rPr/>
      </w:pPr>
      <w:r>
        <w:rPr>
          <w:rFonts w:eastAsia="Calibri" w:cs="Calibri"/>
          <w:b/>
          <w:bCs/>
          <w:sz w:val="22"/>
          <w:szCs w:val="22"/>
        </w:rPr>
        <w:t>Artıları:</w:t>
      </w:r>
      <w:r>
        <w:rPr>
          <w:rFonts w:eastAsia="Calibri" w:cs="Calibri"/>
          <w:sz w:val="22"/>
          <w:szCs w:val="22"/>
        </w:rPr>
        <w:t xml:space="preserve"> Sıcak katman ~5,5 kat küçük, tek makinelik; sıkıştırmayla ~17 GB RAM'e iner. Sayısal ve görsel-özdeş-ayrım sorguları embedding kalitesinden bağımsız olarak kesin kalır (telemetri kaynaklı). Videoya dokunmadan evrimleşir. Rerank yükü mevcut sisteme göre iki mertebe küçüktür. Sorgu hattı 1,5 PB'yi soğuk depolamaya taşımaya izin verir.</w:t>
      </w:r>
    </w:p>
    <w:p>
      <w:pPr>
        <w:pStyle w:val="Normal"/>
        <w:spacing w:lineRule="exact" w:line="300" w:before="0" w:after="160"/>
        <w:jc w:val="both"/>
        <w:rPr/>
      </w:pPr>
      <w:r>
        <w:rPr>
          <w:rFonts w:eastAsia="Calibri" w:cs="Calibri"/>
          <w:b/>
          <w:bCs/>
          <w:sz w:val="22"/>
          <w:szCs w:val="22"/>
        </w:rPr>
        <w:t xml:space="preserve">Eksileri: </w:t>
      </w:r>
      <w:r>
        <w:rPr>
          <w:rFonts w:eastAsia="Calibri" w:cs="Calibri"/>
          <w:sz w:val="22"/>
          <w:szCs w:val="22"/>
        </w:rPr>
        <w:t>Seçilen açık embedding modelinin (X-CLIP) ham semantik kalitesi kapalı API modellerinin gerisinde kalıyor (bağımsız testte NDCG@10 0,47 vs kapalı modellerde 0,75+); bu fark filtre katmanıyla büyük ölçüde telafi edilir ama sıfırlanmaz, rerank adımı bu sürümde daha kritik hale geldi. İşletilecek bileşen sayısı fazladır. Ingest ek maliyeti taşır. Telemetri kapsaması düşük videolarda filtre katmanı devre dışı kalır. Yanlış filtre çevirisi kalıcı kaçırma üretebilir, yumuşak eşiklerle hafifletilir, sıfırlanmaz. Model seçimi henüz kurumun kendi verisiyle doğrulanmamıştır (Adım 0 bekliyor).</w:t>
      </w:r>
    </w:p>
    <w:p>
      <w:pPr>
        <w:pStyle w:val="Heading1"/>
        <w:spacing w:before="360" w:after="160"/>
        <w:rPr>
          <w:sz w:val="30"/>
          <w:szCs w:val="30"/>
        </w:rPr>
      </w:pPr>
      <w:r>
        <w:rPr>
          <w:rFonts w:eastAsia="Calibri" w:cs="Calibri"/>
          <w:sz w:val="30"/>
          <w:szCs w:val="30"/>
        </w:rPr>
        <w:t>7. Geçiş Planı ve Riskler</w:t>
      </w:r>
    </w:p>
    <w:p>
      <w:pPr>
        <w:pStyle w:val="Normal"/>
        <w:spacing w:lineRule="exact" w:line="300" w:before="0" w:after="160"/>
        <w:jc w:val="both"/>
        <w:rPr>
          <w:rFonts w:ascii="Calibri" w:hAnsi="Calibri" w:eastAsia="Calibri" w:cs="Calibri"/>
          <w:sz w:val="22"/>
          <w:szCs w:val="22"/>
        </w:rPr>
      </w:pPr>
      <w:r>
        <w:rPr>
          <w:rFonts w:eastAsia="Calibri" w:cs="Calibri"/>
          <w:sz w:val="22"/>
          <w:szCs w:val="22"/>
        </w:rPr>
        <w:t>Vektör uzayları modeller arasında uyumsuz olduğundan mevcut CLIP vektörleri yeni indekste kullanılamaz; ancak pencere sınırları, proxy'ler, telemetri hizalaması ve ClickHouse satır iskeleti aynen korunur.</w:t>
      </w:r>
    </w:p>
    <w:p>
      <w:pPr>
        <w:pStyle w:val="Normal"/>
        <w:spacing w:lineRule="exact" w:line="300" w:before="0" w:after="160"/>
        <w:jc w:val="both"/>
        <w:rPr/>
      </w:pPr>
      <w:r>
        <w:rPr>
          <w:rFonts w:eastAsia="Calibri" w:cs="Calibri"/>
          <w:b/>
          <w:bCs/>
          <w:sz w:val="22"/>
          <w:szCs w:val="22"/>
        </w:rPr>
        <w:t xml:space="preserve">Adım 0: Ölçüm: </w:t>
      </w:r>
      <w:r>
        <w:rPr>
          <w:rFonts w:eastAsia="Calibri" w:cs="Calibri"/>
          <w:sz w:val="22"/>
          <w:szCs w:val="22"/>
        </w:rPr>
        <w:t>200-500 etiketli sorgu-sonuç çiftinden oluşan altın set kurulur; X-CLIP (ve mümkünse InternVideo2'nin Stage-1 kontrastif kontrol noktası, VideoPrism, LanguageBind) bu set üzerinde karşılaştırılır. Bu adım artık teorik bir tavsiye değil, konuşmanın bu sürümünde bizzat gerekliliği kanıtlanmış bir zorunluluktur.</w:t>
      </w:r>
    </w:p>
    <w:p>
      <w:pPr>
        <w:pStyle w:val="Normal"/>
        <w:spacing w:lineRule="exact" w:line="300" w:before="0" w:after="160"/>
        <w:jc w:val="both"/>
        <w:rPr/>
      </w:pPr>
      <w:r>
        <w:rPr>
          <w:rFonts w:eastAsia="Calibri" w:cs="Calibri"/>
          <w:b/>
          <w:bCs/>
          <w:sz w:val="22"/>
          <w:szCs w:val="22"/>
        </w:rPr>
        <w:t xml:space="preserve">Adım 1: Çift kolon: </w:t>
      </w:r>
      <w:r>
        <w:rPr>
          <w:rFonts w:eastAsia="Calibri" w:cs="Calibri"/>
          <w:sz w:val="22"/>
          <w:szCs w:val="22"/>
        </w:rPr>
        <w:t>Tabloya emb_xclip (512 boyut) kolonu ve ikinci HNSW indeksi eklenir; eski kolon yerinde kalır.</w:t>
      </w:r>
    </w:p>
    <w:p>
      <w:pPr>
        <w:pStyle w:val="Normal"/>
        <w:spacing w:lineRule="exact" w:line="300" w:before="0" w:after="160"/>
        <w:jc w:val="both"/>
        <w:rPr/>
      </w:pPr>
      <w:r>
        <w:rPr>
          <w:rFonts w:eastAsia="Calibri" w:cs="Calibri"/>
          <w:b/>
          <w:bCs/>
          <w:sz w:val="22"/>
          <w:szCs w:val="22"/>
        </w:rPr>
        <w:t xml:space="preserve">Adım 2: Backfill: </w:t>
      </w:r>
      <w:r>
        <w:rPr>
          <w:rFonts w:eastAsia="Calibri" w:cs="Calibri"/>
          <w:sz w:val="22"/>
          <w:szCs w:val="22"/>
        </w:rPr>
        <w:t>Yeni akış ilk günden yeni modelle işlenir; arşiv, en çok sorgulanan görevlerden geriye doğru doldurulur. Aynı geçişte telemetri kolonları ve YOLO26 terfi alanları da yazılır.</w:t>
      </w:r>
    </w:p>
    <w:p>
      <w:pPr>
        <w:pStyle w:val="Normal"/>
        <w:spacing w:lineRule="exact" w:line="300" w:before="0" w:after="160"/>
        <w:jc w:val="both"/>
        <w:rPr/>
      </w:pPr>
      <w:r>
        <w:rPr>
          <w:rFonts w:eastAsia="Calibri" w:cs="Calibri"/>
          <w:b/>
          <w:bCs/>
          <w:sz w:val="22"/>
          <w:szCs w:val="22"/>
        </w:rPr>
        <w:t xml:space="preserve">Adım 3: Geçiş dönemi sorguları: </w:t>
      </w:r>
      <w:r>
        <w:rPr>
          <w:rFonts w:eastAsia="Calibri" w:cs="Calibri"/>
          <w:sz w:val="22"/>
          <w:szCs w:val="22"/>
        </w:rPr>
        <w:t>Sorgu iki text encoder'dan geçirilir, iki küme ayrı aranır, sonuçlar reciprocal rank fusion ile birleştirilir.</w:t>
      </w:r>
    </w:p>
    <w:p>
      <w:pPr>
        <w:pStyle w:val="Normal"/>
        <w:spacing w:lineRule="exact" w:line="300" w:before="0" w:after="160"/>
        <w:jc w:val="both"/>
        <w:rPr/>
      </w:pPr>
      <w:r>
        <w:rPr>
          <w:rFonts w:eastAsia="Calibri" w:cs="Calibri"/>
          <w:b/>
          <w:bCs/>
          <w:sz w:val="22"/>
          <w:szCs w:val="22"/>
        </w:rPr>
        <w:t xml:space="preserve">Adım 4: Temizlik: </w:t>
      </w:r>
      <w:r>
        <w:rPr>
          <w:rFonts w:eastAsia="Calibri" w:cs="Calibri"/>
          <w:sz w:val="22"/>
          <w:szCs w:val="22"/>
        </w:rPr>
        <w:t>Backfill ve regresyon doğrulaması sonrası eski CLIP kolonu düşürülür, sorgu servisi tek modele döner.</w:t>
      </w:r>
    </w:p>
    <w:p>
      <w:pPr>
        <w:pStyle w:val="Normal"/>
        <w:spacing w:lineRule="exact" w:line="300" w:before="0" w:after="160"/>
        <w:jc w:val="both"/>
        <w:rPr>
          <w:rFonts w:eastAsia="Calibri" w:cs="Calibri"/>
          <w:sz w:val="22"/>
          <w:szCs w:val="22"/>
        </w:rPr>
      </w:pPr>
      <w:r>
        <w:rPr>
          <w:rFonts w:eastAsia="Calibri" w:cs="Calibri"/>
          <w:b/>
          <w:bCs/>
          <w:sz w:val="22"/>
          <w:szCs w:val="22"/>
        </w:rPr>
        <w:t xml:space="preserve">Başlıca riskler ve önlemleri: </w:t>
      </w:r>
      <w:r>
        <w:rPr>
          <w:rFonts w:eastAsia="Calibri" w:cs="Calibri"/>
          <w:sz w:val="22"/>
          <w:szCs w:val="22"/>
        </w:rPr>
        <w:t>Model kalite riski → Adım 0 çoklu-aday ölçümü ve gerekirse fine-tune. Yanlış filtre çevirisi → yumuşak eşikler, otomatik gevşetme. Telemetri kapsama boşlukları → Grafana'da kapsama metriği. Kayıplı sıkıştırma → her adımda altın set regresyonu şartı. Backfill kesintileri → Temporal checkpoint/heartbeat altyapısı. SGLang/vLLM ikili motor karmaşıklığı → gecikme kazancı ölçülene kadar tek motorla (vLLM) başlanabilir, SGLang'a geçiş ikinci aşamaya bırakılabilir.</w:t>
      </w:r>
    </w:p>
    <w:p>
      <w:pPr>
        <w:pStyle w:val="Heading1"/>
        <w:spacing w:before="360" w:after="160"/>
        <w:rPr/>
      </w:pPr>
      <w:r>
        <w:rPr/>
        <w:t>8</w:t>
      </w:r>
      <w:r>
        <w:rPr/>
        <w:t>. Sonuç</w:t>
      </w:r>
    </w:p>
    <w:p>
      <w:pPr>
        <w:pStyle w:val="Normal"/>
        <w:spacing w:lineRule="exact" w:line="300" w:before="0" w:after="160"/>
        <w:jc w:val="both"/>
        <w:rPr/>
      </w:pPr>
      <w:r>
        <w:rPr>
          <w:rFonts w:eastAsia="Calibri" w:cs="Calibri"/>
          <w:sz w:val="22"/>
          <w:szCs w:val="22"/>
        </w:rPr>
        <w:t>Önerilen hibrit sistem, depolama toplamında mevcut sistemle eşdeğer kalırken sıcak arama katmanını ~5,5 kat küçültmekte, mevcut sistemin hiç cevaplayamadığı sayısal ve görsel-özdeş-ayrım sorgu sınıflarını (embedding modelinden bağımsız olarak) kesin biçimde açmakta, hareket sorgularında ise mütevazı ama yapısal bir üstünlük sağlamaktadır. X-CLIP'e geçiş depolama ve sıkıştırma rakamlarını da iyileştirmiştir; bunun karşılığında ham semantik kalitede kapalı modellere göre bir fark kabul edilmekte, bu fark rerank adımıyla hafifletilmektedir.</w:t>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a2"/>
    <w:family w:val="roman"/>
    <w:pitch w:val="variable"/>
  </w:font>
  <w:font w:name="Calibri">
    <w:charset w:val="a2"/>
    <w:family w:val="roman"/>
    <w:pitch w:val="variable"/>
  </w:font>
  <w:font w:name="Calibri">
    <w:charset w:val="a2"/>
    <w:family w:val="swiss"/>
    <w:pitch w:val="variable"/>
  </w:font>
  <w:font w:name="Liberation Sans">
    <w:altName w:val="Arial"/>
    <w:charset w:val="a2"/>
    <w:family w:val="roman"/>
    <w:pitch w:val="variable"/>
  </w:font>
</w:fonts>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tr-T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Calibri" w:hAnsi="Calibri" w:eastAsia="Calibri" w:cs="Calibri"/>
      <w:color w:val="auto"/>
      <w:kern w:val="0"/>
      <w:sz w:val="22"/>
      <w:szCs w:val="22"/>
      <w:lang w:val="tr-TR" w:eastAsia="zh-CN" w:bidi="hi-IN"/>
    </w:rPr>
  </w:style>
  <w:style w:type="paragraph" w:styleId="Heading1">
    <w:name w:val="Heading 1"/>
    <w:basedOn w:val="Balk"/>
    <w:qFormat/>
    <w:pPr>
      <w:spacing w:before="360" w:after="160"/>
    </w:pPr>
    <w:rPr>
      <w:rFonts w:ascii="Calibri" w:hAnsi="Calibri" w:eastAsia="Calibri" w:cs="Calibri"/>
      <w:b/>
      <w:bCs/>
      <w:color w:val="1F4E5F"/>
      <w:sz w:val="30"/>
      <w:szCs w:val="30"/>
    </w:rPr>
  </w:style>
  <w:style w:type="paragraph" w:styleId="Heading2">
    <w:name w:val="Heading 2"/>
    <w:basedOn w:val="Balk"/>
    <w:qFormat/>
    <w:pPr>
      <w:spacing w:before="280" w:after="120"/>
    </w:pPr>
    <w:rPr>
      <w:rFonts w:ascii="Calibri" w:hAnsi="Calibri" w:eastAsia="Calibri" w:cs="Calibri"/>
      <w:b/>
      <w:bCs/>
      <w:color w:val="2E6E85"/>
      <w:sz w:val="25"/>
      <w:szCs w:val="25"/>
    </w:rPr>
  </w:style>
  <w:style w:type="paragraph" w:styleId="Heading3">
    <w:name w:val="Heading 3"/>
    <w:basedOn w:val="Balk"/>
    <w:qFormat/>
    <w:pPr>
      <w:spacing w:before="220" w:after="100"/>
    </w:pPr>
    <w:rPr>
      <w:rFonts w:ascii="Calibri" w:hAnsi="Calibri" w:eastAsia="Calibri" w:cs="Calibri"/>
      <w:b/>
      <w:bCs/>
      <w:color w:val="3A7D93"/>
      <w:sz w:val="23"/>
      <w:szCs w:val="23"/>
    </w:rPr>
  </w:style>
  <w:style w:type="paragraph" w:styleId="Heading4">
    <w:name w:val="Heading 4"/>
    <w:basedOn w:val="Balk"/>
    <w:qFormat/>
    <w:pPr/>
    <w:rPr>
      <w:i/>
      <w:iCs/>
      <w:color w:val="2E74B5"/>
    </w:rPr>
  </w:style>
  <w:style w:type="paragraph" w:styleId="Heading5">
    <w:name w:val="Heading 5"/>
    <w:basedOn w:val="Balk"/>
    <w:qFormat/>
    <w:pPr/>
    <w:rPr>
      <w:color w:val="2E74B5"/>
    </w:rPr>
  </w:style>
  <w:style w:type="paragraph" w:styleId="Heading6">
    <w:name w:val="Heading 6"/>
    <w:basedOn w:val="Balk"/>
    <w:qFormat/>
    <w:pPr/>
    <w:rPr>
      <w:color w:val="1F4D78"/>
    </w:rPr>
  </w:style>
  <w:style w:type="character" w:styleId="Hyperlink">
    <w:name w:val="Hyperlink"/>
    <w:uiPriority w:val="99"/>
    <w:unhideWhenUsed/>
    <w:rPr>
      <w:color w:val="0563C1"/>
      <w:u w:val="single"/>
    </w:rPr>
  </w:style>
  <w:style w:type="character" w:styleId="DipnotKarakterleri">
    <w:name w:val="Dipnot Karakterleri"/>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SonnotKarakterleri">
    <w:name w:val="Sonnot Karakterleri"/>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Strong">
    <w:name w:val="Strong"/>
    <w:qFormat/>
    <w:rPr>
      <w:b/>
      <w:bCs/>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Dizin">
    <w:name w:val="Dizin"/>
    <w:basedOn w:val="Normal"/>
    <w:qFormat/>
    <w:pPr>
      <w:suppressLineNumbers/>
    </w:pPr>
    <w:rPr>
      <w:rFonts w:cs="Arial"/>
    </w:rPr>
  </w:style>
  <w:style w:type="paragraph" w:styleId="Title">
    <w:name w:val="Title"/>
    <w:basedOn w:val="Balk"/>
    <w:qFormat/>
    <w:pPr/>
    <w:rPr>
      <w:sz w:val="56"/>
      <w:szCs w:val="56"/>
    </w:rPr>
  </w:style>
  <w:style w:type="paragraph" w:styleId="StrongEmphasis">
    <w:name w:val="Strong Emphasis"/>
    <w:qFormat/>
    <w:pPr>
      <w:widowControl/>
      <w:suppressAutoHyphens w:val="true"/>
      <w:bidi w:val="0"/>
      <w:spacing w:before="0" w:after="0"/>
      <w:jc w:val="left"/>
    </w:pPr>
    <w:rPr>
      <w:rFonts w:ascii="Calibri" w:hAnsi="Calibri" w:eastAsia="Calibri" w:cs="Calibri"/>
      <w:b/>
      <w:bCs/>
      <w:color w:val="auto"/>
      <w:kern w:val="0"/>
      <w:sz w:val="22"/>
      <w:szCs w:val="22"/>
      <w:lang w:val="tr-TR" w:eastAsia="zh-CN" w:bidi="hi-IN"/>
    </w:rPr>
  </w:style>
  <w:style w:type="paragraph" w:styleId="ListParagraph">
    <w:name w:val="List Paragraph"/>
    <w:qFormat/>
    <w:pPr>
      <w:widowControl/>
      <w:suppressAutoHyphens w:val="true"/>
      <w:bidi w:val="0"/>
      <w:spacing w:before="0" w:after="0"/>
      <w:jc w:val="left"/>
    </w:pPr>
    <w:rPr>
      <w:rFonts w:ascii="Calibri" w:hAnsi="Calibri" w:eastAsia="Calibri" w:cs="Calibri"/>
      <w:color w:val="auto"/>
      <w:kern w:val="0"/>
      <w:sz w:val="22"/>
      <w:szCs w:val="22"/>
      <w:lang w:val="tr-T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trongEmphasis1">
    <w:name w:val="Strong Emphasis1"/>
    <w:qFormat/>
    <w:pPr>
      <w:widowControl/>
      <w:bidi w:val="0"/>
      <w:spacing w:before="0" w:after="0"/>
      <w:jc w:val="left"/>
    </w:pPr>
    <w:rPr>
      <w:rFonts w:ascii="Calibri" w:hAnsi="Calibri" w:eastAsia="Calibri" w:cs="Calibri"/>
      <w:b/>
      <w:bCs/>
      <w:color w:val="auto"/>
      <w:kern w:val="0"/>
      <w:sz w:val="22"/>
      <w:szCs w:val="22"/>
      <w:lang w:val="tr-TR"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LibreOffice/24.2.2.2$Windows_X86_64 LibreOffice_project/d56cc158d8a96260b836f100ef4b4ef25d6f1a01</Application>
  <AppVersion>15.0000</AppVersion>
  <Pages>10</Pages>
  <Words>2750</Words>
  <Characters>18241</Characters>
  <CharactersWithSpaces>20694</CharactersWithSpaces>
  <Paragraphs>312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2026-07-23T05:42:28Z</dcterms:created>
  <dc:creator>Un-named</dc:creator>
  <dc:description/>
  <dc:language>tr-TR</dc:language>
  <cp:lastModifiedBy/>
  <dcterms:modified xsi:type="dcterms:W3CDTF">2026-07-23T10:05:52Z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