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1_3"/>
          <w:lang w:val="ru-RU"/>
        </w:rPr>
      </w:pPr>
      <w:r/>
      <w:bookmarkStart w:id="2" w:name="_Toc130372742"/>
      <w:r>
        <w:rPr>
          <w:rStyle w:val="1_3"/>
          <w:lang w:val="ru-RU"/>
        </w:rPr>
        <w:t xml:space="preserve">Задание </w:t>
      </w:r>
      <w:r>
        <w:rPr>
          <w:rStyle w:val="1_3"/>
          <w:lang w:val="ru-RU"/>
        </w:rPr>
        <w:t xml:space="preserve">1</w:t>
      </w:r>
      <w:bookmarkEnd w:id="2"/>
      <w:r>
        <w:rPr>
          <w:rStyle w:val="1_3"/>
          <w:lang w:val="ru-RU"/>
        </w:rPr>
      </w:r>
      <w:r>
        <w:rPr>
          <w:rStyle w:val="1_3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664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664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filled="f" stroked="f">
            <v:imagedata r:id="rId9" o:title=""/>
            <o:lock v:ext="edit" rotation="t"/>
          </v:shape>
          <o:OLEObject DrawAspect="Content" ObjectID="_1525040" ProgID="Equation.3" ShapeID="_x0000_i0" Type="Embed"/>
        </w:objec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w:r/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hint="default"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/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/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vertAlign w:val="baseli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/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vertAlign w:val="baseline"/>
        </w:rPr>
      </w:pPr>
      <w:r>
        <w:t xml:space="preserve">Таким образом, 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_3" w:customStyle="1">
    <w:name w:val="Заголовок 1 Знак"/>
    <w:basedOn w:val="786"/>
    <w:link w:val="7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media1.sv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2025-05-31T15:23:24Z</dcterms:modified>
</cp:coreProperties>
</file>