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contextualSpacing w:val="true"/>
        <w:jc w:val="both"/>
        <w:rPr>
          <w:rStyle w:val="1_3"/>
          <w:lang w:val="ru-RU"/>
        </w:rPr>
      </w:pPr>
      <w:r/>
      <w:bookmarkStart w:id="2" w:name="_Toc130372742"/>
      <w:r>
        <w:rPr>
          <w:rStyle w:val="1_3"/>
          <w:lang w:val="ru-RU"/>
        </w:rPr>
        <w:t xml:space="preserve">Задание </w:t>
      </w:r>
      <w:r>
        <w:rPr>
          <w:rStyle w:val="1_3"/>
          <w:lang w:val="ru-RU"/>
        </w:rPr>
        <w:t xml:space="preserve">1</w:t>
      </w:r>
      <w:bookmarkEnd w:id="2"/>
      <w:r>
        <w:rPr>
          <w:rStyle w:val="1_3"/>
          <w:lang w:val="ru-RU"/>
        </w:rPr>
      </w:r>
      <w:r>
        <w:rPr>
          <w:rStyle w:val="1_3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случая экспоненци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ального распределения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λ=0,1 (1/ч)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664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вычислить среднее время безотказной работы системы и сравнить со значением MEAN в отчете </w:t>
      </w:r>
      <w:r>
        <w:rPr>
          <w:rFonts w:ascii="Times New Roman" w:hAnsi="Times New Roman" w:cs="Times New Roman"/>
          <w:i/>
          <w:sz w:val="30"/>
          <w:szCs w:val="30"/>
          <w:lang w:val="ru-RU"/>
        </w:rPr>
        <w:t xml:space="preserve">GPSS Report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;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664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position:absolute;z-index:251895808;o:allowoverlap:true;o:allowincell:true;mso-position-horizontal-relative:text;margin-left:397.10pt;mso-position-horizontal:absolute;mso-position-vertical-relative:text;margin-top:16.05pt;mso-position-vertical:absolute;width:80.75pt;height:25.40pt;mso-wrap-distance-left:9.00pt;mso-wrap-distance-top:0.00pt;mso-wrap-distance-right:9.00pt;mso-wrap-distance-bottom:0.00pt;z-index:1;" filled="f" stroked="f">
            <v:imagedata r:id="rId9" o:title=""/>
            <o:lock v:ext="edit" rotation="t"/>
          </v:shape>
          <o:OLEObject DrawAspect="Content" ObjectID="_1525040" ProgID="Equation.3" ShapeID="_x0000_i0" Type="Embed"/>
        </w:objec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построить и сравнить графики вероятности безотказной работы, полученные с  использованием аналитической формулы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                   и данных последней колонки таблицы в отчете GPSS</w:t>
      </w:r>
      <w:r>
        <w:rPr>
          <w:rFonts w:ascii="Times New Roman" w:hAnsi="Times New Roman" w:cs="Times New Roman"/>
          <w:sz w:val="30"/>
          <w:szCs w:val="30"/>
        </w:rPr>
        <w:t xml:space="preserve">W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</w:rPr>
      </w:pPr>
      <w:r>
        <w:t xml:space="preserve">Среднее время безотказной работы будет равно = </w:t>
      </w:r>
      <w:r/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E</m:t>
        </m:r>
        <m:d>
          <m:dPr>
            <m:ctrlPr>
              <w:rPr>
                <w:rFonts w:hint="default"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системы</m:t>
                </m:r>
              </m:sub>
            </m:s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=</m:t>
            </m:r>
            <m:f>
              <m:fPr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  <m:r>
                  <w:rPr>
                    <w:rFonts w:hint="default" w:ascii="Cambria Math" w:hAnsi="Cambria Math" w:eastAsia="Cambria Math" w:cs="Cambria Math"/>
                  </w:rPr>
                  <m:rPr/>
                  <m:t>ƛ</m:t>
                </m:r>
              </m:den>
            </m:f>
          </m:e>
        </m:d>
        <m:r>
          <w:rPr>
            <w:rFonts w:hint="default" w:ascii="Cambria Math" w:hAnsi="Cambria Math" w:eastAsia="Cambria Math" w:cs="Cambria Math"/>
          </w:rPr>
          <m:rPr>
            <m:sty m:val="i"/>
          </m:rPr>
          <m:t>=</m:t>
        </m:r>
        <m:f>
          <m:fPr>
            <m:ctrlPr>
              <w:rPr>
                <w:rFonts w:hint="default"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 * 0.1</m:t>
            </m:r>
          </m:den>
        </m:f>
        <m:r>
          <w:rPr>
            <w:rFonts w:hint="default" w:ascii="Cambria Math" w:hAnsi="Cambria Math" w:eastAsia="Cambria Math" w:cs="Cambria Math"/>
          </w:rPr>
          <m:rPr>
            <m:sty m:val="i"/>
          </m:rPr>
          <m:t>=5часов</m:t>
        </m:r>
      </m:oMath>
      <w:r/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</w:rPr>
        <w:t xml:space="preserve">Значение </w:t>
      </w:r>
      <w:r>
        <w:rPr>
          <w:highlight w:val="none"/>
          <w:lang w:val="en-US"/>
        </w:rPr>
        <w:t xml:space="preserve">MEAN: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6275" cy="447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177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762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3.25pt;height:35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  <w:br/>
      </w:r>
      <w:r>
        <w:rPr>
          <w:highlight w:val="none"/>
          <w:lang w:val="ru-RU"/>
        </w:rPr>
        <w:t xml:space="preserve">Данные сходятся.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График из данных последней колонки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05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762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740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94.5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  <w:br/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2. Выполнить моделирование системы  с числом последовательно  соединенных элементов &gt;2, закон распределения выбрать самостоятельно.  </w:t>
      </w:r>
      <w:r>
        <w:rPr>
          <w:highlight w:val="none"/>
          <w:lang w:val="ru-RU"/>
        </w:rPr>
        <w:br/>
        <w:t xml:space="preserve">Моделирование системы с 3 элементами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45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93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524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77.5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4762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706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143250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47.50pt;height:375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3.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Исследовать влияние коэффициента вариации на среднее время безотказной работы системы. Для этого 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различных распределений времени безотказной работы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 одинаковым математическим ожиданием (например, для случая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T=10(ч)).  Изменения коснутся блоков </w:t>
      </w:r>
      <w:r>
        <w:rPr>
          <w:rFonts w:ascii="Times New Roman" w:hAnsi="Times New Roman" w:cs="Times New Roman"/>
          <w:sz w:val="30"/>
          <w:szCs w:val="30"/>
        </w:rPr>
        <w:t xml:space="preserve">ADVANCE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в которых необходимо будет использовать соответствующие функции. На основании результатов моделирования сделать вывод о наличии (отсутствии) влияния коэффициента вариации на среднее время безотказной работы системы.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Проведем анализ влияния вариации на среднее время безотказной работы системы, для этого выполним тесты с использованием экспонтециального, вейбулловского, гамма и нормального распределения</w:t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экспотенциального распределения будем использовать: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571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135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0030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89.00pt;height:20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распределения вейбулла будем использовать: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2381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566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16217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0.25pt;height:1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гамма распределения: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3125" cy="2381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0323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143125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8.75pt;height:18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нормального распределения: 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190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176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00300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89.00pt;height:17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Результат тестов можем наблюдать на таблице 1.</w:t>
      </w:r>
      <w:r>
        <w:rPr>
          <w:highlight w:val="none"/>
          <w:lang w:val="ru-RU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74"/>
        <w:gridCol w:w="2128"/>
        <w:gridCol w:w="1984"/>
        <w:gridCol w:w="1984"/>
        <w:gridCol w:w="2265"/>
      </w:tblGrid>
      <w:tr>
        <w:trPr>
          <w:trHeight w:val="499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Распределение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824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Результат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6947" cy="561975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86173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86947" cy="561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93.46pt;height:44.25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02650" cy="466725"/>
                      <wp:effectExtent l="0" t="0" r="0" b="0"/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93301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02649" cy="4667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86.82pt;height:36.75pt;mso-wrap-distance-left:0.00pt;mso-wrap-distance-top:0.00pt;mso-wrap-distance-right:0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99950" cy="438150"/>
                      <wp:effectExtent l="0" t="0" r="0" b="0"/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214094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99949" cy="4381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86.61pt;height:34.50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77805" cy="428625"/>
                      <wp:effectExtent l="0" t="0" r="0" b="0"/>
                      <wp:docPr id="1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278833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77805" cy="428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84.87pt;height:33.75pt;mso-wrap-distance-left:0.00pt;mso-wrap-distance-top:0.00pt;mso-wrap-distance-right:0.00pt;mso-wrap-distance-bottom:0.00pt;z-index:1;" stroked="false">
                      <v:imagedata r:id="rId22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center"/>
        <w:rPr>
          <w:highlight w:val="none"/>
          <w:lang w:val="en-US"/>
        </w:rPr>
      </w:pPr>
      <w:r>
        <w:rPr>
          <w:highlight w:val="none"/>
          <w:lang w:val="ru-RU"/>
        </w:rPr>
        <w:t xml:space="preserve">Таблица 1. – Результат прогона тестов </w:t>
      </w:r>
      <w:r>
        <w:rPr>
          <w:highlight w:val="none"/>
          <w:lang w:val="en-US"/>
        </w:rPr>
      </w:r>
      <w:r/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highlight w:val="none"/>
          <w:lang w:val="ru-RU"/>
        </w:rPr>
        <w:t xml:space="preserve">Посчитаем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коэффициент вариации K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  <w:lang w:val="ru-RU"/>
        </w:rPr>
        <w:t xml:space="preserve">v</w:t>
      </w:r>
      <w:r>
        <w:rPr>
          <w:b w:val="0"/>
          <w:bCs w:val="0"/>
          <w:i w:val="0"/>
          <w:iCs w:val="0"/>
          <w:highlight w:val="none"/>
          <w:lang w:val="ru-RU"/>
        </w:rPr>
        <w:t xml:space="preserve"> как отношение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среднеквадратичного  отклонения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STD.DEV)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 математическому ожиданию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(MEAN)</w:t>
      </w:r>
      <w:r/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vertAlign w:val="baseli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Распределение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K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ru-RU"/>
              </w:rPr>
              <w:t xml:space="preserve">v</w:t>
            </w:r>
            <w:r/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1,004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0,2282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0,6628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0,1460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t xml:space="preserve">Таким образом, коэффициент вариации оказывает заметное влияние на среднее время безотказной работы системы: при снижении Kv разброс времени отказов уменьшается, и среднее время безотказной работы, как правило, возрастает. Это особенно важно для систем, где надёжность кри</w:t>
      </w:r>
      <w:r>
        <w:t xml:space="preserve">тична — желательно выбирать такие распределения отказов, которые имеют меньший Kv (например, нормальное или вейбулловское при высоком параметре формы).</w:t>
      </w:r>
      <w:r>
        <w:rPr>
          <w:b w:val="0"/>
          <w:bCs w:val="0"/>
          <w:i w:val="0"/>
          <w:iCs w:val="0"/>
          <w:highlight w:val="none"/>
          <w:lang w:val="ru-RU"/>
        </w:rPr>
        <w:br/>
        <w:br/>
        <w:t xml:space="preserve">Задание 2</w:t>
      </w:r>
      <w:r>
        <w:rPr>
          <w:b w:val="0"/>
          <w:bCs w:val="0"/>
          <w:i w:val="0"/>
          <w:iCs w:val="0"/>
          <w:highlight w:val="none"/>
          <w:lang w:val="ru-RU"/>
        </w:rPr>
      </w:r>
    </w:p>
    <w:p>
      <w:pPr>
        <w:pStyle w:val="664"/>
        <w:numPr>
          <w:ilvl w:val="0"/>
          <w:numId w:val="4"/>
        </w:numPr>
        <w:pBdr/>
        <w:spacing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" o:spid="_x0000_s13" type="#_x0000_t75" style="position:absolute;z-index:251995136;o:allowoverlap:true;o:allowincell:true;mso-position-horizontal-relative:text;margin-left:243.20pt;mso-position-horizontal:absolute;mso-position-vertical-relative:text;margin-top:35.30pt;mso-position-vertical:absolute;width:42.95pt;height:19.00pt;mso-wrap-distance-left:9.00pt;mso-wrap-distance-top:0.00pt;mso-wrap-distance-right:9.00pt;mso-wrap-distance-bottom:0.00pt;z-index:1;" filled="f" stroked="f">
            <v:imagedata r:id="rId23" o:title=""/>
            <o:lock v:ext="edit" rotation="t"/>
          </v:shape>
          <o:OLEObject DrawAspect="Content" ObjectID="_15250413" ProgID="Equation.3" ShapeID="_x0000_i13" Type="Embed"/>
        </w:objec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m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= 0,1(1/ч)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Сравнить среднее время безотказной работы, полученное при моделировании,  со значением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8328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128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683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368.76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iCs w:val="0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32509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976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732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372.64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iCs w:val="0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  <w:t xml:space="preserve">Потом сравнить </w:t>
      </w:r>
      <w:r>
        <w:rPr>
          <w:b w:val="0"/>
          <w:bCs w:val="0"/>
          <w:i w:val="0"/>
          <w:iCs w:val="0"/>
          <w:highlight w:val="none"/>
          <w:lang w:val="ru-RU"/>
        </w:rPr>
      </w:r>
    </w:p>
    <w:p>
      <w:pPr>
        <w:pBdr/>
        <w:spacing w:line="240" w:lineRule="auto"/>
        <w:ind w:firstLine="0" w:left="36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w:t xml:space="preserve">2.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Построить модель и 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ыполнить моделирование для числа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параллельных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элементов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m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&gt;2, закон распределения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– экспоненциальный. Сравнить среднее время безотказной работы, полученное при моделировании,  со значением </w:t>
      </w:r>
      <w:r/>
      <m:oMath>
        <m:sSub>
          <m:sSubPr>
            <m:ctrlPr/>
          </m:sSubPr>
          <m:e>
            <m:r>
              <w:rPr>
                <w:rFonts w:ascii="Cambria Math" w:hAnsi="Cambria Math" w:eastAsia="Cambria Math"/>
                <w:sz w:val="24"/>
              </w:rPr>
              <m:rPr>
                <m:sty m:val="i"/>
              </m:rPr>
              <m:t>T</m:t>
            </m:r>
          </m:e>
          <m:sub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m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eastAsia="Cambria Math"/>
            <w:sz w:val="24"/>
          </w:rPr>
          <m:rPr>
            <m:sty m:val="p"/>
          </m:rPr>
          <m:t>=</m:t>
        </m:r>
        <m:f>
          <m:fPr>
            <m:ctrlPr/>
          </m:fPr>
          <m:num>
            <m:r>
              <w:rPr>
                <w:rFonts w:ascii="Cambria Math" w:hAnsi="Cambria Math" w:eastAsia="Cambria Math"/>
                <w:sz w:val="24"/>
              </w:rPr>
              <m:rPr>
                <m:sty m:val="p"/>
              </m:rPr>
              <m:t>1</m:t>
            </m:r>
          </m:num>
          <m:den>
            <m:r>
              <w:rPr>
                <w:rFonts w:ascii="Cambria Math" w:hAnsi="Cambria Math" w:eastAsia="Cambria Math"/>
                <w:sz w:val="24"/>
              </w:rPr>
              <m:rPr>
                <m:sty m:val="i"/>
              </m:rPr>
              <m:t>λ</m:t>
            </m:r>
          </m:den>
        </m:f>
        <m:nary>
          <m:naryPr>
            <m:chr m:val="∑"/>
            <m:grow m:val="off"/>
            <m:limLoc m:val="undOvr"/>
            <m:ctrlPr/>
          </m:naryPr>
          <m:sub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k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=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1</m:t>
            </m:r>
          </m:sub>
          <m:sup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m</m:t>
            </m:r>
          </m:sup>
          <m:e>
            <m:f>
              <m:fPr>
                <m:ctrlPr/>
              </m:fPr>
              <m:num>
                <m:r>
                  <w:rPr>
                    <w:rFonts w:ascii="Cambria Math" w:hAnsi="Cambria Math" w:eastAsia="Cambria Math"/>
                    <w:sz w:val="24"/>
                  </w:rPr>
                  <m:rPr>
                    <m:sty m:val="p"/>
                  </m:rPr>
                  <m:t>1</m:t>
                </m:r>
              </m:num>
              <m:den>
                <m:r>
                  <w:rPr>
                    <w:rFonts w:ascii="Cambria Math" w:hAnsi="Cambria Math" w:eastAsia="Cambria Math"/>
                    <w:sz w:val="24"/>
                  </w:rPr>
                  <m:rPr>
                    <m:sty m:val="i"/>
                  </m:rPr>
                  <m:t>k</m:t>
                </m:r>
              </m:den>
            </m:f>
          </m:e>
        </m:nary>
      </m:oMath>
      <w:r/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cs="Times New Roman"/>
          <w:sz w:val="30"/>
          <w:szCs w:val="30"/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Посчитаем </w:t>
      </w:r>
      <w:r/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  <w:sz w:val="24"/>
              </w:rPr>
              <m:rPr>
                <m:sty m:val="i"/>
              </m:rPr>
              <m:t>T</m:t>
            </m:r>
          </m:e>
          <m:sub>
            <m:r>
              <w:rPr>
                <w:rFonts w:ascii="Cambria Math" w:hAnsi="Cambria Math" w:eastAsia="Cambria Math" w:cs="Cambria Math"/>
                <w:sz w:val="14"/>
              </w:rPr>
              <m:rPr>
                <m:sty m:val="i"/>
              </m:rPr>
              <m:t>m</m:t>
            </m:r>
            <m:r>
              <w:rPr>
                <w:rFonts w:ascii="Cambria Math" w:hAnsi="Cambria Math" w:eastAsia="Cambria Math" w:cs="Cambria Math"/>
                <w:sz w:val="14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eastAsia="Cambria Math" w:cs="Cambria Math"/>
                <w:i/>
                <w:sz w:val="24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10</m:t>
            </m:r>
          </m:den>
        </m:f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*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den>
            </m:f>
            <m:r>
              <w:rPr>
                <w:rFonts w:ascii="Cambria Math" w:hAnsi="Cambria Math" w:eastAsia="Cambria Math" w:cs="Cambria Math"/>
                <w:sz w:val="24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2</m:t>
                </m:r>
              </m:den>
            </m:f>
            <m:r>
              <w:rPr>
                <w:rFonts w:ascii="Cambria Math" w:hAnsi="Cambria Math" w:eastAsia="Cambria Math" w:cs="Cambria Math"/>
                <w:sz w:val="24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3</m:t>
                </m:r>
              </m:den>
            </m:f>
          </m:e>
        </m:d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=</m:t>
        </m:r>
        <m:r>
          <w:rPr>
            <w:rFonts w:hint="default" w:ascii="Cambria Math" w:hAnsi="Cambria Math" w:eastAsia="Cambria Math" w:cs="Cambria Math"/>
            <w:sz w:val="24"/>
            <w:szCs w:val="24"/>
          </w:rPr>
          <m:rPr/>
          <m:t>18,3</m:t>
        </m:r>
      </m:oMath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Симуляция: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0328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6533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4803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378.21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  <w:r/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highlight w:val="none"/>
          <w:lang w:val="ru-RU"/>
        </w:rPr>
        <w:t xml:space="preserve">3. </w:t>
      </w:r>
      <w:r>
        <w:rPr>
          <w:highlight w:val="none"/>
        </w:rPr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случая, когда распределение не является экспоненциальным 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например, можно использовать распределение из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Задани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m выбрать самостоятельно)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получить среднее значение (MEAN), построить и сравнить графики вероятности безотказной работы, полученные с  использованием аналитических формул  и данных последней колонки таблицы в отчете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Гамма-распределение</w:t>
      </w:r>
      <w:r/>
    </w:p>
    <w:p>
      <w:pPr>
        <w:pBdr/>
        <w:spacing w:line="240" w:lineRule="auto"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74581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370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467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368.08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/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iCs w:val="0"/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0263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120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3702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5pt;height:291.5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iCs w:val="0"/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Задание 3.</w:t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1.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для случая ненагруженного дублирования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если  время безотказной работы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нт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ов подчиняется:  а) экспоненциальному распределению с параметром  λ = 0,1(1/ч);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б)   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гамма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-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распределению с параметрами α=5, β=2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(m=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10,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σ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=4,47, </w:t>
      </w:r>
      <w:r>
        <w:rPr>
          <w:rFonts w:ascii="Times New Roman" w:hAnsi="Times New Roman" w:cs="Times New Roman"/>
          <w:i/>
          <w:sz w:val="30"/>
          <w:szCs w:val="30"/>
          <w:lang w:val="ru-RU"/>
        </w:rPr>
        <w:t xml:space="preserve">K</w:t>
      </w:r>
      <w:r>
        <w:rPr>
          <w:rFonts w:ascii="Times New Roman" w:hAnsi="Times New Roman" w:cs="Times New Roman"/>
          <w:i/>
          <w:sz w:val="30"/>
          <w:szCs w:val="30"/>
          <w:vertAlign w:val="subscript"/>
          <w:lang w:val="ru-RU"/>
        </w:rPr>
        <w:t xml:space="preserve">v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=0,45).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Для каждого случая п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олучить среднее значение (MEAN), п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остроить и сравнить графики вероятности безотказной работы, полученные с  использованием аналитическ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их формул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 данных пос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ледней колонки таблицы в отчете.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vertAlign w:val="baseli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_3" w:customStyle="1">
    <w:name w:val="Заголовок 1 Знак"/>
    <w:basedOn w:val="786"/>
    <w:link w:val="77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media1.sv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media2.sv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2025-05-31T16:47:26Z</dcterms:modified>
</cp:coreProperties>
</file>