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902"/>
          <w:lang w:val="ru-RU"/>
        </w:rPr>
      </w:pPr>
      <w:r/>
      <w:bookmarkStart w:id="2" w:name="_Toc130372742"/>
      <w:r>
        <w:rPr>
          <w:rStyle w:val="902"/>
          <w:lang w:val="ru-RU"/>
        </w:rPr>
        <w:t xml:space="preserve">Задание </w:t>
      </w:r>
      <w:r>
        <w:rPr>
          <w:rStyle w:val="902"/>
          <w:lang w:val="ru-RU"/>
        </w:rPr>
        <w:t xml:space="preserve">1</w:t>
      </w:r>
      <w:bookmarkEnd w:id="2"/>
      <w:r>
        <w:rPr>
          <w:rStyle w:val="902"/>
          <w:lang w:val="ru-RU"/>
        </w:rPr>
      </w:r>
      <w:r>
        <w:rPr>
          <w:rStyle w:val="902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203835</wp:posOffset>
                </wp:positionV>
                <wp:extent cx="1025525" cy="322580"/>
                <wp:effectExtent l="0" t="0" r="0" b="0"/>
                <wp:wrapNone/>
                <wp:docPr id="1" name="_x0000_i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25525" cy="32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>
        <w:rPr>
          <w:vertAlign w:val="baseline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</w:t>
      </w:r>
      <w:r>
        <w:t xml:space="preserve">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Style w:val="901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448310</wp:posOffset>
                </wp:positionV>
                <wp:extent cx="545465" cy="241300"/>
                <wp:effectExtent l="0" t="0" r="0" b="0"/>
                <wp:wrapNone/>
                <wp:docPr id="14" name="_x0000_i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4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A)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67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8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054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3.50pt;height:446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858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23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4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268.3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для кратности резервирования &gt;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закон ра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vertAlign w:val="baseline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972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27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6257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22.25pt;height:470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143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0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956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3.75pt;height:168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4.</w:t>
      </w:r>
      <w:r>
        <w:rPr>
          <w:highlight w:val="none"/>
          <w:lang w:val="ru-RU"/>
        </w:rPr>
      </w:r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Восстанавливаемая система без резерва.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Экспоненциальные законы распределения времени безотказной работы и времени восстановления. Самостоятельно задать λ (1/ч). Провести моделирование для случаев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μ=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0,5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(1/ч)); б) μ=λ (1/ч)); в) μ=2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(1/ч)). Определить коэффициенты готовности.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А) </w:t>
      </w:r>
      <w:r>
        <w:t xml:space="preserve">Случай (а) μ = 0.5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83820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34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099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68.50pt;height:66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33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52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67.75pt;height:41.2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rPr>
          <w:sz w:val="28"/>
          <w:szCs w:val="28"/>
          <w:lang w:val="ru-RU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,5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</m:oMath>
      </m:oMathPara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 </w:t>
      </w:r>
      <w:r>
        <w:t xml:space="preserve">Случай (б) μ = 1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8191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385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9564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59.50pt;height:64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5828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05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545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67.75pt;height:42.98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+1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в) </w:t>
      </w:r>
      <w:r>
        <w:t xml:space="preserve">Случай (в) μ = 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8382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741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004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2.00pt;height:66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9758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4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569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67.75pt;height:44.8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+2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Задание 5.</w:t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случая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когда элементы системы разные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1: среднее время безотказной работы 4(ч), среднее время восстановления 2(ч)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=0,5 (1/ч)).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2: среднее время безотказной работы 5(ч), среднее время восстановления 4(ч)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804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31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55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67.75pt;height:43.94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5654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9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940424" cy="3645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67.75pt;height:287.06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 для других распределений времени безотказной работы и времени восстановления.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433387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811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1337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46.75pt;height:341.25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409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771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49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67.75pt;height:38.61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element1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 Distribution)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(μ):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 (σ):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(UNIFORM(1,1,3))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U(1, 3)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element2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(UNIFORM(1,3,7))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7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U(3, 7)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 такие же, как у element1: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Разработать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модель для кратности резервирования =2, распределения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vertAlign w:val="baseli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509587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6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267324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414.75pt;height:401.2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6083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446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141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67.75pt;height:111.5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customStyle="1">
    <w:name w:val="Заголовок 1 Знак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2025-06-01T10:41:23Z</dcterms:modified>
</cp:coreProperties>
</file>