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Doxygen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7102AA1D"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EB7F83">
        <w:rPr>
          <w:rFonts w:ascii="Times New Roman" w:hAnsi="Times New Roman" w:cs="Times New Roman"/>
          <w:sz w:val="24"/>
          <w:szCs w:val="24"/>
        </w:rPr>
        <w:instrText xml:space="preserve"> ADDIN ZOTERO_ITEM CSL_CITATION {"citationID":"J9ziSyV6","properties":{"formattedCitation":"(Thorson 2019)","plainCitation":"(Thorson 2019)","noteIndex":0},"citationItems":[{"id":2219,"uris":["http://zotero.org/users/251206/items/SKX65JVM"],"uri":["http://zotero.org/users/251206/items/SKX65JVM"],"itemData":{"id":2219,"type":"article-journal","title":"Guidance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two separate Rmarkdown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peer-reviewed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AB905D9"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w:t>
      </w:r>
      <w:r w:rsidR="003636B8">
        <w:rPr>
          <w:rFonts w:ascii="Times New Roman" w:hAnsi="Times New Roman" w:cs="Times New Roman"/>
          <w:sz w:val="24"/>
          <w:szCs w:val="24"/>
        </w:rPr>
        <w:lastRenderedPageBreak/>
        <w:t xml:space="preserve">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p>
    <w:p w14:paraId="7676F506" w14:textId="77777777" w:rsidR="0059531E" w:rsidRDefault="0059531E" w:rsidP="00DA2C62">
      <w:pPr>
        <w:spacing w:after="0" w:line="480" w:lineRule="auto"/>
        <w:rPr>
          <w:rFonts w:ascii="Times New Roman" w:hAnsi="Times New Roman" w:cs="Times New Roman"/>
          <w:b/>
          <w:sz w:val="24"/>
          <w:szCs w:val="24"/>
        </w:rPr>
      </w:pPr>
    </w:p>
    <w:p w14:paraId="1A51405A" w14:textId="5044B23F"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5C91C12E" w:rsidR="00DA2C62" w:rsidRPr="00493EE0"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5E810195"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lastRenderedPageBreak/>
        <w:t xml:space="preserve">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1EAB046"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spatio-temporal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05FD9B96" w14:textId="6FB0428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w:t>
      </w:r>
      <w:r w:rsidR="00DA2C62">
        <w:rPr>
          <w:rFonts w:ascii="Times New Roman" w:eastAsiaTheme="minorEastAsia" w:hAnsi="Times New Roman" w:cs="Times New Roman"/>
          <w:iCs/>
          <w:sz w:val="24"/>
          <w:szCs w:val="24"/>
        </w:rPr>
        <w:lastRenderedPageBreak/>
        <w:t xml:space="preserve">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36FC3CF7" w:rsidR="00DA2C62" w:rsidRPr="00493EE0"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9478B7"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9478B7"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9478B7"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 xml:space="preserve">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9478B7"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9478B7"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w:t>
      </w:r>
      <w:r>
        <w:rPr>
          <w:rFonts w:ascii="Times New Roman" w:eastAsiaTheme="minorEastAsia" w:hAnsi="Times New Roman" w:cs="Times New Roman"/>
          <w:iCs/>
          <w:sz w:val="24"/>
          <w:szCs w:val="24"/>
        </w:rPr>
        <w:lastRenderedPageBreak/>
        <w:t xml:space="preserve">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5C0AEF9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r w:rsidR="00BA6A8E">
        <w:rPr>
          <w:rFonts w:ascii="Times New Roman" w:eastAsiaTheme="minorEastAsia" w:hAnsi="Times New Roman" w:cs="Times New Roman"/>
          <w:iCs/>
          <w:sz w:val="24"/>
          <w:szCs w:val="24"/>
        </w:rPr>
        <w:t>estimates the value of spatial variables at a user-defined number of knots</w:t>
      </w:r>
      <w:r>
        <w:rPr>
          <w:rFonts w:ascii="Times New Roman" w:eastAsiaTheme="minorEastAsia" w:hAnsi="Times New Roman" w:cs="Times New Roman"/>
          <w:iCs/>
          <w:sz w:val="24"/>
          <w:szCs w:val="24"/>
        </w:rPr>
        <w:t xml:space="preserve">.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306B8CB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57B9DD66" w:rsidR="00DA2C62"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w:bookmarkStart w:id="1" w:name="_GoBack"/>
                  <w:bookmarkEnd w:id="1"/>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AAB183C"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specifies that the spatial and spatio-temporal Gaussian random fields </w:t>
      </w:r>
      <w:r w:rsidR="00BA6A8E">
        <w:rPr>
          <w:rFonts w:ascii="Times New Roman" w:eastAsiaTheme="minorEastAsia" w:hAnsi="Times New Roman" w:cs="Times New Roman"/>
          <w:iCs/>
          <w:sz w:val="24"/>
          <w:szCs w:val="24"/>
        </w:rPr>
        <w:t xml:space="preserve">at </w:t>
      </w:r>
      <w:r>
        <w:rPr>
          <w:rFonts w:ascii="Times New Roman" w:eastAsiaTheme="minorEastAsia" w:hAnsi="Times New Roman" w:cs="Times New Roman"/>
          <w:iCs/>
          <w:sz w:val="24"/>
          <w:szCs w:val="24"/>
        </w:rPr>
        <w:t xml:space="preserve">each have a variance of 1.0.  By default VAST </w:t>
      </w:r>
      <w:r w:rsidR="00BD0F95">
        <w:rPr>
          <w:rFonts w:ascii="Times New Roman" w:eastAsiaTheme="minorEastAsia" w:hAnsi="Times New Roman" w:cs="Times New Roman"/>
          <w:iCs/>
          <w:sz w:val="24"/>
          <w:szCs w:val="24"/>
        </w:rPr>
        <w:t xml:space="preserve">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D0F95">
        <w:rPr>
          <w:rFonts w:ascii="Times New Roman" w:eastAsiaTheme="minorEastAsia" w:hAnsi="Times New Roman" w:cs="Times New Roman"/>
          <w:iCs/>
          <w:sz w:val="24"/>
          <w:szCs w:val="24"/>
        </w:rPr>
        <w:t xml:space="preserve"> vertices </w:t>
      </w:r>
      <w:r>
        <w:rPr>
          <w:rFonts w:ascii="Times New Roman" w:eastAsiaTheme="minorEastAsia" w:hAnsi="Times New Roman" w:cs="Times New Roman"/>
          <w:iCs/>
          <w:sz w:val="24"/>
          <w:szCs w:val="24"/>
        </w:rPr>
        <w:t>as follows:</w:t>
      </w:r>
    </w:p>
    <w:p w14:paraId="56D27E32" w14:textId="3F4379F0" w:rsidR="00DA2C62"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22530630" w:rsidR="00DA2C62"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3C288D8A" w:rsidR="00DA2C62"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4F60147C" w:rsidR="00DA2C62" w:rsidRPr="00C66510"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773B9143" w:rsidR="00C66510" w:rsidRDefault="009478B7"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2BB5B875" w:rsidR="00C66510"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453635C0"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w:t>
      </w:r>
      <w:r w:rsidR="00221FA2">
        <w:rPr>
          <w:rFonts w:ascii="Times New Roman" w:eastAsiaTheme="minorEastAsia" w:hAnsi="Times New Roman" w:cs="Times New Roman"/>
          <w:iCs/>
          <w:sz w:val="24"/>
          <w:szCs w:val="24"/>
        </w:rPr>
        <w:t xml:space="preserve">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221FA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799E0573" w14:textId="2A3370DF" w:rsidR="00221FA2" w:rsidRPr="00221FA2" w:rsidRDefault="00BA6A8E" w:rsidP="00221FA2">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lastRenderedPageBreak/>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Both options involve specifying a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221FA2" w:rsidRPr="00221FA2">
        <w:rPr>
          <w:rFonts w:ascii="Times New Roman" w:eastAsiaTheme="minorEastAsia" w:hAnsi="Times New Roman" w:cs="Times New Roman"/>
          <w:iCs/>
          <w:sz w:val="24"/>
          <w:szCs w:val="24"/>
          <w:lang w:val="en-US"/>
        </w:rPr>
        <w:t xml:space="preserve"> columns, row </w:t>
      </w:r>
      <m:oMath>
        <m:r>
          <w:rPr>
            <w:rFonts w:ascii="Cambria Math" w:eastAsiaTheme="minorEastAsia" w:hAnsi="Cambria Math" w:cs="Times New Roman"/>
            <w:sz w:val="24"/>
            <w:szCs w:val="24"/>
            <w:lang w:val="en-US"/>
          </w:rPr>
          <m:t>i</m:t>
        </m:r>
      </m:oMath>
      <w:r w:rsidR="00221FA2" w:rsidRPr="00221FA2">
        <w:rPr>
          <w:rFonts w:ascii="Times New Roman" w:eastAsiaTheme="minorEastAsia" w:hAnsi="Times New Roman" w:cs="Times New Roman"/>
          <w:iCs/>
          <w:sz w:val="24"/>
          <w:szCs w:val="24"/>
          <w:lang w:val="en-US"/>
        </w:rPr>
        <w:t>.  Values are then predicted as e.g.:</w:t>
      </w:r>
    </w:p>
    <w:p w14:paraId="3E43F800" w14:textId="77777777" w:rsidR="00221FA2" w:rsidRPr="00221FA2" w:rsidRDefault="009478B7" w:rsidP="00221FA2">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70B54601" w14:textId="2FB49377" w:rsidR="00221FA2" w:rsidRPr="001974D4" w:rsidRDefault="00221FA2" w:rsidP="001974D4">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1974D4">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Pr="001974D4">
        <w:rPr>
          <w:rFonts w:ascii="Times New Roman" w:eastAsiaTheme="minorEastAsia" w:hAnsi="Times New Roman" w:cs="Times New Roman"/>
          <w:iCs/>
          <w:sz w:val="24"/>
          <w:szCs w:val="24"/>
        </w:rPr>
        <w:t>.</w:t>
      </w:r>
    </w:p>
    <w:p w14:paraId="4C709341" w14:textId="043DDB21" w:rsidR="00221FA2" w:rsidRDefault="00BA6A8E" w:rsidP="001974D4">
      <w:pPr>
        <w:pStyle w:val="ListParagraph"/>
        <w:numPr>
          <w:ilvl w:val="0"/>
          <w:numId w:val="16"/>
        </w:numPr>
        <w:spacing w:after="0" w:line="480" w:lineRule="auto"/>
        <w:rPr>
          <w:rFonts w:ascii="Times New Roman" w:eastAsiaTheme="minorEastAsia" w:hAnsi="Times New Roman" w:cs="Times New Roman"/>
          <w:iCs/>
          <w:sz w:val="24"/>
          <w:szCs w:val="24"/>
        </w:rPr>
      </w:pPr>
      <w:r w:rsidRPr="00BA6A8E">
        <w:rPr>
          <w:rFonts w:ascii="Times New Roman" w:eastAsiaTheme="minorEastAsia" w:hAnsi="Times New Roman" w:cs="Times New Roman"/>
          <w:i/>
          <w:iCs/>
          <w:sz w:val="24"/>
          <w:szCs w:val="24"/>
          <w:lang w:val="en-US"/>
        </w:rPr>
        <w:t>Piecewise constant</w:t>
      </w:r>
      <w:r>
        <w:rPr>
          <w:rFonts w:ascii="Times New Roman" w:eastAsiaTheme="minorEastAsia" w:hAnsi="Times New Roman" w:cs="Times New Roman"/>
          <w:iCs/>
          <w:sz w:val="24"/>
          <w:szCs w:val="24"/>
          <w:lang w:val="en-US"/>
        </w:rPr>
        <w:t xml:space="preserve">:  Following the conventional for releases of VAST prior to 3.0.0, users can specify </w:t>
      </w:r>
      <w:r w:rsidR="00221FA2">
        <w:rPr>
          <w:rFonts w:ascii="Consolas" w:eastAsia="Times New Roman" w:hAnsi="Consolas" w:cs="Consolas"/>
          <w:color w:val="24292E"/>
          <w:sz w:val="20"/>
          <w:szCs w:val="20"/>
          <w:bdr w:val="none" w:sz="0" w:space="0" w:color="auto" w:frame="1"/>
          <w:lang w:eastAsia="en-GB"/>
        </w:rPr>
        <w:t>fine_scale=FALSE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Pr>
          <w:rFonts w:ascii="Times New Roman" w:eastAsiaTheme="minorEastAsia" w:hAnsi="Times New Roman" w:cs="Times New Roman"/>
          <w:iCs/>
          <w:sz w:val="24"/>
          <w:szCs w:val="24"/>
          <w:lang w:val="en-US"/>
        </w:rPr>
        <w:t xml:space="preserve"> </w:t>
      </w:r>
      <w:r w:rsidR="001974D4">
        <w:rPr>
          <w:rFonts w:ascii="Times New Roman" w:eastAsiaTheme="minorEastAsia" w:hAnsi="Times New Roman" w:cs="Times New Roman"/>
          <w:iCs/>
          <w:sz w:val="24"/>
          <w:szCs w:val="24"/>
          <w:lang w:val="en-US"/>
        </w:rPr>
        <w:t xml:space="preserve">such that </w:t>
      </w:r>
      <w:r w:rsidR="00221FA2">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w:t>
      </w:r>
    </w:p>
    <w:p w14:paraId="227A35C1" w14:textId="152EC262" w:rsidR="00221FA2" w:rsidRPr="00221FA2" w:rsidRDefault="00221FA2" w:rsidP="00221FA2">
      <w:pPr>
        <w:pStyle w:val="ListParagraph"/>
        <w:numPr>
          <w:ilvl w:val="0"/>
          <w:numId w:val="16"/>
        </w:num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
          <w:iCs/>
          <w:sz w:val="24"/>
          <w:szCs w:val="24"/>
          <w:lang w:val="en-US"/>
        </w:rPr>
        <w:t>Bilinear interpolation</w:t>
      </w:r>
      <w:r>
        <w:rPr>
          <w:rFonts w:ascii="Times New Roman" w:eastAsiaTheme="minorEastAsia" w:hAnsi="Times New Roman" w:cs="Times New Roman"/>
          <w:iCs/>
          <w:sz w:val="24"/>
          <w:szCs w:val="24"/>
          <w:lang w:val="en-US"/>
        </w:rPr>
        <w:t xml:space="preserve">:  Following standard practices using the software R-INLA </w:t>
      </w:r>
      <w:r>
        <w:rPr>
          <w:rFonts w:ascii="Times New Roman" w:eastAsiaTheme="minorEastAsia" w:hAnsi="Times New Roman" w:cs="Times New Roman"/>
          <w:iCs/>
          <w:sz w:val="24"/>
          <w:szCs w:val="24"/>
          <w:lang w:val="en-US"/>
        </w:rPr>
        <w:fldChar w:fldCharType="begin"/>
      </w:r>
      <w:r>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2013)","plainCitation":"(Lindgren 2012; Lindgren and Rue 2013)","noteIndex":0},"citationItems":[{"id":127,"uris":["http://zotero.org/users/251206/items/DM362H4A"],"uri":["http://zotero.org/users/251206/items/DM362H4A"],"itemData":{"id":127,"type":"article-journal","title":"Continuous domain spatial models in R-INLA","container-title":"The ISBA Bulletin","page":"14-20","volume":"19","issue":"4","author":[{"family":"Lindgren","given":"F."}],"issued":{"date-parts":[["2012"]]}}},{"id":1367,"uris":["http://zotero.org/users/251206/items/2CV8QCI8"],"uri":["http://zotero.org/users/251206/items/2CV8QCI8"],"itemData":{"id":1367,"type":"article-journal","title":"Bayesian spatial and spatiotemporal modelling with r-inla","container-title":"Journal of Statistical Software","source":"Google Scholar","URL":"http://inla.googlecode.com/hg-history/fd1c0951196f7e7b6d57e2ea84c541981fcb3bf4/r-inla.org/papers/jss/lindgren.pdf","author":[{"family":"Lindgren","given":"Finn"},{"family":"Rue","given":"Havard"}],"issued":{"date-parts":[["2013"]]},"accessed":{"date-parts":[["2014",2,23]]}}}],"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sidRPr="00221FA2">
        <w:rPr>
          <w:rFonts w:ascii="Times New Roman" w:hAnsi="Times New Roman" w:cs="Times New Roman"/>
          <w:sz w:val="24"/>
        </w:rPr>
        <w:t>(Lindgren 2012; Lindgren and Rue 2013)</w:t>
      </w:r>
      <w:r>
        <w:rPr>
          <w:rFonts w:ascii="Times New Roman" w:eastAsiaTheme="minorEastAsia" w:hAnsi="Times New Roman" w:cs="Times New Roman"/>
          <w:iCs/>
          <w:sz w:val="24"/>
          <w:szCs w:val="24"/>
          <w:lang w:val="en-US"/>
        </w:rPr>
        <w:fldChar w:fldCharType="end"/>
      </w:r>
      <w:r>
        <w:rPr>
          <w:rFonts w:ascii="Times New Roman" w:eastAsiaTheme="minorEastAsia" w:hAnsi="Times New Roman" w:cs="Times New Roman"/>
          <w:iCs/>
          <w:sz w:val="24"/>
          <w:szCs w:val="24"/>
          <w:lang w:val="en-US"/>
        </w:rPr>
        <w:t xml:space="preserve">, users can specify </w:t>
      </w:r>
      <w:r>
        <w:rPr>
          <w:rFonts w:ascii="Consolas" w:eastAsia="Times New Roman" w:hAnsi="Consolas" w:cs="Consolas"/>
          <w:color w:val="24292E"/>
          <w:sz w:val="20"/>
          <w:szCs w:val="20"/>
          <w:bdr w:val="none" w:sz="0" w:space="0" w:color="auto" w:frame="1"/>
          <w:lang w:eastAsia="en-GB"/>
        </w:rPr>
        <w:t>fine_scale=TRUE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15C6350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4A7273">
        <w:rPr>
          <w:rFonts w:ascii="Times New Roman" w:eastAsiaTheme="minorEastAsia" w:hAnsi="Times New Roman" w:cs="Times New Roman"/>
          <w:iCs/>
          <w:sz w:val="24"/>
          <w:szCs w:val="24"/>
        </w:rPr>
        <w:t xml:space="preserve">factor-model </w:t>
      </w:r>
      <w:r>
        <w:rPr>
          <w:rFonts w:ascii="Times New Roman" w:eastAsiaTheme="minorEastAsia" w:hAnsi="Times New Roman" w:cs="Times New Roman"/>
          <w:iCs/>
          <w:sz w:val="24"/>
          <w:szCs w:val="24"/>
        </w:rPr>
        <w:t>structure:</w:t>
      </w:r>
    </w:p>
    <w:p w14:paraId="589183CE" w14:textId="5EC2D28D" w:rsidR="00DA2C62"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617A4DA6" w14:textId="6F01B3B8" w:rsidR="00DA2C62"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2C01D503" w14:textId="1B8EC746" w:rsidR="00DA2C62" w:rsidRDefault="007148B6"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w:t>
      </w:r>
      <w:r w:rsidR="00DA2C62">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w:t>
      </w:r>
      <w:r w:rsidR="00BB683F">
        <w:rPr>
          <w:rFonts w:ascii="Times New Roman" w:eastAsiaTheme="minorEastAsia" w:hAnsi="Times New Roman" w:cs="Times New Roman"/>
          <w:iCs/>
          <w:sz w:val="24"/>
          <w:szCs w:val="24"/>
        </w:rPr>
        <w:t xml:space="preserve"> and</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w:t>
      </w:r>
      <w:r w:rsidR="0033545F">
        <w:rPr>
          <w:rFonts w:ascii="Times New Roman" w:eastAsiaTheme="minorEastAsia" w:hAnsi="Times New Roman" w:cs="Times New Roman"/>
          <w:iCs/>
          <w:sz w:val="24"/>
          <w:szCs w:val="24"/>
        </w:rPr>
        <w:t xml:space="preserve"> in temporal variation</w:t>
      </w:r>
      <w:r w:rsidR="00BB683F">
        <w:rPr>
          <w:rFonts w:ascii="Times New Roman" w:eastAsiaTheme="minorEastAsia" w:hAnsi="Times New Roman" w:cs="Times New Roman"/>
          <w:iCs/>
          <w:sz w:val="24"/>
          <w:szCs w:val="24"/>
        </w:rPr>
        <w:t xml:space="preserve"> (note that random effects have a variance of one given that they are subsequently multiplied by loadings matrices that represent the temporal covariance among factors)</w:t>
      </w:r>
      <w:r>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 </w:t>
      </w:r>
      <w:r w:rsidR="00DA2C62" w:rsidRPr="00AC32E7">
        <w:rPr>
          <w:rFonts w:ascii="Consolas" w:eastAsia="Times New Roman" w:hAnsi="Consolas" w:cs="Consolas"/>
          <w:color w:val="24292E"/>
          <w:sz w:val="20"/>
          <w:szCs w:val="20"/>
          <w:bdr w:val="none" w:sz="0" w:space="0" w:color="auto" w:frame="1"/>
          <w:lang w:eastAsia="en-GB"/>
        </w:rPr>
        <w:t>RhoConfig</w:t>
      </w:r>
      <w:r w:rsidR="00DA2C62">
        <w:rPr>
          <w:rFonts w:ascii="Consolas" w:eastAsia="Times New Roman" w:hAnsi="Consolas" w:cs="Consolas"/>
          <w:color w:val="24292E"/>
          <w:sz w:val="20"/>
          <w:szCs w:val="20"/>
          <w:bdr w:val="none" w:sz="0" w:space="0" w:color="auto" w:frame="1"/>
          <w:lang w:eastAsia="en-GB"/>
        </w:rPr>
        <w:t>[1]</w:t>
      </w:r>
      <w:r w:rsidR="00DA2C62">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sidR="00DA2C62">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67CF8C1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w:t>
      </w:r>
      <w:r w:rsidR="0088293D">
        <w:rPr>
          <w:rFonts w:ascii="Times New Roman" w:eastAsiaTheme="minorEastAsia" w:hAnsi="Times New Roman" w:cs="Times New Roman"/>
          <w:iCs/>
          <w:sz w:val="24"/>
          <w:szCs w:val="24"/>
        </w:rPr>
        <w:t xml:space="preserve">vector of </w:t>
      </w:r>
      <w:r>
        <w:rPr>
          <w:rFonts w:ascii="Times New Roman" w:eastAsiaTheme="minorEastAsia" w:hAnsi="Times New Roman" w:cs="Times New Roman"/>
          <w:iCs/>
          <w:sz w:val="24"/>
          <w:szCs w:val="24"/>
        </w:rPr>
        <w:t>spatio-temporal random effect</w:t>
      </w:r>
      <w:r w:rsidR="0088293D">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sidR="0088293D">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88293D">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601E67FA" w:rsidR="00DA2C62"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48BCCCA1" w14:textId="7DD4A23E" w:rsidR="00DA2C62" w:rsidRDefault="009478B7"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0E030ACB" w14:textId="70480281"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33545F">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0033545F">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sidR="0033545F">
        <w:rPr>
          <w:rFonts w:ascii="Times New Roman" w:eastAsiaTheme="minorEastAsia" w:hAnsi="Times New Roman" w:cs="Times New Roman"/>
          <w:iCs/>
          <w:sz w:val="24"/>
          <w:szCs w:val="24"/>
        </w:rPr>
        <w:t xml:space="preserve"> are the estimated degree of first-order autocorrelation in temporal variation,</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6575B080"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w:t>
      </w:r>
      <w:r w:rsidRPr="00D51253">
        <w:rPr>
          <w:rFonts w:ascii="Times New Roman" w:eastAsiaTheme="minorEastAsia" w:hAnsi="Times New Roman" w:cs="Times New Roman"/>
          <w:iCs/>
          <w:sz w:val="24"/>
          <w:szCs w:val="24"/>
        </w:rPr>
        <w:lastRenderedPageBreak/>
        <w:t>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565E8DF4"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B14C60">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B14C60" w:rsidRPr="003636B8">
        <w:rPr>
          <w:rFonts w:ascii="Times New Roman" w:hAnsi="Times New Roman" w:cs="Times New Roman"/>
          <w:sz w:val="24"/>
        </w:rPr>
        <w:t>(Shelton et al. 2014; Thorson et al. 2015b)</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9478B7"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9478B7"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2FFDDEAA"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lastRenderedPageBreak/>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w:t>
      </w:r>
      <w:r>
        <w:rPr>
          <w:rFonts w:ascii="Times New Roman" w:eastAsiaTheme="minorEastAsia" w:hAnsi="Times New Roman" w:cs="Times New Roman"/>
          <w:iCs/>
          <w:sz w:val="24"/>
          <w:szCs w:val="24"/>
        </w:rPr>
        <w:lastRenderedPageBreak/>
        <w:t xml:space="preserve">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lastRenderedPageBreak/>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w:t>
      </w:r>
      <w:r>
        <w:rPr>
          <w:rFonts w:ascii="Times New Roman" w:eastAsiaTheme="minorEastAsia" w:hAnsi="Times New Roman" w:cs="Times New Roman"/>
          <w:iCs/>
          <w:sz w:val="24"/>
          <w:szCs w:val="24"/>
        </w:rPr>
        <w:lastRenderedPageBreak/>
        <w:t xml:space="preserve">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9"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0"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4E13D08" w14:textId="77777777" w:rsidR="00221FA2" w:rsidRPr="00221FA2" w:rsidRDefault="00DA2C62" w:rsidP="00221FA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221FA2" w:rsidRPr="00221FA2">
        <w:rPr>
          <w:rFonts w:ascii="Times New Roman" w:hAnsi="Times New Roman" w:cs="Times New Roman"/>
          <w:sz w:val="24"/>
        </w:rPr>
        <w:t xml:space="preserve">Edwards, A.M., and Auger‐Méthé, M. 2019. Some guidance on using mathematical notation in ecology. Methods Ecol. Evol. </w:t>
      </w:r>
      <w:r w:rsidR="00221FA2" w:rsidRPr="00221FA2">
        <w:rPr>
          <w:rFonts w:ascii="Times New Roman" w:hAnsi="Times New Roman" w:cs="Times New Roman"/>
          <w:b/>
          <w:bCs/>
          <w:sz w:val="24"/>
        </w:rPr>
        <w:t>10</w:t>
      </w:r>
      <w:r w:rsidR="00221FA2" w:rsidRPr="00221FA2">
        <w:rPr>
          <w:rFonts w:ascii="Times New Roman" w:hAnsi="Times New Roman" w:cs="Times New Roman"/>
          <w:sz w:val="24"/>
        </w:rPr>
        <w:t>(1): 92–99. doi:10.1111/2041-210X.13105.</w:t>
      </w:r>
    </w:p>
    <w:p w14:paraId="0FEF324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Gelman, A., and Hill, J. 2007. Data analysis using regression and multilevel/hierarchical models. Cambridge University Press, Cambridge, UK.</w:t>
      </w:r>
    </w:p>
    <w:p w14:paraId="666978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Grüss, A., and Thorson, J. In press. Developing spatio-temporal models using multiple data types for evaluating population trends and habitat usage. ICES J. Mar. Sci.</w:t>
      </w:r>
    </w:p>
    <w:p w14:paraId="772DBBD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221FA2">
        <w:rPr>
          <w:rFonts w:ascii="Times New Roman" w:hAnsi="Times New Roman" w:cs="Times New Roman"/>
          <w:b/>
          <w:bCs/>
          <w:sz w:val="24"/>
        </w:rPr>
        <w:t>75</w:t>
      </w:r>
      <w:r w:rsidRPr="00221FA2">
        <w:rPr>
          <w:rFonts w:ascii="Times New Roman" w:hAnsi="Times New Roman" w:cs="Times New Roman"/>
          <w:sz w:val="24"/>
        </w:rPr>
        <w:t>(1): 158–177. doi:10.1093/icesjms/fsx120.</w:t>
      </w:r>
    </w:p>
    <w:p w14:paraId="308D17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221FA2">
        <w:rPr>
          <w:rFonts w:ascii="Times New Roman" w:hAnsi="Times New Roman" w:cs="Times New Roman"/>
          <w:b/>
          <w:bCs/>
          <w:sz w:val="24"/>
        </w:rPr>
        <w:t>193</w:t>
      </w:r>
      <w:r w:rsidRPr="00221FA2">
        <w:rPr>
          <w:rFonts w:ascii="Times New Roman" w:hAnsi="Times New Roman" w:cs="Times New Roman"/>
          <w:sz w:val="24"/>
        </w:rPr>
        <w:t>(Supplement C): 129–142. doi:10.1016/j.fishres.2017.04.006.</w:t>
      </w:r>
    </w:p>
    <w:p w14:paraId="2FB855CF"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221FA2">
        <w:rPr>
          <w:rFonts w:ascii="Times New Roman" w:hAnsi="Times New Roman" w:cs="Times New Roman"/>
          <w:b/>
          <w:bCs/>
          <w:sz w:val="24"/>
        </w:rPr>
        <w:t>84</w:t>
      </w:r>
      <w:r w:rsidRPr="00221FA2">
        <w:rPr>
          <w:rFonts w:ascii="Times New Roman" w:hAnsi="Times New Roman" w:cs="Times New Roman"/>
          <w:sz w:val="24"/>
        </w:rPr>
        <w:t>(407): 717–726. doi:10.2307/2289653.</w:t>
      </w:r>
    </w:p>
    <w:p w14:paraId="4DC0B4E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Kristensen, K., Nielsen, A., Berg, C.W., Skaug, H., and Bell, B.M. 2016. TMB: Automatic Differentiation and Laplace Approximation. J. Stat. Softw. </w:t>
      </w:r>
      <w:r w:rsidRPr="00221FA2">
        <w:rPr>
          <w:rFonts w:ascii="Times New Roman" w:hAnsi="Times New Roman" w:cs="Times New Roman"/>
          <w:b/>
          <w:bCs/>
          <w:sz w:val="24"/>
        </w:rPr>
        <w:t>70</w:t>
      </w:r>
      <w:r w:rsidRPr="00221FA2">
        <w:rPr>
          <w:rFonts w:ascii="Times New Roman" w:hAnsi="Times New Roman" w:cs="Times New Roman"/>
          <w:sz w:val="24"/>
        </w:rPr>
        <w:t>(5): 1–21. doi:10.18637/jss.v070.i05.</w:t>
      </w:r>
    </w:p>
    <w:p w14:paraId="74E7C49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2012. Continuous domain spatial models in R-INLA. ISBA Bull. </w:t>
      </w:r>
      <w:r w:rsidRPr="00221FA2">
        <w:rPr>
          <w:rFonts w:ascii="Times New Roman" w:hAnsi="Times New Roman" w:cs="Times New Roman"/>
          <w:b/>
          <w:bCs/>
          <w:sz w:val="24"/>
        </w:rPr>
        <w:t>19</w:t>
      </w:r>
      <w:r w:rsidRPr="00221FA2">
        <w:rPr>
          <w:rFonts w:ascii="Times New Roman" w:hAnsi="Times New Roman" w:cs="Times New Roman"/>
          <w:sz w:val="24"/>
        </w:rPr>
        <w:t>(4): 14–20.</w:t>
      </w:r>
    </w:p>
    <w:p w14:paraId="7A6D150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Lindgren, F., and Rue, H. 2013. Bayesian spatial and spatiotemporal modelling with r-inla. J. Stat. Softw. Available from http://inla.googlecode.com/hg-history/fd1c0951196f7e7b6d57e2ea84c541981fcb3bf4/r-inla.org/papers/jss/lindgren.pdf [accessed 23 February 2014].</w:t>
      </w:r>
    </w:p>
    <w:p w14:paraId="45CC1D9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21FA2">
        <w:rPr>
          <w:rFonts w:ascii="Times New Roman" w:hAnsi="Times New Roman" w:cs="Times New Roman"/>
          <w:b/>
          <w:bCs/>
          <w:sz w:val="24"/>
        </w:rPr>
        <w:t>73</w:t>
      </w:r>
      <w:r w:rsidRPr="00221FA2">
        <w:rPr>
          <w:rFonts w:ascii="Times New Roman" w:hAnsi="Times New Roman" w:cs="Times New Roman"/>
          <w:sz w:val="24"/>
        </w:rPr>
        <w:t>(4): 423–498. doi:10.1111/j.1467-9868.2011.00777.x.</w:t>
      </w:r>
    </w:p>
    <w:p w14:paraId="4297C2F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221FA2">
        <w:rPr>
          <w:rFonts w:ascii="Times New Roman" w:hAnsi="Times New Roman" w:cs="Times New Roman"/>
          <w:b/>
          <w:bCs/>
          <w:sz w:val="24"/>
        </w:rPr>
        <w:t>8</w:t>
      </w:r>
      <w:r w:rsidRPr="00221FA2">
        <w:rPr>
          <w:rFonts w:ascii="Times New Roman" w:hAnsi="Times New Roman" w:cs="Times New Roman"/>
          <w:sz w:val="24"/>
        </w:rPr>
        <w:t>(11): 1235–1246.</w:t>
      </w:r>
    </w:p>
    <w:p w14:paraId="531F051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R Core Team. 2017. R: A Language and Environment for Statistical Computing. R Foundation for Statistical Computing, Vienna, Austria. Available from https://www.R-project.org/.</w:t>
      </w:r>
    </w:p>
    <w:p w14:paraId="68127C1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Searle, S.R., Casella, G., and McCulloch, C.E. 1992. Variance components. John Wiley &amp; Sons, Hoboken, New Jersey.</w:t>
      </w:r>
    </w:p>
    <w:p w14:paraId="282FAEE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221FA2">
        <w:rPr>
          <w:rFonts w:ascii="Times New Roman" w:hAnsi="Times New Roman" w:cs="Times New Roman"/>
          <w:b/>
          <w:bCs/>
          <w:sz w:val="24"/>
        </w:rPr>
        <w:t>71</w:t>
      </w:r>
      <w:r w:rsidRPr="00221FA2">
        <w:rPr>
          <w:rFonts w:ascii="Times New Roman" w:hAnsi="Times New Roman" w:cs="Times New Roman"/>
          <w:sz w:val="24"/>
        </w:rPr>
        <w:t>(11): 1655–1666. doi:10.1139/cjfas-2013-0508.</w:t>
      </w:r>
    </w:p>
    <w:p w14:paraId="4855123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Skaug, H., and Fournier, D. 2006. Automatic approximation of the marginal likelihood in non-Gaussian hierarchical models. Comput. Stat. Data Anal. </w:t>
      </w:r>
      <w:r w:rsidRPr="00221FA2">
        <w:rPr>
          <w:rFonts w:ascii="Times New Roman" w:hAnsi="Times New Roman" w:cs="Times New Roman"/>
          <w:b/>
          <w:bCs/>
          <w:sz w:val="24"/>
        </w:rPr>
        <w:t>51</w:t>
      </w:r>
      <w:r w:rsidRPr="00221FA2">
        <w:rPr>
          <w:rFonts w:ascii="Times New Roman" w:hAnsi="Times New Roman" w:cs="Times New Roman"/>
          <w:sz w:val="24"/>
        </w:rPr>
        <w:t>(2): 699–709.</w:t>
      </w:r>
    </w:p>
    <w:p w14:paraId="02A849A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221FA2">
        <w:rPr>
          <w:rFonts w:ascii="Times New Roman" w:hAnsi="Times New Roman" w:cs="Times New Roman"/>
          <w:b/>
          <w:bCs/>
          <w:sz w:val="24"/>
        </w:rPr>
        <w:t>75</w:t>
      </w:r>
      <w:r w:rsidRPr="00221FA2">
        <w:rPr>
          <w:rFonts w:ascii="Times New Roman" w:hAnsi="Times New Roman" w:cs="Times New Roman"/>
          <w:sz w:val="24"/>
        </w:rPr>
        <w:t>(9): 1369–1382. doi:10.1139/cjfas-2017-0266.</w:t>
      </w:r>
    </w:p>
    <w:p w14:paraId="0D1D7F2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221FA2">
        <w:rPr>
          <w:rFonts w:ascii="Times New Roman" w:hAnsi="Times New Roman" w:cs="Times New Roman"/>
          <w:b/>
          <w:bCs/>
          <w:sz w:val="24"/>
        </w:rPr>
        <w:t>210</w:t>
      </w:r>
      <w:r w:rsidRPr="00221FA2">
        <w:rPr>
          <w:rFonts w:ascii="Times New Roman" w:hAnsi="Times New Roman" w:cs="Times New Roman"/>
          <w:sz w:val="24"/>
        </w:rPr>
        <w:t>: 143–161. doi:10.1016/j.fishres.2018.10.013.</w:t>
      </w:r>
    </w:p>
    <w:p w14:paraId="3FA4CB7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lastRenderedPageBreak/>
        <w:t xml:space="preserve">Thorson, J.T., and Barnett, L.A.K. 2017. Comparing estimates of abundance trends and distribution shifts using single- and multispecies models of fishes and biogenic habitat. ICES J. Mar. Sci. </w:t>
      </w:r>
      <w:r w:rsidRPr="00221FA2">
        <w:rPr>
          <w:rFonts w:ascii="Times New Roman" w:hAnsi="Times New Roman" w:cs="Times New Roman"/>
          <w:b/>
          <w:bCs/>
          <w:sz w:val="24"/>
        </w:rPr>
        <w:t>74</w:t>
      </w:r>
      <w:r w:rsidRPr="00221FA2">
        <w:rPr>
          <w:rFonts w:ascii="Times New Roman" w:hAnsi="Times New Roman" w:cs="Times New Roman"/>
          <w:sz w:val="24"/>
        </w:rPr>
        <w:t>(5): 1311–1321. doi:10.1093/icesjms/fsw193.</w:t>
      </w:r>
    </w:p>
    <w:p w14:paraId="301DCD0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221FA2">
        <w:rPr>
          <w:rFonts w:ascii="Times New Roman" w:hAnsi="Times New Roman" w:cs="Times New Roman"/>
          <w:b/>
          <w:bCs/>
          <w:sz w:val="24"/>
        </w:rPr>
        <w:t>25</w:t>
      </w:r>
      <w:r w:rsidRPr="00221FA2">
        <w:rPr>
          <w:rFonts w:ascii="Times New Roman" w:hAnsi="Times New Roman" w:cs="Times New Roman"/>
          <w:sz w:val="24"/>
        </w:rPr>
        <w:t>(9): 1144–1158. doi:10.1111/geb.12464.</w:t>
      </w:r>
    </w:p>
    <w:p w14:paraId="024FD4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221FA2">
        <w:rPr>
          <w:rFonts w:ascii="Times New Roman" w:hAnsi="Times New Roman" w:cs="Times New Roman"/>
          <w:b/>
          <w:bCs/>
          <w:sz w:val="24"/>
        </w:rPr>
        <w:t>175</w:t>
      </w:r>
      <w:r w:rsidRPr="00221FA2">
        <w:rPr>
          <w:rFonts w:ascii="Times New Roman" w:hAnsi="Times New Roman" w:cs="Times New Roman"/>
          <w:sz w:val="24"/>
        </w:rPr>
        <w:t>: 66–74. doi:10.1016/j.fishres.2015.11.016.</w:t>
      </w:r>
    </w:p>
    <w:p w14:paraId="4B897AC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Minto, C. 2015. Mixed effects: a unifying framework for statistical modelling in fisheries biology. ICES J. Mar. Sci. J. Cons. </w:t>
      </w:r>
      <w:r w:rsidRPr="00221FA2">
        <w:rPr>
          <w:rFonts w:ascii="Times New Roman" w:hAnsi="Times New Roman" w:cs="Times New Roman"/>
          <w:b/>
          <w:bCs/>
          <w:sz w:val="24"/>
        </w:rPr>
        <w:t>72</w:t>
      </w:r>
      <w:r w:rsidRPr="00221FA2">
        <w:rPr>
          <w:rFonts w:ascii="Times New Roman" w:hAnsi="Times New Roman" w:cs="Times New Roman"/>
          <w:sz w:val="24"/>
        </w:rPr>
        <w:t>(5): 1245–1256. doi:10.1093/icesjms/fsu213.</w:t>
      </w:r>
    </w:p>
    <w:p w14:paraId="74383C7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221FA2">
        <w:rPr>
          <w:rFonts w:ascii="Times New Roman" w:hAnsi="Times New Roman" w:cs="Times New Roman"/>
          <w:b/>
          <w:bCs/>
          <w:sz w:val="24"/>
        </w:rPr>
        <w:t>7</w:t>
      </w:r>
      <w:r w:rsidRPr="00221FA2">
        <w:rPr>
          <w:rFonts w:ascii="Times New Roman" w:hAnsi="Times New Roman" w:cs="Times New Roman"/>
          <w:sz w:val="24"/>
        </w:rPr>
        <w:t>(8): 990–1002. doi:10.1111/2041-210X.12567.</w:t>
      </w:r>
    </w:p>
    <w:p w14:paraId="2C74DB6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221FA2">
        <w:rPr>
          <w:rFonts w:ascii="Times New Roman" w:hAnsi="Times New Roman" w:cs="Times New Roman"/>
          <w:b/>
          <w:bCs/>
          <w:sz w:val="24"/>
        </w:rPr>
        <w:t>283</w:t>
      </w:r>
      <w:r w:rsidRPr="00221FA2">
        <w:rPr>
          <w:rFonts w:ascii="Times New Roman" w:hAnsi="Times New Roman" w:cs="Times New Roman"/>
          <w:sz w:val="24"/>
        </w:rPr>
        <w:t>(1840): 20161853. doi:10.1098/rspb.2016.1853.</w:t>
      </w:r>
    </w:p>
    <w:p w14:paraId="1A12CCF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221FA2">
        <w:rPr>
          <w:rFonts w:ascii="Times New Roman" w:hAnsi="Times New Roman" w:cs="Times New Roman"/>
          <w:b/>
          <w:bCs/>
          <w:sz w:val="24"/>
        </w:rPr>
        <w:t>6</w:t>
      </w:r>
      <w:r w:rsidRPr="00221FA2">
        <w:rPr>
          <w:rFonts w:ascii="Times New Roman" w:hAnsi="Times New Roman" w:cs="Times New Roman"/>
          <w:sz w:val="24"/>
        </w:rPr>
        <w:t>(6): 627–637. doi:10.1111/2041-210X.12359.</w:t>
      </w:r>
    </w:p>
    <w:p w14:paraId="5E4E474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221FA2">
        <w:rPr>
          <w:rFonts w:ascii="Times New Roman" w:hAnsi="Times New Roman" w:cs="Times New Roman"/>
          <w:b/>
          <w:bCs/>
          <w:sz w:val="24"/>
        </w:rPr>
        <w:t>72</w:t>
      </w:r>
      <w:r w:rsidRPr="00221FA2">
        <w:rPr>
          <w:rFonts w:ascii="Times New Roman" w:hAnsi="Times New Roman" w:cs="Times New Roman"/>
          <w:sz w:val="24"/>
        </w:rPr>
        <w:t>(5): 1297–1310. doi:10.1093/icesjms/fsu243.</w:t>
      </w:r>
    </w:p>
    <w:p w14:paraId="7C11019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221FA2">
        <w:rPr>
          <w:rFonts w:ascii="Times New Roman" w:hAnsi="Times New Roman" w:cs="Times New Roman"/>
          <w:b/>
          <w:bCs/>
          <w:sz w:val="24"/>
        </w:rPr>
        <w:t>96</w:t>
      </w:r>
      <w:r w:rsidRPr="00221FA2">
        <w:rPr>
          <w:rFonts w:ascii="Times New Roman" w:hAnsi="Times New Roman" w:cs="Times New Roman"/>
          <w:sz w:val="24"/>
        </w:rPr>
        <w:t>(5): 1202–1212. doi:10.1890/14-0739.1.</w:t>
      </w:r>
    </w:p>
    <w:p w14:paraId="33773B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221FA2">
        <w:rPr>
          <w:rFonts w:ascii="Times New Roman" w:hAnsi="Times New Roman" w:cs="Times New Roman"/>
          <w:b/>
          <w:bCs/>
          <w:sz w:val="24"/>
        </w:rPr>
        <w:t>84</w:t>
      </w:r>
      <w:r w:rsidRPr="00221FA2">
        <w:rPr>
          <w:rFonts w:ascii="Times New Roman" w:hAnsi="Times New Roman" w:cs="Times New Roman"/>
          <w:sz w:val="24"/>
        </w:rPr>
        <w:t>(407): 710–716.</w:t>
      </w:r>
    </w:p>
    <w:p w14:paraId="3CB8F6F8" w14:textId="5E185CED"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11"/>
      <w:footerReference w:type="default" r:id="rId12"/>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D2862" w14:textId="77777777" w:rsidR="009478B7" w:rsidRDefault="009478B7">
      <w:pPr>
        <w:spacing w:after="0" w:line="240" w:lineRule="auto"/>
      </w:pPr>
      <w:r>
        <w:separator/>
      </w:r>
    </w:p>
  </w:endnote>
  <w:endnote w:type="continuationSeparator" w:id="0">
    <w:p w14:paraId="5918120C" w14:textId="77777777" w:rsidR="009478B7" w:rsidRDefault="009478B7">
      <w:pPr>
        <w:spacing w:after="0" w:line="240" w:lineRule="auto"/>
      </w:pPr>
      <w:r>
        <w:continuationSeparator/>
      </w:r>
    </w:p>
  </w:endnote>
  <w:endnote w:type="continuationNotice" w:id="1">
    <w:p w14:paraId="433AE633" w14:textId="77777777" w:rsidR="009478B7" w:rsidRDefault="009478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7A5BC470" w:rsidR="004A7273" w:rsidRDefault="004A7273">
        <w:pPr>
          <w:pStyle w:val="Footer"/>
          <w:jc w:val="center"/>
        </w:pPr>
        <w:r>
          <w:fldChar w:fldCharType="begin"/>
        </w:r>
        <w:r>
          <w:instrText xml:space="preserve"> PAGE   \* MERGEFORMAT </w:instrText>
        </w:r>
        <w:r>
          <w:fldChar w:fldCharType="separate"/>
        </w:r>
        <w:r w:rsidR="00B8103D">
          <w:rPr>
            <w:noProof/>
          </w:rPr>
          <w:t>11</w:t>
        </w:r>
        <w:r>
          <w:rPr>
            <w:noProof/>
          </w:rPr>
          <w:fldChar w:fldCharType="end"/>
        </w:r>
      </w:p>
    </w:sdtContent>
  </w:sdt>
  <w:p w14:paraId="6CACC9CB" w14:textId="77777777" w:rsidR="004A7273" w:rsidRDefault="004A7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7C19F" w14:textId="77777777" w:rsidR="009478B7" w:rsidRDefault="009478B7">
      <w:pPr>
        <w:spacing w:after="0" w:line="240" w:lineRule="auto"/>
      </w:pPr>
      <w:r>
        <w:separator/>
      </w:r>
    </w:p>
  </w:footnote>
  <w:footnote w:type="continuationSeparator" w:id="0">
    <w:p w14:paraId="61F91F44" w14:textId="77777777" w:rsidR="009478B7" w:rsidRDefault="009478B7">
      <w:pPr>
        <w:spacing w:after="0" w:line="240" w:lineRule="auto"/>
      </w:pPr>
      <w:r>
        <w:continuationSeparator/>
      </w:r>
    </w:p>
  </w:footnote>
  <w:footnote w:type="continuationNotice" w:id="1">
    <w:p w14:paraId="5A303FDF" w14:textId="77777777" w:rsidR="009478B7" w:rsidRDefault="009478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4A7273" w:rsidRDefault="004A7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6"/>
  </w:num>
  <w:num w:numId="4">
    <w:abstractNumId w:val="14"/>
  </w:num>
  <w:num w:numId="5">
    <w:abstractNumId w:val="15"/>
  </w:num>
  <w:num w:numId="6">
    <w:abstractNumId w:val="4"/>
  </w:num>
  <w:num w:numId="7">
    <w:abstractNumId w:val="5"/>
  </w:num>
  <w:num w:numId="8">
    <w:abstractNumId w:val="9"/>
  </w:num>
  <w:num w:numId="9">
    <w:abstractNumId w:val="10"/>
  </w:num>
  <w:num w:numId="10">
    <w:abstractNumId w:val="1"/>
  </w:num>
  <w:num w:numId="11">
    <w:abstractNumId w:val="7"/>
  </w:num>
  <w:num w:numId="12">
    <w:abstractNumId w:val="0"/>
  </w:num>
  <w:num w:numId="13">
    <w:abstractNumId w:val="13"/>
  </w:num>
  <w:num w:numId="14">
    <w:abstractNumId w:val="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A25B7"/>
    <w:rsid w:val="000B7B65"/>
    <w:rsid w:val="000C0A34"/>
    <w:rsid w:val="000D1941"/>
    <w:rsid w:val="000F4520"/>
    <w:rsid w:val="00115F2E"/>
    <w:rsid w:val="00116308"/>
    <w:rsid w:val="001217E2"/>
    <w:rsid w:val="001219C9"/>
    <w:rsid w:val="001435DA"/>
    <w:rsid w:val="001458EF"/>
    <w:rsid w:val="00145F0B"/>
    <w:rsid w:val="00146248"/>
    <w:rsid w:val="00165A52"/>
    <w:rsid w:val="00174D8D"/>
    <w:rsid w:val="001772ED"/>
    <w:rsid w:val="001828F8"/>
    <w:rsid w:val="00191F85"/>
    <w:rsid w:val="001974D4"/>
    <w:rsid w:val="001B4686"/>
    <w:rsid w:val="001C2369"/>
    <w:rsid w:val="001C7C78"/>
    <w:rsid w:val="00200C53"/>
    <w:rsid w:val="00204878"/>
    <w:rsid w:val="002136D4"/>
    <w:rsid w:val="00221FA2"/>
    <w:rsid w:val="002232B6"/>
    <w:rsid w:val="0022384A"/>
    <w:rsid w:val="0023093E"/>
    <w:rsid w:val="002310AB"/>
    <w:rsid w:val="002651B6"/>
    <w:rsid w:val="00266547"/>
    <w:rsid w:val="002737A0"/>
    <w:rsid w:val="00286D03"/>
    <w:rsid w:val="0029016F"/>
    <w:rsid w:val="002954D3"/>
    <w:rsid w:val="00297036"/>
    <w:rsid w:val="002B5C91"/>
    <w:rsid w:val="002B7DDC"/>
    <w:rsid w:val="002D5CC3"/>
    <w:rsid w:val="002F426F"/>
    <w:rsid w:val="002F5671"/>
    <w:rsid w:val="00317247"/>
    <w:rsid w:val="00322C36"/>
    <w:rsid w:val="00324CCC"/>
    <w:rsid w:val="00326FD3"/>
    <w:rsid w:val="003324A7"/>
    <w:rsid w:val="0033545F"/>
    <w:rsid w:val="00340815"/>
    <w:rsid w:val="003636B8"/>
    <w:rsid w:val="00364F08"/>
    <w:rsid w:val="003831C3"/>
    <w:rsid w:val="003B1FCC"/>
    <w:rsid w:val="003B75F4"/>
    <w:rsid w:val="003C4DBE"/>
    <w:rsid w:val="003E2C98"/>
    <w:rsid w:val="003F1698"/>
    <w:rsid w:val="004127D4"/>
    <w:rsid w:val="004256B3"/>
    <w:rsid w:val="004307DE"/>
    <w:rsid w:val="0045255D"/>
    <w:rsid w:val="00452DA0"/>
    <w:rsid w:val="00470B75"/>
    <w:rsid w:val="00475124"/>
    <w:rsid w:val="00493EE0"/>
    <w:rsid w:val="00496EFC"/>
    <w:rsid w:val="004A38AF"/>
    <w:rsid w:val="004A7273"/>
    <w:rsid w:val="004D3E37"/>
    <w:rsid w:val="004E608F"/>
    <w:rsid w:val="004F02E4"/>
    <w:rsid w:val="005048C4"/>
    <w:rsid w:val="005049EB"/>
    <w:rsid w:val="005063C9"/>
    <w:rsid w:val="00522AB0"/>
    <w:rsid w:val="0052448C"/>
    <w:rsid w:val="005301DE"/>
    <w:rsid w:val="00532B36"/>
    <w:rsid w:val="00533A84"/>
    <w:rsid w:val="005403FC"/>
    <w:rsid w:val="00544F3D"/>
    <w:rsid w:val="00556734"/>
    <w:rsid w:val="00571759"/>
    <w:rsid w:val="00574423"/>
    <w:rsid w:val="00580846"/>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148B6"/>
    <w:rsid w:val="007239D3"/>
    <w:rsid w:val="007436BF"/>
    <w:rsid w:val="007448C6"/>
    <w:rsid w:val="00744EC1"/>
    <w:rsid w:val="00757F99"/>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8293D"/>
    <w:rsid w:val="008947B7"/>
    <w:rsid w:val="008A2092"/>
    <w:rsid w:val="008A5D89"/>
    <w:rsid w:val="008B0864"/>
    <w:rsid w:val="008D025D"/>
    <w:rsid w:val="008D0970"/>
    <w:rsid w:val="008D43DA"/>
    <w:rsid w:val="008E17DC"/>
    <w:rsid w:val="008E2DF7"/>
    <w:rsid w:val="00900948"/>
    <w:rsid w:val="00905F96"/>
    <w:rsid w:val="00922659"/>
    <w:rsid w:val="0093501F"/>
    <w:rsid w:val="009478B7"/>
    <w:rsid w:val="00951436"/>
    <w:rsid w:val="00976EAB"/>
    <w:rsid w:val="009776CD"/>
    <w:rsid w:val="00984B1E"/>
    <w:rsid w:val="0098740E"/>
    <w:rsid w:val="009A0334"/>
    <w:rsid w:val="009A5F89"/>
    <w:rsid w:val="009B0F78"/>
    <w:rsid w:val="009B1074"/>
    <w:rsid w:val="009B37E6"/>
    <w:rsid w:val="009C0709"/>
    <w:rsid w:val="009C6213"/>
    <w:rsid w:val="009E1C4F"/>
    <w:rsid w:val="009E250C"/>
    <w:rsid w:val="009F41D2"/>
    <w:rsid w:val="00A0234A"/>
    <w:rsid w:val="00A033F6"/>
    <w:rsid w:val="00A2136E"/>
    <w:rsid w:val="00A21B0E"/>
    <w:rsid w:val="00A620F1"/>
    <w:rsid w:val="00A665D6"/>
    <w:rsid w:val="00A704DF"/>
    <w:rsid w:val="00A75CC9"/>
    <w:rsid w:val="00A86339"/>
    <w:rsid w:val="00A87F7C"/>
    <w:rsid w:val="00A95B00"/>
    <w:rsid w:val="00AA65F3"/>
    <w:rsid w:val="00AC32E7"/>
    <w:rsid w:val="00AF065B"/>
    <w:rsid w:val="00AF3FA3"/>
    <w:rsid w:val="00B05EBC"/>
    <w:rsid w:val="00B070EA"/>
    <w:rsid w:val="00B1286D"/>
    <w:rsid w:val="00B14C60"/>
    <w:rsid w:val="00B47375"/>
    <w:rsid w:val="00B5544C"/>
    <w:rsid w:val="00B63EFB"/>
    <w:rsid w:val="00B8103D"/>
    <w:rsid w:val="00B82ACF"/>
    <w:rsid w:val="00B83F8D"/>
    <w:rsid w:val="00B920C4"/>
    <w:rsid w:val="00BA6A8E"/>
    <w:rsid w:val="00BB1917"/>
    <w:rsid w:val="00BB683F"/>
    <w:rsid w:val="00BC53DD"/>
    <w:rsid w:val="00BD0F95"/>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192A"/>
    <w:rsid w:val="00D033CE"/>
    <w:rsid w:val="00D23016"/>
    <w:rsid w:val="00D32B70"/>
    <w:rsid w:val="00D36EE5"/>
    <w:rsid w:val="00D453D3"/>
    <w:rsid w:val="00D468AD"/>
    <w:rsid w:val="00D51253"/>
    <w:rsid w:val="00D534F2"/>
    <w:rsid w:val="00DA2C62"/>
    <w:rsid w:val="00DC0C21"/>
    <w:rsid w:val="00DC2CBE"/>
    <w:rsid w:val="00DC62DF"/>
    <w:rsid w:val="00DE1517"/>
    <w:rsid w:val="00E02D5F"/>
    <w:rsid w:val="00E041F3"/>
    <w:rsid w:val="00E06071"/>
    <w:rsid w:val="00E11941"/>
    <w:rsid w:val="00E14C00"/>
    <w:rsid w:val="00E16C29"/>
    <w:rsid w:val="00E36975"/>
    <w:rsid w:val="00E442FC"/>
    <w:rsid w:val="00E452B8"/>
    <w:rsid w:val="00E648BA"/>
    <w:rsid w:val="00E67EA8"/>
    <w:rsid w:val="00E71A2E"/>
    <w:rsid w:val="00EA736F"/>
    <w:rsid w:val="00EB7F83"/>
    <w:rsid w:val="00EC2519"/>
    <w:rsid w:val="00ED299C"/>
    <w:rsid w:val="00EE0C3F"/>
    <w:rsid w:val="00F06AA7"/>
    <w:rsid w:val="00F423D0"/>
    <w:rsid w:val="00F64E99"/>
    <w:rsid w:val="00F743C6"/>
    <w:rsid w:val="00F86C4A"/>
    <w:rsid w:val="00FC172E"/>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ames-Thorson-NOAA/VAST"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F95EB-5BA5-4293-9059-56EF681E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24</Pages>
  <Words>16152</Words>
  <Characters>97883</Characters>
  <Application>Microsoft Office Word</Application>
  <DocSecurity>0</DocSecurity>
  <Lines>1997</Lines>
  <Paragraphs>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91</cp:revision>
  <cp:lastPrinted>2019-03-29T17:48:00Z</cp:lastPrinted>
  <dcterms:created xsi:type="dcterms:W3CDTF">2018-03-23T02:24:00Z</dcterms:created>
  <dcterms:modified xsi:type="dcterms:W3CDTF">2019-06-25T22:24:00Z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id="Qshqsn4M"/&gt;&lt;style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