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0F8B2446" w:rsidR="00DA2C62" w:rsidRPr="00493EE0"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7D8F3671"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spatio-temporal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05FD9B96" w14:textId="543D00F0"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r>
          <w:rPr>
            <w:rFonts w:ascii="Cambria Math" w:hAnsi="Cambria Math" w:cs="Times New Roman"/>
            <w:sz w:val="24"/>
            <w:szCs w:val="24"/>
          </w:rPr>
          <m:t>σ(c,p)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w:t>
      </w:r>
      <w:r w:rsidR="00DA2C62">
        <w:rPr>
          <w:rFonts w:ascii="Times New Roman" w:eastAsiaTheme="minorEastAsia" w:hAnsi="Times New Roman" w:cs="Times New Roman"/>
          <w:iCs/>
          <w:sz w:val="24"/>
          <w:szCs w:val="24"/>
        </w:rPr>
        <w:lastRenderedPageBreak/>
        <w:t xml:space="preserve">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2CD87F59" w:rsidR="00DA2C62" w:rsidRPr="00493EE0"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lastRenderedPageBreak/>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1772E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1772E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1772E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 xml:space="preserve">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1772E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1772E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w:t>
      </w:r>
      <w:r>
        <w:rPr>
          <w:rFonts w:ascii="Times New Roman" w:eastAsiaTheme="minorEastAsia" w:hAnsi="Times New Roman" w:cs="Times New Roman"/>
          <w:iCs/>
          <w:sz w:val="24"/>
          <w:szCs w:val="24"/>
        </w:rPr>
        <w:lastRenderedPageBreak/>
        <w:t xml:space="preserve">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spatio-temporal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w:t>
      </w:r>
      <w:r w:rsidR="00BD0F95">
        <w:rPr>
          <w:rFonts w:ascii="Times New Roman" w:eastAsiaTheme="minorEastAsia" w:hAnsi="Times New Roman" w:cs="Times New Roman"/>
          <w:iCs/>
          <w:sz w:val="24"/>
          <w:szCs w:val="24"/>
        </w:rPr>
        <w:t xml:space="preserve">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w:t>
      </w:r>
      <w:r w:rsidR="00BD0F9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as follows:</w:t>
      </w:r>
    </w:p>
    <w:p w14:paraId="56D27E32" w14:textId="3F4379F0"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1772ED"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w:t>
      </w:r>
      <w:r w:rsidR="00221FA2" w:rsidRPr="00221FA2">
        <w:rPr>
          <w:rFonts w:ascii="Times New Roman" w:eastAsiaTheme="minorEastAsia" w:hAnsi="Times New Roman" w:cs="Times New Roman"/>
          <w:iCs/>
          <w:sz w:val="24"/>
          <w:szCs w:val="24"/>
          <w:lang w:val="en-US"/>
        </w:rPr>
        <w:t xml:space="preserve">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row </w:t>
      </w:r>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221FA2"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w:t>
      </w:r>
      <w:r>
        <w:rPr>
          <w:rFonts w:ascii="Times New Roman" w:eastAsiaTheme="minorEastAsia" w:hAnsi="Times New Roman" w:cs="Times New Roman"/>
          <w:iCs/>
          <w:sz w:val="24"/>
          <w:szCs w:val="24"/>
          <w:lang w:val="en-US"/>
        </w:rPr>
        <w:t xml:space="preserve">the conventional for releases of VAST prior to 3.0.0, users can specify </w:t>
      </w:r>
      <w:r w:rsidR="00221FA2">
        <w:rPr>
          <w:rFonts w:ascii="Consolas" w:eastAsia="Times New Roman" w:hAnsi="Consolas" w:cs="Consolas"/>
          <w:color w:val="24292E"/>
          <w:sz w:val="20"/>
          <w:szCs w:val="20"/>
          <w:bdr w:val="none" w:sz="0" w:space="0" w:color="auto" w:frame="1"/>
          <w:lang w:eastAsia="en-GB"/>
        </w:rPr>
        <w:t>fine_scale=FALSE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r>
        <w:rPr>
          <w:rFonts w:ascii="Consolas" w:eastAsia="Times New Roman" w:hAnsi="Consolas" w:cs="Consolas"/>
          <w:color w:val="24292E"/>
          <w:sz w:val="20"/>
          <w:szCs w:val="20"/>
          <w:bdr w:val="none" w:sz="0" w:space="0" w:color="auto" w:frame="1"/>
          <w:lang w:eastAsia="en-GB"/>
        </w:rPr>
        <w:t>fine_scale=TRUE</w:t>
      </w:r>
      <w:r>
        <w:rPr>
          <w:rFonts w:ascii="Times New Roman" w:eastAsiaTheme="minorEastAsia" w:hAnsi="Times New Roman" w:cs="Times New Roman"/>
          <w:iCs/>
          <w:sz w:val="24"/>
          <w:szCs w:val="24"/>
          <w:lang w:val="en-US"/>
        </w:rPr>
        <w:t>.  Given this specification,</w:t>
      </w:r>
      <w:r>
        <w:rPr>
          <w:rFonts w:ascii="Times New Roman" w:eastAsiaTheme="minorEastAsia" w:hAnsi="Times New Roman" w:cs="Times New Roman"/>
          <w:iCs/>
          <w:sz w:val="24"/>
          <w:szCs w:val="24"/>
          <w:lang w:val="en-US"/>
        </w:rPr>
        <w:t xml:space="preserve">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3E6534"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1CBA1001" w:rsidR="00DA2C62" w:rsidRDefault="001772E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w:t>
      </w:r>
      <w:r>
        <w:rPr>
          <w:rFonts w:ascii="Times New Roman" w:eastAsiaTheme="minorEastAsia" w:hAnsi="Times New Roman" w:cs="Times New Roman"/>
          <w:iCs/>
          <w:sz w:val="24"/>
          <w:szCs w:val="24"/>
        </w:rPr>
        <w:lastRenderedPageBreak/>
        <w:t xml:space="preserve">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bookmarkStart w:id="1" w:name="_GoBack"/>
      <w:bookmarkEnd w:id="1"/>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B14C60"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4A0C87E9" w:rsidR="00B14C60" w:rsidRPr="00493EE0" w:rsidRDefault="00B14C60"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m:t>
                          </m:r>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m:t>
                          </m:r>
                          <m:r>
                            <w:rPr>
                              <w:rFonts w:ascii="Cambria Math" w:hAnsi="Cambria Math" w:cs="Times New Roman"/>
                              <w:sz w:val="24"/>
                              <w:szCs w:val="24"/>
                            </w:rPr>
                            <m:t>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m:t>
                          </m:r>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m:t>
                  </m:r>
                  <m:r>
                    <w:rPr>
                      <w:rFonts w:ascii="Cambria Math" w:eastAsiaTheme="minorEastAsia" w:hAnsi="Cambria Math" w:cs="Times New Roman"/>
                      <w:sz w:val="24"/>
                      <w:szCs w:val="24"/>
                    </w:rPr>
                    <m:t>g</m:t>
                  </m:r>
                  <m:r>
                    <w:rPr>
                      <w:rFonts w:ascii="Cambria Math" w:eastAsiaTheme="minorEastAsia" w:hAnsi="Cambria Math" w:cs="Times New Roman"/>
                      <w:sz w:val="24"/>
                      <w:szCs w:val="24"/>
                    </w:rPr>
                    <m:t>,l)×d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g</m:t>
        </m:r>
        <m:r>
          <w:rPr>
            <w:rFonts w:ascii="Cambria Math" w:eastAsiaTheme="minorEastAsia" w:hAnsi="Cambria Math" w:cs="Times New Roman"/>
            <w:sz w:val="24"/>
            <w:szCs w:val="24"/>
          </w:rPr>
          <m:t>,l)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lastRenderedPageBreak/>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r>
                        <w:rPr>
                          <w:rFonts w:ascii="Cambria Math" w:eastAsiaTheme="minorEastAsia" w:hAnsi="Cambria Math" w:cs="Times New Roman"/>
                          <w:sz w:val="24"/>
                          <w:szCs w:val="24"/>
                        </w:rPr>
                        <m:t>g</m:t>
                      </m:r>
                      <m:r>
                        <w:rPr>
                          <w:rFonts w:ascii="Cambria Math" w:eastAsiaTheme="minorEastAsia" w:hAnsi="Cambria Math" w:cs="Times New Roman"/>
                          <w:sz w:val="24"/>
                          <w:szCs w:val="24"/>
                        </w:rPr>
                        <m:t>,m)×a(</m:t>
                      </m:r>
                      <m:r>
                        <w:rPr>
                          <w:rFonts w:ascii="Cambria Math" w:eastAsiaTheme="minorEastAsia" w:hAnsi="Cambria Math" w:cs="Times New Roman"/>
                          <w:sz w:val="24"/>
                          <w:szCs w:val="24"/>
                        </w:rPr>
                        <m:t>g</m:t>
                      </m:r>
                      <m:r>
                        <w:rPr>
                          <w:rFonts w:ascii="Cambria Math" w:eastAsiaTheme="minorEastAsia" w:hAnsi="Cambria Math" w:cs="Times New Roman"/>
                          <w:sz w:val="24"/>
                          <w:szCs w:val="24"/>
                        </w:rPr>
                        <m:t>,1)×d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m:t>
        </m:r>
        <m:r>
          <w:rPr>
            <w:rFonts w:ascii="Cambria Math" w:eastAsiaTheme="minorEastAsia" w:hAnsi="Cambria Math" w:cs="Times New Roman"/>
            <w:sz w:val="24"/>
            <w:szCs w:val="24"/>
          </w:rPr>
          <m:t>g</m:t>
        </m:r>
        <m:r>
          <w:rPr>
            <w:rFonts w:ascii="Cambria Math" w:eastAsiaTheme="minorEastAsia" w:hAnsi="Cambria Math" w:cs="Times New Roman"/>
            <w:sz w:val="24"/>
            <w:szCs w:val="24"/>
          </w:rPr>
          <m:t>,m)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m:t>
        </m:r>
        <m:r>
          <w:rPr>
            <w:rFonts w:ascii="Cambria Math" w:eastAsiaTheme="minorEastAsia" w:hAnsi="Cambria Math" w:cs="Times New Roman"/>
            <w:sz w:val="24"/>
            <w:szCs w:val="24"/>
          </w:rPr>
          <m:t>g</m:t>
        </m:r>
        <m:r>
          <w:rPr>
            <w:rFonts w:ascii="Cambria Math" w:eastAsiaTheme="minorEastAsia" w:hAnsi="Cambria Math" w:cs="Times New Roman"/>
            <w:sz w:val="24"/>
            <w:szCs w:val="24"/>
          </w:rPr>
          <m:t>,m)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next provide a list of “features” organized as decisions that can be made by the analyst.  Although this is somewhat redundant with the explanations provided above, this list might be </w:t>
      </w:r>
      <w:r>
        <w:rPr>
          <w:rFonts w:ascii="Times New Roman" w:eastAsiaTheme="minorEastAsia" w:hAnsi="Times New Roman" w:cs="Times New Roman"/>
          <w:iCs/>
          <w:sz w:val="24"/>
          <w:szCs w:val="24"/>
        </w:rPr>
        <w:lastRenderedPageBreak/>
        <w:t>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3CE43D41"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I also thank the </w:t>
      </w:r>
      <w:r w:rsidR="00900948">
        <w:rPr>
          <w:rFonts w:ascii="Times New Roman" w:eastAsiaTheme="minorEastAsia" w:hAnsi="Times New Roman" w:cs="Times New Roman"/>
          <w:iCs/>
          <w:sz w:val="24"/>
          <w:szCs w:val="24"/>
        </w:rPr>
        <w:lastRenderedPageBreak/>
        <w:t>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D76F6" w14:textId="77777777" w:rsidR="00F743C6" w:rsidRDefault="00F743C6">
      <w:pPr>
        <w:spacing w:after="0" w:line="240" w:lineRule="auto"/>
      </w:pPr>
      <w:r>
        <w:separator/>
      </w:r>
    </w:p>
  </w:endnote>
  <w:endnote w:type="continuationSeparator" w:id="0">
    <w:p w14:paraId="6575B023" w14:textId="77777777" w:rsidR="00F743C6" w:rsidRDefault="00F743C6">
      <w:pPr>
        <w:spacing w:after="0" w:line="240" w:lineRule="auto"/>
      </w:pPr>
      <w:r>
        <w:continuationSeparator/>
      </w:r>
    </w:p>
  </w:endnote>
  <w:endnote w:type="continuationNotice" w:id="1">
    <w:p w14:paraId="7FC97CA8" w14:textId="77777777" w:rsidR="00F743C6" w:rsidRDefault="00F743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69AAA5AF" w:rsidR="001772ED" w:rsidRDefault="001772ED">
        <w:pPr>
          <w:pStyle w:val="Footer"/>
          <w:jc w:val="center"/>
        </w:pPr>
        <w:r>
          <w:fldChar w:fldCharType="begin"/>
        </w:r>
        <w:r>
          <w:instrText xml:space="preserve"> PAGE   \* MERGEFORMAT </w:instrText>
        </w:r>
        <w:r>
          <w:fldChar w:fldCharType="separate"/>
        </w:r>
        <w:r w:rsidR="009C6213">
          <w:rPr>
            <w:noProof/>
          </w:rPr>
          <w:t>14</w:t>
        </w:r>
        <w:r>
          <w:rPr>
            <w:noProof/>
          </w:rPr>
          <w:fldChar w:fldCharType="end"/>
        </w:r>
      </w:p>
    </w:sdtContent>
  </w:sdt>
  <w:p w14:paraId="6CACC9CB" w14:textId="77777777" w:rsidR="001772ED" w:rsidRDefault="00177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FCCA1" w14:textId="77777777" w:rsidR="00F743C6" w:rsidRDefault="00F743C6">
      <w:pPr>
        <w:spacing w:after="0" w:line="240" w:lineRule="auto"/>
      </w:pPr>
      <w:r>
        <w:separator/>
      </w:r>
    </w:p>
  </w:footnote>
  <w:footnote w:type="continuationSeparator" w:id="0">
    <w:p w14:paraId="2D62186D" w14:textId="77777777" w:rsidR="00F743C6" w:rsidRDefault="00F743C6">
      <w:pPr>
        <w:spacing w:after="0" w:line="240" w:lineRule="auto"/>
      </w:pPr>
      <w:r>
        <w:continuationSeparator/>
      </w:r>
    </w:p>
  </w:footnote>
  <w:footnote w:type="continuationNotice" w:id="1">
    <w:p w14:paraId="3A751EA7" w14:textId="77777777" w:rsidR="00F743C6" w:rsidRDefault="00F743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1772ED" w:rsidRDefault="00177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6"/>
  </w:num>
  <w:num w:numId="4">
    <w:abstractNumId w:val="14"/>
  </w:num>
  <w:num w:numId="5">
    <w:abstractNumId w:val="15"/>
  </w:num>
  <w:num w:numId="6">
    <w:abstractNumId w:val="4"/>
  </w:num>
  <w:num w:numId="7">
    <w:abstractNumId w:val="5"/>
  </w:num>
  <w:num w:numId="8">
    <w:abstractNumId w:val="9"/>
  </w:num>
  <w:num w:numId="9">
    <w:abstractNumId w:val="10"/>
  </w:num>
  <w:num w:numId="10">
    <w:abstractNumId w:val="1"/>
  </w:num>
  <w:num w:numId="11">
    <w:abstractNumId w:val="7"/>
  </w:num>
  <w:num w:numId="12">
    <w:abstractNumId w:val="0"/>
  </w:num>
  <w:num w:numId="13">
    <w:abstractNumId w:val="13"/>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7256B"/>
    <w:rsid w:val="000A25B7"/>
    <w:rsid w:val="000B7B65"/>
    <w:rsid w:val="000C0A34"/>
    <w:rsid w:val="000D1941"/>
    <w:rsid w:val="000F4520"/>
    <w:rsid w:val="00115F2E"/>
    <w:rsid w:val="00116308"/>
    <w:rsid w:val="001219C9"/>
    <w:rsid w:val="001435DA"/>
    <w:rsid w:val="001458EF"/>
    <w:rsid w:val="00146248"/>
    <w:rsid w:val="00165A52"/>
    <w:rsid w:val="001772ED"/>
    <w:rsid w:val="001828F8"/>
    <w:rsid w:val="00191F85"/>
    <w:rsid w:val="001974D4"/>
    <w:rsid w:val="001B4686"/>
    <w:rsid w:val="001C2369"/>
    <w:rsid w:val="001C7C78"/>
    <w:rsid w:val="00200C53"/>
    <w:rsid w:val="00204878"/>
    <w:rsid w:val="002136D4"/>
    <w:rsid w:val="00221FA2"/>
    <w:rsid w:val="002232B6"/>
    <w:rsid w:val="0022384A"/>
    <w:rsid w:val="0023093E"/>
    <w:rsid w:val="002310AB"/>
    <w:rsid w:val="002737A0"/>
    <w:rsid w:val="00286D03"/>
    <w:rsid w:val="0029016F"/>
    <w:rsid w:val="002954D3"/>
    <w:rsid w:val="00297036"/>
    <w:rsid w:val="002B5C91"/>
    <w:rsid w:val="002B7DDC"/>
    <w:rsid w:val="002D5CC3"/>
    <w:rsid w:val="002F426F"/>
    <w:rsid w:val="002F5671"/>
    <w:rsid w:val="00317247"/>
    <w:rsid w:val="00322C36"/>
    <w:rsid w:val="00324CCC"/>
    <w:rsid w:val="003324A7"/>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D3E37"/>
    <w:rsid w:val="004E608F"/>
    <w:rsid w:val="004F02E4"/>
    <w:rsid w:val="005048C4"/>
    <w:rsid w:val="005049EB"/>
    <w:rsid w:val="005063C9"/>
    <w:rsid w:val="00522AB0"/>
    <w:rsid w:val="005301DE"/>
    <w:rsid w:val="00532B36"/>
    <w:rsid w:val="00533A84"/>
    <w:rsid w:val="005403FC"/>
    <w:rsid w:val="00544F3D"/>
    <w:rsid w:val="00556734"/>
    <w:rsid w:val="00571759"/>
    <w:rsid w:val="00574423"/>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947B7"/>
    <w:rsid w:val="008A5D89"/>
    <w:rsid w:val="008B0864"/>
    <w:rsid w:val="008D025D"/>
    <w:rsid w:val="008D0970"/>
    <w:rsid w:val="008D43DA"/>
    <w:rsid w:val="008E17DC"/>
    <w:rsid w:val="008E2DF7"/>
    <w:rsid w:val="00900948"/>
    <w:rsid w:val="00905F96"/>
    <w:rsid w:val="00922659"/>
    <w:rsid w:val="0093501F"/>
    <w:rsid w:val="00951436"/>
    <w:rsid w:val="00976EAB"/>
    <w:rsid w:val="009776CD"/>
    <w:rsid w:val="00984B1E"/>
    <w:rsid w:val="0098740E"/>
    <w:rsid w:val="009A0334"/>
    <w:rsid w:val="009A5F89"/>
    <w:rsid w:val="009B0F78"/>
    <w:rsid w:val="009B1074"/>
    <w:rsid w:val="009B37E6"/>
    <w:rsid w:val="009C0709"/>
    <w:rsid w:val="009C6213"/>
    <w:rsid w:val="009E1C4F"/>
    <w:rsid w:val="009F41D2"/>
    <w:rsid w:val="00A0234A"/>
    <w:rsid w:val="00A033F6"/>
    <w:rsid w:val="00A2136E"/>
    <w:rsid w:val="00A21B0E"/>
    <w:rsid w:val="00A620F1"/>
    <w:rsid w:val="00A665D6"/>
    <w:rsid w:val="00A704DF"/>
    <w:rsid w:val="00A75CC9"/>
    <w:rsid w:val="00A86339"/>
    <w:rsid w:val="00A87F7C"/>
    <w:rsid w:val="00A95B00"/>
    <w:rsid w:val="00AA65F3"/>
    <w:rsid w:val="00AC32E7"/>
    <w:rsid w:val="00AF065B"/>
    <w:rsid w:val="00AF3FA3"/>
    <w:rsid w:val="00B05EBC"/>
    <w:rsid w:val="00B1286D"/>
    <w:rsid w:val="00B14C60"/>
    <w:rsid w:val="00B47375"/>
    <w:rsid w:val="00B5544C"/>
    <w:rsid w:val="00B82ACF"/>
    <w:rsid w:val="00B83F8D"/>
    <w:rsid w:val="00B920C4"/>
    <w:rsid w:val="00BA6A8E"/>
    <w:rsid w:val="00BB1917"/>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33CE"/>
    <w:rsid w:val="00D23016"/>
    <w:rsid w:val="00D32B70"/>
    <w:rsid w:val="00D453D3"/>
    <w:rsid w:val="00D468AD"/>
    <w:rsid w:val="00D51253"/>
    <w:rsid w:val="00D534F2"/>
    <w:rsid w:val="00DA2C62"/>
    <w:rsid w:val="00DC2CBE"/>
    <w:rsid w:val="00DC62DF"/>
    <w:rsid w:val="00DE1517"/>
    <w:rsid w:val="00E02D5F"/>
    <w:rsid w:val="00E041F3"/>
    <w:rsid w:val="00E06071"/>
    <w:rsid w:val="00E11941"/>
    <w:rsid w:val="00E16C29"/>
    <w:rsid w:val="00E36975"/>
    <w:rsid w:val="00E442FC"/>
    <w:rsid w:val="00E452B8"/>
    <w:rsid w:val="00E648BA"/>
    <w:rsid w:val="00E71A2E"/>
    <w:rsid w:val="00EA736F"/>
    <w:rsid w:val="00EB7F83"/>
    <w:rsid w:val="00EC2519"/>
    <w:rsid w:val="00ED299C"/>
    <w:rsid w:val="00EE0C3F"/>
    <w:rsid w:val="00F06AA7"/>
    <w:rsid w:val="00F423D0"/>
    <w:rsid w:val="00F64E99"/>
    <w:rsid w:val="00F743C6"/>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D"/>
    <w:rsid w:val="0098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4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9516-867C-49CA-AF9A-9153C4C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24</Pages>
  <Words>16818</Words>
  <Characters>95865</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69</cp:revision>
  <cp:lastPrinted>2019-03-29T17:48:00Z</cp:lastPrinted>
  <dcterms:created xsi:type="dcterms:W3CDTF">2018-03-23T02:24:00Z</dcterms:created>
  <dcterms:modified xsi:type="dcterms:W3CDTF">2019-05-08T21:43:00Z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