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3EE0FEDB"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the VAST decision tree and user guide (currently in review at Fisheries Research)</w:t>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92D35E5"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2E008A20"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Feel free to change notation when describing the model to </w:t>
      </w:r>
      <w:r>
        <w:rPr>
          <w:rFonts w:ascii="Times New Roman" w:hAnsi="Times New Roman" w:cs="Times New Roman"/>
          <w:sz w:val="24"/>
          <w:szCs w:val="24"/>
        </w:rPr>
        <w:lastRenderedPageBreak/>
        <w:t>suit your purposes in reports or publications.  For further details regarding terminology, motivation, and statistical properties, please read the papers listed on the GitHub main page.</w:t>
      </w:r>
    </w:p>
    <w:p w14:paraId="1A51405A" w14:textId="7DE4349A"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F5A89B8"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8CCA77E" w:rsidR="00DA2C62" w:rsidRPr="00493EE0"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5FD9B96" w14:textId="00298E8E" w:rsidR="00DA2C62"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w:t>
      </w:r>
      <w:bookmarkStart w:id="1" w:name="_GoBack"/>
      <w:bookmarkEnd w:id="1"/>
      <w:r>
        <w:rPr>
          <w:rFonts w:ascii="Times New Roman" w:eastAsiaTheme="minorEastAsia" w:hAnsi="Times New Roman" w:cs="Times New Roman"/>
          <w:iCs/>
          <w:sz w:val="24"/>
          <w:szCs w:val="24"/>
        </w:rPr>
        <w:t>ositive catch rates in a delta-model, or the count-data intensity function in a count-data model:</w:t>
      </w:r>
    </w:p>
    <w:p w14:paraId="46FDE7B1" w14:textId="6265EEA5" w:rsidR="00DA2C62" w:rsidRPr="00493EE0"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7D4B8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7D4B8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D4B8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D4B86"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D4B86"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7D4B8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 xml:space="preserve">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lastRenderedPageBreak/>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7777777"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xml:space="preserve">, </w:t>
      </w:r>
      <w:r>
        <w:rPr>
          <w:rFonts w:ascii="Times New Roman" w:eastAsia="Times New Roman" w:hAnsi="Times New Roman" w:cs="Times New Roman"/>
          <w:color w:val="24292E"/>
          <w:sz w:val="24"/>
          <w:szCs w:val="24"/>
          <w:bdr w:val="none" w:sz="0" w:space="0" w:color="auto" w:frame="1"/>
          <w:lang w:eastAsia="en-GB"/>
        </w:rPr>
        <w:lastRenderedPageBreak/>
        <w:t>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8DA6D" w16cid:durableId="1E5E48CE"/>
  <w16cid:commentId w16cid:paraId="7E1037C4" w16cid:durableId="1E5F4F99"/>
  <w16cid:commentId w16cid:paraId="4F38434A" w16cid:durableId="1E5E608E"/>
  <w16cid:commentId w16cid:paraId="3C7A5177" w16cid:durableId="1E5E5D37"/>
  <w16cid:commentId w16cid:paraId="3B940511" w16cid:durableId="1E5F69D4"/>
  <w16cid:commentId w16cid:paraId="389337EA" w16cid:durableId="1E5E5D6D"/>
  <w16cid:commentId w16cid:paraId="02D4E494" w16cid:durableId="1E5F5DC7"/>
  <w16cid:commentId w16cid:paraId="3C51A9B4" w16cid:durableId="1E5E6C7F"/>
  <w16cid:commentId w16cid:paraId="23E8311E" w16cid:durableId="1E5F8A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E5421" w14:textId="77777777" w:rsidR="007D4B86" w:rsidRDefault="007D4B86">
      <w:pPr>
        <w:spacing w:after="0" w:line="240" w:lineRule="auto"/>
      </w:pPr>
      <w:r>
        <w:separator/>
      </w:r>
    </w:p>
  </w:endnote>
  <w:endnote w:type="continuationSeparator" w:id="0">
    <w:p w14:paraId="625C3409" w14:textId="77777777" w:rsidR="007D4B86" w:rsidRDefault="007D4B86">
      <w:pPr>
        <w:spacing w:after="0" w:line="240" w:lineRule="auto"/>
      </w:pPr>
      <w:r>
        <w:continuationSeparator/>
      </w:r>
    </w:p>
  </w:endnote>
  <w:endnote w:type="continuationNotice" w:id="1">
    <w:p w14:paraId="244976B3" w14:textId="77777777" w:rsidR="007D4B86" w:rsidRDefault="007D4B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4090A575" w:rsidR="00831CE9" w:rsidRDefault="00831CE9">
        <w:pPr>
          <w:pStyle w:val="Footer"/>
          <w:jc w:val="center"/>
        </w:pPr>
        <w:r>
          <w:fldChar w:fldCharType="begin"/>
        </w:r>
        <w:r>
          <w:instrText xml:space="preserve"> PAGE   \* MERGEFORMAT </w:instrText>
        </w:r>
        <w:r>
          <w:fldChar w:fldCharType="separate"/>
        </w:r>
        <w:r w:rsidR="00FE43DC">
          <w:rPr>
            <w:noProof/>
          </w:rPr>
          <w:t>1</w:t>
        </w:r>
        <w:r>
          <w:rPr>
            <w:noProof/>
          </w:rPr>
          <w:fldChar w:fldCharType="end"/>
        </w:r>
      </w:p>
    </w:sdtContent>
  </w:sdt>
  <w:p w14:paraId="6CACC9CB" w14:textId="77777777" w:rsidR="00831CE9" w:rsidRDefault="0083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E7C5A" w14:textId="77777777" w:rsidR="007D4B86" w:rsidRDefault="007D4B86">
      <w:pPr>
        <w:spacing w:after="0" w:line="240" w:lineRule="auto"/>
      </w:pPr>
      <w:r>
        <w:separator/>
      </w:r>
    </w:p>
  </w:footnote>
  <w:footnote w:type="continuationSeparator" w:id="0">
    <w:p w14:paraId="2F3F1FE0" w14:textId="77777777" w:rsidR="007D4B86" w:rsidRDefault="007D4B86">
      <w:pPr>
        <w:spacing w:after="0" w:line="240" w:lineRule="auto"/>
      </w:pPr>
      <w:r>
        <w:continuationSeparator/>
      </w:r>
    </w:p>
  </w:footnote>
  <w:footnote w:type="continuationNotice" w:id="1">
    <w:p w14:paraId="2F410871" w14:textId="77777777" w:rsidR="007D4B86" w:rsidRDefault="007D4B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831CE9" w:rsidRDefault="00831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A25B7"/>
    <w:rsid w:val="000F4520"/>
    <w:rsid w:val="00115F2E"/>
    <w:rsid w:val="00116308"/>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9016F"/>
    <w:rsid w:val="002B7DDC"/>
    <w:rsid w:val="002D5CC3"/>
    <w:rsid w:val="002F426F"/>
    <w:rsid w:val="002F5671"/>
    <w:rsid w:val="00322C36"/>
    <w:rsid w:val="00324CCC"/>
    <w:rsid w:val="003324A7"/>
    <w:rsid w:val="00340815"/>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48C6"/>
    <w:rsid w:val="00757F99"/>
    <w:rsid w:val="007764EE"/>
    <w:rsid w:val="00777154"/>
    <w:rsid w:val="00780695"/>
    <w:rsid w:val="007810F7"/>
    <w:rsid w:val="0078697E"/>
    <w:rsid w:val="007A3B24"/>
    <w:rsid w:val="007B2DD9"/>
    <w:rsid w:val="007C3A39"/>
    <w:rsid w:val="007C4653"/>
    <w:rsid w:val="007D2FFA"/>
    <w:rsid w:val="007D4B86"/>
    <w:rsid w:val="007D5046"/>
    <w:rsid w:val="00804272"/>
    <w:rsid w:val="00831CE9"/>
    <w:rsid w:val="00836325"/>
    <w:rsid w:val="008373C7"/>
    <w:rsid w:val="008773B8"/>
    <w:rsid w:val="00877D93"/>
    <w:rsid w:val="008947B7"/>
    <w:rsid w:val="008A5D89"/>
    <w:rsid w:val="008B0864"/>
    <w:rsid w:val="008D025D"/>
    <w:rsid w:val="008D0970"/>
    <w:rsid w:val="008D43DA"/>
    <w:rsid w:val="008E17DC"/>
    <w:rsid w:val="008E2DF7"/>
    <w:rsid w:val="00905F96"/>
    <w:rsid w:val="00951436"/>
    <w:rsid w:val="00984B1E"/>
    <w:rsid w:val="0098740E"/>
    <w:rsid w:val="009A0334"/>
    <w:rsid w:val="009A5F89"/>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033CE"/>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BF65-30B9-4D34-9045-43AA7FFA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14363</Words>
  <Characters>81874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19</cp:revision>
  <cp:lastPrinted>2018-11-15T16:47:00Z</cp:lastPrinted>
  <dcterms:created xsi:type="dcterms:W3CDTF">2018-03-23T02:24:00Z</dcterms:created>
  <dcterms:modified xsi:type="dcterms:W3CDTF">2018-11-15T16:52:00Z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