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Sacred Texts of the Pagan Temple of Dionysus</w:t>
      </w:r>
    </w:p>
    <w:p>
      <w:pPr>
        <w:pStyle w:val="Subtitle"/>
      </w:pPr>
      <w:r>
        <w:t xml:space="preserve">A Codex of Liberation, Community, and Ritual</w:t>
      </w:r>
    </w:p>
    <w:p>
      <w:r>
        <w:t xml:space="preserve">Author: Cole Avery</w:t>
      </w:r>
    </w:p>
    <w:p>
      <w:r>
        <w:t xml:space="preserve">Copyright notice: Copyright (c) 2026 Cole Avery. All rights reserved.</w:t>
      </w:r>
    </w:p>
    <w:p>
      <w:r>
        <w:t xml:space="preserve">Publication note: Best published as a worldbook or codex; keep the doctrinal framing clearly fictional and brand-safe.</w:t>
      </w:r>
    </w:p>
    <w:p>
      <w:r>
        <w:t xml:space="preserve">Edition prepared on 2026-06-06</w:t>
      </w:r>
    </w:p>
    <w:p>
      <w:r>
        <w:br w:type="page"/>
      </w:r>
    </w:p>
    <w:p>
      <w:pPr>
        <w:pStyle w:val="Heading1"/>
      </w:pPr>
      <w:r>
        <w:t xml:space="preserve">Codex Structure</w:t>
      </w:r>
    </w:p>
    <w:p>
      <w:r>
        <w:t xml:space="preserve">The source material already divides itself into four books: the mythic age, the mortal age, the living age, and the doctrinal age. That gives the finished book a clear spine.</w:t>
      </w:r>
    </w:p>
    <w:p>
      <w:r>
        <w:br w:type="page"/>
      </w:r>
    </w:p>
    <w:p>
      <w:pPr>
        <w:pStyle w:val="Heading1"/>
      </w:pPr>
      <w:r>
        <w:t xml:space="preserve">Book I - The Old Vines</w:t>
      </w:r>
    </w:p>
    <w:p>
      <w:r>
        <w:t xml:space="preserve">Control is named as the old harm. Suppression becomes the source of corruption, and Dionysus arrives as the figure who says what is hidden does not disappear; it poisons.</w:t>
      </w:r>
    </w:p>
    <w:p>
      <w:r>
        <w:br w:type="page"/>
      </w:r>
    </w:p>
    <w:p>
      <w:pPr>
        <w:pStyle w:val="Heading1"/>
      </w:pPr>
      <w:r>
        <w:t xml:space="preserve">Book II - The Broken House</w:t>
      </w:r>
    </w:p>
    <w:p>
      <w:r>
        <w:t xml:space="preserve">This section shifts into a tragic mortal story about leaving a house of still air and choosing movement over obedience.</w:t>
      </w:r>
    </w:p>
    <w:p>
      <w:r>
        <w:br w:type="page"/>
      </w:r>
    </w:p>
    <w:p>
      <w:pPr>
        <w:pStyle w:val="Heading1"/>
      </w:pPr>
      <w:r>
        <w:t xml:space="preserve">Book III - The Wild Gospel</w:t>
      </w:r>
    </w:p>
    <w:p>
      <w:r>
        <w:t xml:space="preserve">Identity is presented as motion, not a fixed assignment. Love is framed as truth rather than ownership.</w:t>
      </w:r>
    </w:p>
    <w:p>
      <w:r>
        <w:br w:type="page"/>
      </w:r>
    </w:p>
    <w:p>
      <w:pPr>
        <w:pStyle w:val="Heading1"/>
      </w:pPr>
      <w:r>
        <w:t xml:space="preserve">Book IV - The Laws of the Feast</w:t>
      </w:r>
    </w:p>
    <w:p>
      <w:r>
        <w:t xml:space="preserve">The doctrinal section is the most publishable material in the source: live fully, feel deeply, connect freely without shame. The rest of the text builds outward from that line.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Garamond" w:hAnsi="Garamond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Garamond" w:hAnsi="Garamond"/>
      <w:sz w:val="44"/>
    </w:rPr>
  </w:style>
  <w:style w:type="paragraph" w:styleId="Subtitle">
    <w:name w:val="Subtitle"/>
    <w:basedOn w:val="Normal"/>
    <w:qFormat/>
    <w:pPr>
      <w:jc w:val="center"/>
      <w:spacing w:after="240"/>
    </w:pPr>
    <w:rPr>
      <w:i/>
      <w:rFonts w:ascii="Garamond" w:hAnsi="Garamond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rFonts w:ascii="Garamond" w:hAnsi="Garamond"/>
      <w:sz w:val="32"/>
    </w:rPr>
  </w:style>
</w:styles>
</file>

<file path=word/_rels/document.xml.rels><?xml version="1.0" encoding="UTF-8" standalone="yes"?>
<Relationships xmlns="http://schemas.openxmlformats.org/package/2006/relationships"/>
</file>