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29B5D" w14:textId="77777777" w:rsidR="00A9696C" w:rsidRPr="0061369B" w:rsidRDefault="00000000" w:rsidP="00EC2ABA">
      <w:pPr>
        <w:pStyle w:val="Title"/>
        <w:jc w:val="center"/>
      </w:pPr>
      <w:r>
        <w:t>Evaluation Draft</w:t>
      </w:r>
    </w:p>
    <w:p w14:paraId="158EE6E0" w14:textId="77777777" w:rsidR="00A9696C" w:rsidRPr="0061369B" w:rsidRDefault="00000000" w:rsidP="00EC2ABA">
      <w:pPr>
        <w:pStyle w:val="Heading1"/>
      </w:pPr>
      <w:r>
        <w:t>1. Experimental Setup</w:t>
      </w:r>
    </w:p>
    <w:p w14:paraId="263BD9AC" w14:textId="77777777" w:rsidR="00A9696C" w:rsidRPr="0061369B" w:rsidRDefault="00000000" w:rsidP="00EC2ABA">
      <w:pPr>
        <w:rPr>
          <w:rFonts w:cs="Arial"/>
        </w:rPr>
      </w:pPr>
      <w:r>
        <w:rPr>
          <w:rFonts w:cs="Arial"/>
        </w:rPr>
        <w:t>This simulation recreates a satellite internet network in software. The network uses 720 satellites flying in low Earth orbit (about 1,200 km up), organized into 18 circular paths around the poles with 40 satellites in each path. On the ground, there are 46 gateway stations spread around the world that act as connection hubs. Because there are no inter-satellite links; all traffic routes through gateways, and each gateway has a capacity of 920 Gbps. Totaling a network capacity of 42,320 Gbps. The network graph contains 766 nodes (720 satellites + 46 gateways). A gateway-satellite link exists when the satellite is above 10 degrees elevation from the gateway. This was decided by our team because it isn't stated in the paper explicitly. Our simulation runs 200 routing demands per load level across 13 load levels from 0% to 120% of total capacity on the network. Each demand requests 1 Gbps of bandwidth between a randomly selected source and destination gateway pair. Testing how well the network handles the demand.</w:t>
      </w:r>
    </w:p>
    <w:p w14:paraId="611A5B19" w14:textId="77777777" w:rsidR="00A9696C" w:rsidRPr="0061369B" w:rsidRDefault="00000000" w:rsidP="00EC2ABA">
      <w:pPr>
        <w:pStyle w:val="Heading1"/>
      </w:pPr>
      <w:r>
        <w:t>2. Evaluation Metrics</w:t>
      </w:r>
    </w:p>
    <w:p w14:paraId="4B25B016" w14:textId="77777777" w:rsidR="00A9696C" w:rsidRPr="0061369B" w:rsidRDefault="00000000" w:rsidP="00EC2ABA">
      <w:pPr>
        <w:rPr>
          <w:rFonts w:cs="Arial"/>
        </w:rPr>
      </w:pPr>
      <w:r>
        <w:rPr>
          <w:rFonts w:cs="Arial"/>
        </w:rPr>
        <w:t>Four metrics are measured at each load level:</w:t>
      </w:r>
    </w:p>
    <w:p w14:paraId="7FE12C4E" w14:textId="77777777" w:rsidR="00A9696C" w:rsidRPr="0061369B" w:rsidRDefault="00000000" w:rsidP="00EC2ABA">
      <w:pPr>
        <w:pStyle w:val="ListBullet"/>
        <w:rPr>
          <w:rFonts w:cs="Arial"/>
        </w:rPr>
      </w:pPr>
      <w:r>
        <w:rPr>
          <w:rFonts w:cs="Arial"/>
          <w:b/>
        </w:rPr>
        <w:t xml:space="preserve">Matrix size: </w:t>
      </w:r>
      <w:r>
        <w:rPr>
          <w:rFonts w:cs="Arial"/>
        </w:rPr>
        <w:t>number of nodes in the routing graph used per demand (766 for GORA, variable for AORA).</w:t>
      </w:r>
    </w:p>
    <w:p w14:paraId="7C6DB740" w14:textId="77777777" w:rsidR="00A9696C" w:rsidRPr="0061369B" w:rsidRDefault="00000000" w:rsidP="00EC2ABA">
      <w:pPr>
        <w:pStyle w:val="ListBullet"/>
        <w:rPr>
          <w:rFonts w:cs="Arial"/>
        </w:rPr>
      </w:pPr>
      <w:r>
        <w:rPr>
          <w:rFonts w:cs="Arial"/>
          <w:b/>
        </w:rPr>
        <w:t xml:space="preserve">Computation time: </w:t>
      </w:r>
      <w:r>
        <w:rPr>
          <w:rFonts w:cs="Arial"/>
        </w:rPr>
        <w:t>average Dijkstra execution time per demand in milliseconds.</w:t>
      </w:r>
    </w:p>
    <w:p w14:paraId="181C0977" w14:textId="77777777" w:rsidR="00A9696C" w:rsidRPr="0061369B" w:rsidRDefault="00000000" w:rsidP="00EC2ABA">
      <w:pPr>
        <w:pStyle w:val="ListBullet"/>
        <w:rPr>
          <w:rFonts w:cs="Arial"/>
        </w:rPr>
      </w:pPr>
      <w:r>
        <w:rPr>
          <w:rFonts w:cs="Arial"/>
          <w:b/>
        </w:rPr>
        <w:t xml:space="preserve">Routing capacity: </w:t>
      </w:r>
      <w:r>
        <w:rPr>
          <w:rFonts w:cs="Arial"/>
        </w:rPr>
        <w:t>fraction of demands successfully routed given available link capacity.</w:t>
      </w:r>
    </w:p>
    <w:p w14:paraId="06A3CD69" w14:textId="77777777" w:rsidR="00A9696C" w:rsidRPr="0061369B" w:rsidRDefault="00000000" w:rsidP="00EC2ABA">
      <w:pPr>
        <w:pStyle w:val="ListBullet"/>
        <w:rPr>
          <w:rFonts w:cs="Arial"/>
        </w:rPr>
      </w:pPr>
      <w:r>
        <w:rPr>
          <w:rFonts w:cs="Arial"/>
          <w:b/>
        </w:rPr>
        <w:t xml:space="preserve">Propagation delay: </w:t>
      </w:r>
      <w:r>
        <w:rPr>
          <w:rFonts w:cs="Arial"/>
        </w:rPr>
        <w:t>average end-to-end path delay in milliseconds for accepted demands.</w:t>
      </w:r>
    </w:p>
    <w:p w14:paraId="550BEAF1" w14:textId="77777777" w:rsidR="00A9696C" w:rsidRPr="0061369B" w:rsidRDefault="00000000" w:rsidP="00EC2ABA">
      <w:pPr>
        <w:pStyle w:val="Heading1"/>
      </w:pPr>
      <w:r>
        <w:t>3. Baselines</w:t>
      </w:r>
    </w:p>
    <w:p w14:paraId="4541096D" w14:textId="77777777" w:rsidR="00A9696C" w:rsidRPr="0061369B" w:rsidRDefault="00000000" w:rsidP="00EC2ABA">
      <w:pPr>
        <w:rPr>
          <w:rFonts w:cs="Arial"/>
        </w:rPr>
      </w:pPr>
      <w:r>
        <w:rPr>
          <w:rFonts w:cs="Arial"/>
        </w:rPr>
        <w:t>Two algorithms from the paper are compared:</w:t>
      </w:r>
    </w:p>
    <w:p w14:paraId="6B136752" w14:textId="77777777" w:rsidR="00A9696C" w:rsidRPr="0061369B" w:rsidRDefault="00000000" w:rsidP="00EC2ABA">
      <w:pPr>
        <w:pStyle w:val="ListBullet"/>
        <w:rPr>
          <w:rFonts w:cs="Arial"/>
        </w:rPr>
      </w:pPr>
      <w:r>
        <w:rPr>
          <w:rFonts w:cs="Arial"/>
          <w:b/>
        </w:rPr>
        <w:t xml:space="preserve">GORA (Global Optimal Routing Algorithm): </w:t>
      </w:r>
      <w:r>
        <w:rPr>
          <w:rFonts w:cs="Arial"/>
        </w:rPr>
        <w:t>Runs Dijkstra on the full 766-node correlation matrix for every demand. Always finds the globally optimal path but scales with the full network size.</w:t>
      </w:r>
    </w:p>
    <w:p w14:paraId="1E1F08B2" w14:textId="3AD52F91" w:rsidR="00EC2ABA" w:rsidRDefault="00000000" w:rsidP="00EC2ABA">
      <w:pPr>
        <w:pStyle w:val="ListBullet"/>
        <w:tabs>
          <w:tab w:val="clear" w:pos="360"/>
        </w:tabs>
        <w:rPr>
          <w:rFonts w:cs="Arial"/>
        </w:rPr>
      </w:pPr>
      <w:r>
        <w:rPr>
          <w:rFonts w:cs="Arial"/>
          <w:b/>
        </w:rPr>
        <w:t xml:space="preserve">AORA (Approximate Optimal Routing Algorithm): </w:t>
      </w:r>
      <w:r>
        <w:rPr>
          <w:rFonts w:cs="Arial"/>
        </w:rPr>
        <w:t>Finds the spherical midpoint between source and destination, selects gateways within a search radius (600 km), builds a reduced sub-matrix from those gateways and their visible satellites, then runs Dijkstra on that. Falls back to GORA if no path is found in the sub-matrix. Faster on average but occasionally suboptimal.</w:t>
      </w:r>
    </w:p>
    <w:p w14:paraId="3D8112DA" w14:textId="77777777" w:rsidR="00EC2ABA" w:rsidRPr="00EC2ABA" w:rsidRDefault="00EC2ABA" w:rsidP="00EC2ABA">
      <w:pPr>
        <w:pStyle w:val="ListBullet"/>
        <w:numPr>
          <w:ilvl w:val="0"/>
          <w:numId w:val="0"/>
        </w:numPr>
        <w:rPr>
          <w:rFonts w:cs="Arial"/>
        </w:rPr>
      </w:pPr>
    </w:p>
    <w:p w14:paraId="727F4604" w14:textId="77777777" w:rsidR="00A9696C" w:rsidRPr="0061369B" w:rsidRDefault="00000000" w:rsidP="00EC2ABA">
      <w:pPr>
        <w:pStyle w:val="Heading1"/>
      </w:pPr>
      <w:r>
        <w:lastRenderedPageBreak/>
        <w:t>4. Preliminary Results</w:t>
      </w:r>
    </w:p>
    <w:p w14:paraId="17AE0E2D" w14:textId="77777777" w:rsidR="00A9696C" w:rsidRPr="0061369B" w:rsidRDefault="00000000" w:rsidP="00EC2ABA">
      <w:pPr>
        <w:rPr>
          <w:rFonts w:cs="Arial"/>
        </w:rPr>
      </w:pPr>
      <w:r>
        <w:rPr>
          <w:rFonts w:cs="Arial"/>
        </w:rPr>
        <w:t>Results below are from the default simulation run (200 demands, 13 load levels, seed 42). Values shown are at approximately 60% traffic load.</w:t>
      </w:r>
    </w:p>
    <w:tbl>
      <w:tblPr>
        <w:tblStyle w:val="TableGrid"/>
        <w:tblW w:w="9459" w:type="dxa"/>
        <w:tblLook w:val="04A0" w:firstRow="1" w:lastRow="0" w:firstColumn="1" w:lastColumn="0" w:noHBand="0" w:noVBand="1"/>
      </w:tblPr>
      <w:tblGrid>
        <w:gridCol w:w="3153"/>
        <w:gridCol w:w="3153"/>
        <w:gridCol w:w="3153"/>
      </w:tblGrid>
      <w:tr w:rsidR="00A9696C" w:rsidRPr="0061369B" w14:paraId="4ABEF85D" w14:textId="77777777" w:rsidTr="00EC2ABA">
        <w:trPr>
          <w:trHeight w:val="264"/>
        </w:trPr>
        <w:tc>
          <w:tcPr>
            <w:tcW w:w="3153" w:type="dxa"/>
          </w:tcPr>
          <w:p w14:paraId="0B629E9B" w14:textId="77777777" w:rsidR="00A9696C" w:rsidRPr="0061369B" w:rsidRDefault="00000000">
            <w:pPr>
              <w:rPr>
                <w:rFonts w:cs="Arial"/>
              </w:rPr>
            </w:pPr>
            <w:r>
              <w:rPr>
                <w:rFonts w:cs="Arial"/>
                <w:b/>
              </w:rPr>
              <w:t>Metric</w:t>
            </w:r>
          </w:p>
        </w:tc>
        <w:tc>
          <w:tcPr>
            <w:tcW w:w="3153" w:type="dxa"/>
          </w:tcPr>
          <w:p w14:paraId="616B5402" w14:textId="77777777" w:rsidR="00A9696C" w:rsidRPr="0061369B" w:rsidRDefault="00000000">
            <w:pPr>
              <w:rPr>
                <w:rFonts w:cs="Arial"/>
              </w:rPr>
            </w:pPr>
            <w:r>
              <w:rPr>
                <w:rFonts w:cs="Arial"/>
                <w:b/>
              </w:rPr>
              <w:t>GORA</w:t>
            </w:r>
          </w:p>
        </w:tc>
        <w:tc>
          <w:tcPr>
            <w:tcW w:w="3153" w:type="dxa"/>
          </w:tcPr>
          <w:p w14:paraId="6D82B74D" w14:textId="77777777" w:rsidR="00A9696C" w:rsidRPr="0061369B" w:rsidRDefault="00000000">
            <w:pPr>
              <w:rPr>
                <w:rFonts w:cs="Arial"/>
              </w:rPr>
            </w:pPr>
            <w:r>
              <w:rPr>
                <w:rFonts w:cs="Arial"/>
                <w:b/>
              </w:rPr>
              <w:t>AORA</w:t>
            </w:r>
          </w:p>
        </w:tc>
      </w:tr>
      <w:tr w:rsidR="00A9696C" w:rsidRPr="0061369B" w14:paraId="080CC757" w14:textId="77777777" w:rsidTr="00EC2ABA">
        <w:trPr>
          <w:trHeight w:val="368"/>
        </w:trPr>
        <w:tc>
          <w:tcPr>
            <w:tcW w:w="3153" w:type="dxa"/>
          </w:tcPr>
          <w:p w14:paraId="1B4AD723" w14:textId="77777777" w:rsidR="00A9696C" w:rsidRPr="0061369B" w:rsidRDefault="00000000">
            <w:pPr>
              <w:rPr>
                <w:rFonts w:cs="Arial"/>
              </w:rPr>
            </w:pPr>
            <w:r>
              <w:rPr>
                <w:rFonts w:cs="Arial"/>
              </w:rPr>
              <w:t>Matrix size (nodes)</w:t>
            </w:r>
          </w:p>
        </w:tc>
        <w:tc>
          <w:tcPr>
            <w:tcW w:w="3153" w:type="dxa"/>
          </w:tcPr>
          <w:p w14:paraId="212C1AE8" w14:textId="77777777" w:rsidR="00A9696C" w:rsidRPr="0061369B" w:rsidRDefault="00000000">
            <w:pPr>
              <w:rPr>
                <w:rFonts w:cs="Arial"/>
              </w:rPr>
            </w:pPr>
            <w:r>
              <w:rPr>
                <w:rFonts w:cs="Arial"/>
              </w:rPr>
              <w:t>766</w:t>
            </w:r>
          </w:p>
        </w:tc>
        <w:tc>
          <w:tcPr>
            <w:tcW w:w="3153" w:type="dxa"/>
          </w:tcPr>
          <w:p w14:paraId="3410EACF" w14:textId="77777777" w:rsidR="00A9696C" w:rsidRPr="0061369B" w:rsidRDefault="00000000">
            <w:pPr>
              <w:rPr>
                <w:rFonts w:cs="Arial"/>
              </w:rPr>
            </w:pPr>
            <w:r>
              <w:rPr>
                <w:rFonts w:cs="Arial"/>
              </w:rPr>
              <w:t>303</w:t>
            </w:r>
          </w:p>
        </w:tc>
      </w:tr>
      <w:tr w:rsidR="00A9696C" w:rsidRPr="0061369B" w14:paraId="16283E0B" w14:textId="77777777" w:rsidTr="00EC2ABA">
        <w:trPr>
          <w:trHeight w:val="368"/>
        </w:trPr>
        <w:tc>
          <w:tcPr>
            <w:tcW w:w="3153" w:type="dxa"/>
          </w:tcPr>
          <w:p w14:paraId="6D481AA9" w14:textId="77777777" w:rsidR="00A9696C" w:rsidRPr="0061369B" w:rsidRDefault="00000000">
            <w:pPr>
              <w:rPr>
                <w:rFonts w:cs="Arial"/>
              </w:rPr>
            </w:pPr>
            <w:r>
              <w:rPr>
                <w:rFonts w:cs="Arial"/>
              </w:rPr>
              <w:t>Avg computation time (</w:t>
            </w:r>
            <w:proofErr w:type="spellStart"/>
            <w:r>
              <w:rPr>
                <w:rFonts w:cs="Arial"/>
              </w:rPr>
              <w:t>ms</w:t>
            </w:r>
            <w:proofErr w:type="spellEnd"/>
            <w:r>
              <w:rPr>
                <w:rFonts w:cs="Arial"/>
              </w:rPr>
              <w:t>)</w:t>
            </w:r>
          </w:p>
        </w:tc>
        <w:tc>
          <w:tcPr>
            <w:tcW w:w="3153" w:type="dxa"/>
          </w:tcPr>
          <w:p w14:paraId="0233BF3B" w14:textId="77777777" w:rsidR="00A9696C" w:rsidRPr="0061369B" w:rsidRDefault="00000000">
            <w:pPr>
              <w:rPr>
                <w:rFonts w:cs="Arial"/>
              </w:rPr>
            </w:pPr>
            <w:r>
              <w:rPr>
                <w:rFonts w:cs="Arial"/>
              </w:rPr>
              <w:t>6.05</w:t>
            </w:r>
          </w:p>
        </w:tc>
        <w:tc>
          <w:tcPr>
            <w:tcW w:w="3153" w:type="dxa"/>
          </w:tcPr>
          <w:p w14:paraId="163BFB66" w14:textId="77777777" w:rsidR="00A9696C" w:rsidRPr="0061369B" w:rsidRDefault="00000000">
            <w:pPr>
              <w:rPr>
                <w:rFonts w:cs="Arial"/>
              </w:rPr>
            </w:pPr>
            <w:r>
              <w:rPr>
                <w:rFonts w:cs="Arial"/>
              </w:rPr>
              <w:t>3.05</w:t>
            </w:r>
          </w:p>
        </w:tc>
      </w:tr>
      <w:tr w:rsidR="00A9696C" w:rsidRPr="0061369B" w14:paraId="2F578B46" w14:textId="77777777" w:rsidTr="00EC2ABA">
        <w:trPr>
          <w:trHeight w:val="368"/>
        </w:trPr>
        <w:tc>
          <w:tcPr>
            <w:tcW w:w="3153" w:type="dxa"/>
          </w:tcPr>
          <w:p w14:paraId="20E0E924" w14:textId="77777777" w:rsidR="00A9696C" w:rsidRPr="0061369B" w:rsidRDefault="00000000">
            <w:pPr>
              <w:rPr>
                <w:rFonts w:cs="Arial"/>
              </w:rPr>
            </w:pPr>
            <w:r>
              <w:rPr>
                <w:rFonts w:cs="Arial"/>
              </w:rPr>
              <w:t>Routing capacity (%)</w:t>
            </w:r>
          </w:p>
        </w:tc>
        <w:tc>
          <w:tcPr>
            <w:tcW w:w="3153" w:type="dxa"/>
          </w:tcPr>
          <w:p w14:paraId="6F5CC5F1" w14:textId="77777777" w:rsidR="00A9696C" w:rsidRPr="0061369B" w:rsidRDefault="00000000">
            <w:pPr>
              <w:rPr>
                <w:rFonts w:cs="Arial"/>
              </w:rPr>
            </w:pPr>
            <w:r>
              <w:rPr>
                <w:rFonts w:cs="Arial"/>
              </w:rPr>
              <w:t>85.5</w:t>
            </w:r>
          </w:p>
        </w:tc>
        <w:tc>
          <w:tcPr>
            <w:tcW w:w="3153" w:type="dxa"/>
          </w:tcPr>
          <w:p w14:paraId="5522B3C6" w14:textId="77777777" w:rsidR="00A9696C" w:rsidRPr="0061369B" w:rsidRDefault="00000000">
            <w:pPr>
              <w:rPr>
                <w:rFonts w:cs="Arial"/>
              </w:rPr>
            </w:pPr>
            <w:r>
              <w:rPr>
                <w:rFonts w:cs="Arial"/>
              </w:rPr>
              <w:t>85.5</w:t>
            </w:r>
          </w:p>
        </w:tc>
      </w:tr>
      <w:tr w:rsidR="00A9696C" w:rsidRPr="0061369B" w14:paraId="6F00AB26" w14:textId="77777777" w:rsidTr="00EC2ABA">
        <w:trPr>
          <w:trHeight w:val="368"/>
        </w:trPr>
        <w:tc>
          <w:tcPr>
            <w:tcW w:w="3153" w:type="dxa"/>
          </w:tcPr>
          <w:p w14:paraId="4C86B5D3" w14:textId="77777777" w:rsidR="00A9696C" w:rsidRPr="0061369B" w:rsidRDefault="00000000">
            <w:pPr>
              <w:rPr>
                <w:rFonts w:cs="Arial"/>
              </w:rPr>
            </w:pPr>
            <w:r>
              <w:rPr>
                <w:rFonts w:cs="Arial"/>
              </w:rPr>
              <w:t>Avg propagation delay (</w:t>
            </w:r>
            <w:proofErr w:type="spellStart"/>
            <w:r>
              <w:rPr>
                <w:rFonts w:cs="Arial"/>
              </w:rPr>
              <w:t>ms</w:t>
            </w:r>
            <w:proofErr w:type="spellEnd"/>
            <w:r>
              <w:rPr>
                <w:rFonts w:cs="Arial"/>
              </w:rPr>
              <w:t>)</w:t>
            </w:r>
          </w:p>
        </w:tc>
        <w:tc>
          <w:tcPr>
            <w:tcW w:w="3153" w:type="dxa"/>
          </w:tcPr>
          <w:p w14:paraId="66FA3EBC" w14:textId="77777777" w:rsidR="00A9696C" w:rsidRPr="0061369B" w:rsidRDefault="00000000">
            <w:pPr>
              <w:rPr>
                <w:rFonts w:cs="Arial"/>
              </w:rPr>
            </w:pPr>
            <w:r>
              <w:rPr>
                <w:rFonts w:cs="Arial"/>
              </w:rPr>
              <w:t>60.7</w:t>
            </w:r>
          </w:p>
        </w:tc>
        <w:tc>
          <w:tcPr>
            <w:tcW w:w="3153" w:type="dxa"/>
          </w:tcPr>
          <w:p w14:paraId="29459F65" w14:textId="77777777" w:rsidR="00A9696C" w:rsidRPr="0061369B" w:rsidRDefault="00000000">
            <w:pPr>
              <w:rPr>
                <w:rFonts w:cs="Arial"/>
              </w:rPr>
            </w:pPr>
            <w:r>
              <w:rPr>
                <w:rFonts w:cs="Arial"/>
              </w:rPr>
              <w:t>60.5</w:t>
            </w:r>
          </w:p>
        </w:tc>
      </w:tr>
      <w:tr w:rsidR="00A9696C" w:rsidRPr="0061369B" w14:paraId="53A8644B" w14:textId="77777777" w:rsidTr="00EC2ABA">
        <w:trPr>
          <w:trHeight w:val="377"/>
        </w:trPr>
        <w:tc>
          <w:tcPr>
            <w:tcW w:w="3153" w:type="dxa"/>
          </w:tcPr>
          <w:p w14:paraId="07B2B942" w14:textId="77777777" w:rsidR="00A9696C" w:rsidRPr="0061369B" w:rsidRDefault="00000000">
            <w:pPr>
              <w:rPr>
                <w:rFonts w:cs="Arial"/>
              </w:rPr>
            </w:pPr>
            <w:r>
              <w:rPr>
                <w:rFonts w:cs="Arial"/>
              </w:rPr>
              <w:t>Fallback rate (%)</w:t>
            </w:r>
          </w:p>
        </w:tc>
        <w:tc>
          <w:tcPr>
            <w:tcW w:w="3153" w:type="dxa"/>
          </w:tcPr>
          <w:p w14:paraId="6E79D48B" w14:textId="77777777" w:rsidR="00A9696C" w:rsidRPr="0061369B" w:rsidRDefault="00000000">
            <w:pPr>
              <w:rPr>
                <w:rFonts w:cs="Arial"/>
              </w:rPr>
            </w:pPr>
            <w:r>
              <w:rPr>
                <w:rFonts w:cs="Arial"/>
              </w:rPr>
              <w:t>N/A</w:t>
            </w:r>
          </w:p>
        </w:tc>
        <w:tc>
          <w:tcPr>
            <w:tcW w:w="3153" w:type="dxa"/>
          </w:tcPr>
          <w:p w14:paraId="52DBC1D8" w14:textId="77777777" w:rsidR="00A9696C" w:rsidRPr="0061369B" w:rsidRDefault="00000000">
            <w:pPr>
              <w:rPr>
                <w:rFonts w:cs="Arial"/>
              </w:rPr>
            </w:pPr>
            <w:r>
              <w:rPr>
                <w:rFonts w:cs="Arial"/>
              </w:rPr>
              <w:t>28.0</w:t>
            </w:r>
          </w:p>
        </w:tc>
      </w:tr>
    </w:tbl>
    <w:p w14:paraId="7E1C6F81" w14:textId="77777777" w:rsidR="00A9696C" w:rsidRPr="0061369B" w:rsidRDefault="00A9696C" w:rsidP="00EC2ABA">
      <w:pPr>
        <w:rPr>
          <w:rFonts w:cs="Arial"/>
        </w:rPr>
      </w:pPr>
    </w:p>
    <w:p w14:paraId="23EE9509" w14:textId="0DA02601" w:rsidR="00A9696C" w:rsidRPr="0061369B" w:rsidRDefault="00000000" w:rsidP="00EC2ABA">
      <w:pPr>
        <w:rPr>
          <w:rFonts w:cs="Arial"/>
        </w:rPr>
      </w:pPr>
      <w:r>
        <w:rPr>
          <w:rFonts w:cs="Arial"/>
        </w:rPr>
        <w:t xml:space="preserve">AORA sub-matrix sizes ranged from approximately 191 to 356 nodes across all load levels, compared to GORA's fixed 766 nodes. AORA computation time was </w:t>
      </w:r>
      <w:r w:rsidR="00EC2ABA">
        <w:rPr>
          <w:rFonts w:cs="Arial"/>
        </w:rPr>
        <w:t>a</w:t>
      </w:r>
      <w:r>
        <w:rPr>
          <w:rFonts w:cs="Arial"/>
        </w:rPr>
        <w:t>pproximately 2x faster than GORA at low load levels. Both algorithms achieved 100% routing capacity only at 0% load, dropping to roughly 77-90% from 10% load onward and staying roughly flat through 120% load. GORA and AORA matched each other exactly at every load level, meaning AORA's smaller search space did not cause it to miss any paths that GORA found.</w:t>
      </w:r>
    </w:p>
    <w:sectPr w:rsidR="00A9696C" w:rsidRPr="0061369B" w:rsidSect="00EC2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49C989A"/>
    <w:lvl w:ilvl="0">
      <w:start w:val="1"/>
      <w:numFmt w:val="bullet"/>
      <w:pStyle w:val="ListBullet"/>
      <w:lvlText w:val=""/>
      <w:lvlJc w:val="left"/>
      <w:pPr>
        <w:tabs>
          <w:tab w:val="num" w:pos="360"/>
        </w:tabs>
        <w:ind w:left="360" w:hanging="360"/>
      </w:pPr>
      <w:rPr>
        <w:rFonts w:ascii="Symbol" w:hAnsi="Symbol" w:hint="default"/>
      </w:rPr>
    </w:lvl>
  </w:abstractNum>
  <w:num w:numId="1" w16cid:durableId="329869016">
    <w:abstractNumId w:val="8"/>
  </w:num>
  <w:num w:numId="2" w16cid:durableId="707218775">
    <w:abstractNumId w:val="6"/>
  </w:num>
  <w:num w:numId="3" w16cid:durableId="1653561864">
    <w:abstractNumId w:val="5"/>
  </w:num>
  <w:num w:numId="4" w16cid:durableId="414328239">
    <w:abstractNumId w:val="4"/>
  </w:num>
  <w:num w:numId="5" w16cid:durableId="1980646671">
    <w:abstractNumId w:val="7"/>
  </w:num>
  <w:num w:numId="6" w16cid:durableId="804851050">
    <w:abstractNumId w:val="3"/>
  </w:num>
  <w:num w:numId="7" w16cid:durableId="337120252">
    <w:abstractNumId w:val="2"/>
  </w:num>
  <w:num w:numId="8" w16cid:durableId="414057817">
    <w:abstractNumId w:val="1"/>
  </w:num>
  <w:num w:numId="9" w16cid:durableId="1237278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5F9"/>
    <w:rsid w:val="00326F90"/>
    <w:rsid w:val="0061369B"/>
    <w:rsid w:val="00A9696C"/>
    <w:rsid w:val="00AA1D8D"/>
    <w:rsid w:val="00B47730"/>
    <w:rsid w:val="00CB0664"/>
    <w:rsid w:val="00EC2A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0FC0F"/>
  <w14:defaultImageDpi w14:val="300"/>
  <w15:docId w15:val="{D54B3944-E96D-445E-83ED-A624F1746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cs="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Arial"/>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Arial"/>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Arial"/>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Arial"/>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Arial"/>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Arial"/>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b/>
      <w:bCs/>
      <w:sz w:val="28"/>
      <w:szCs w:val="28"/>
    </w:rPr>
  </w:style>
  <w:style w:type="character" w:customStyle="1" w:styleId="Heading2Char">
    <w:name w:val="Heading 2 Char"/>
    <w:basedOn w:val="DefaultParagraphFont"/>
    <w:link w:val="Heading2"/>
    <w:uiPriority w:val="9"/>
    <w:rsid w:val="00FC693F"/>
    <w:rPr>
      <w:rFonts w:ascii="Arial" w:hAnsi="Arial" w:cs="Arial"/>
      <w:b/>
      <w:bCs/>
      <w:sz w:val="26"/>
      <w:szCs w:val="26"/>
    </w:rPr>
  </w:style>
  <w:style w:type="character" w:customStyle="1" w:styleId="Heading3Char">
    <w:name w:val="Heading 3 Char"/>
    <w:basedOn w:val="DefaultParagraphFont"/>
    <w:link w:val="Heading3"/>
    <w:uiPriority w:val="9"/>
    <w:rsid w:val="00FC693F"/>
    <w:rPr>
      <w:rFonts w:ascii="Arial" w:hAnsi="Arial" w:cs="Arial"/>
      <w:b/>
      <w:bCs/>
    </w:rPr>
  </w:style>
  <w:style w:type="paragraph" w:styleId="Title">
    <w:name w:val="Title"/>
    <w:basedOn w:val="Normal"/>
    <w:next w:val="Normal"/>
    <w:link w:val="TitleChar"/>
    <w:uiPriority w:val="10"/>
    <w:qFormat/>
    <w:rsid w:val="00FC693F"/>
    <w:pPr>
      <w:spacing w:after="300" w:line="240" w:lineRule="auto"/>
      <w:contextualSpacing/>
    </w:pPr>
    <w:rPr>
      <w:rFonts w:cs="Arial"/>
      <w:spacing w:val="5"/>
      <w:kern w:val="28"/>
      <w:sz w:val="52"/>
      <w:szCs w:val="52"/>
    </w:rPr>
  </w:style>
  <w:style w:type="character" w:customStyle="1" w:styleId="TitleChar">
    <w:name w:val="Title Char"/>
    <w:basedOn w:val="DefaultParagraphFont"/>
    <w:link w:val="Title"/>
    <w:uiPriority w:val="10"/>
    <w:rsid w:val="00FC693F"/>
    <w:rPr>
      <w:rFonts w:ascii="Arial" w:hAnsi="Arial" w:cs="Arial"/>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Arial"/>
      <w:i/>
      <w:iCs/>
      <w:spacing w:val="15"/>
      <w:sz w:val="24"/>
      <w:szCs w:val="24"/>
    </w:rPr>
  </w:style>
  <w:style w:type="character" w:customStyle="1" w:styleId="SubtitleChar">
    <w:name w:val="Subtitle Char"/>
    <w:basedOn w:val="DefaultParagraphFont"/>
    <w:link w:val="Subtitle"/>
    <w:uiPriority w:val="11"/>
    <w:rsid w:val="00FC693F"/>
    <w:rPr>
      <w:rFonts w:ascii="Arial" w:hAnsi="Arial" w:cs="Arial"/>
      <w:i/>
      <w:iCs/>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rPr>
  </w:style>
  <w:style w:type="character" w:customStyle="1" w:styleId="Heading4Char">
    <w:name w:val="Heading 4 Char"/>
    <w:basedOn w:val="DefaultParagraphFont"/>
    <w:link w:val="Heading4"/>
    <w:uiPriority w:val="9"/>
    <w:semiHidden/>
    <w:rsid w:val="00FC693F"/>
    <w:rPr>
      <w:rFonts w:ascii="Arial" w:hAnsi="Arial" w:cs="Arial"/>
      <w:b/>
      <w:bCs/>
      <w:i/>
      <w:iCs/>
    </w:rPr>
  </w:style>
  <w:style w:type="character" w:customStyle="1" w:styleId="Heading5Char">
    <w:name w:val="Heading 5 Char"/>
    <w:basedOn w:val="DefaultParagraphFont"/>
    <w:link w:val="Heading5"/>
    <w:uiPriority w:val="9"/>
    <w:semiHidden/>
    <w:rsid w:val="00FC693F"/>
    <w:rPr>
      <w:rFonts w:ascii="Arial" w:hAnsi="Arial" w:cs="Arial"/>
    </w:rPr>
  </w:style>
  <w:style w:type="character" w:customStyle="1" w:styleId="Heading6Char">
    <w:name w:val="Heading 6 Char"/>
    <w:basedOn w:val="DefaultParagraphFont"/>
    <w:link w:val="Heading6"/>
    <w:uiPriority w:val="9"/>
    <w:semiHidden/>
    <w:rsid w:val="00FC693F"/>
    <w:rPr>
      <w:rFonts w:ascii="Arial" w:hAnsi="Arial" w:cs="Arial"/>
      <w:i/>
      <w:iCs/>
    </w:rPr>
  </w:style>
  <w:style w:type="character" w:customStyle="1" w:styleId="Heading7Char">
    <w:name w:val="Heading 7 Char"/>
    <w:basedOn w:val="DefaultParagraphFont"/>
    <w:link w:val="Heading7"/>
    <w:uiPriority w:val="9"/>
    <w:semiHidden/>
    <w:rsid w:val="00FC693F"/>
    <w:rPr>
      <w:rFonts w:ascii="Arial" w:hAnsi="Arial" w:cs="Arial"/>
      <w:i/>
      <w:iCs/>
    </w:rPr>
  </w:style>
  <w:style w:type="character" w:customStyle="1" w:styleId="Heading8Char">
    <w:name w:val="Heading 8 Char"/>
    <w:basedOn w:val="DefaultParagraphFont"/>
    <w:link w:val="Heading8"/>
    <w:uiPriority w:val="9"/>
    <w:semiHidden/>
    <w:rsid w:val="00FC693F"/>
    <w:rPr>
      <w:rFonts w:ascii="Arial" w:hAnsi="Arial" w:cs="Arial"/>
      <w:sz w:val="20"/>
      <w:szCs w:val="20"/>
    </w:rPr>
  </w:style>
  <w:style w:type="character" w:customStyle="1" w:styleId="Heading9Char">
    <w:name w:val="Heading 9 Char"/>
    <w:basedOn w:val="DefaultParagraphFont"/>
    <w:link w:val="Heading9"/>
    <w:uiPriority w:val="9"/>
    <w:semiHidden/>
    <w:rsid w:val="00FC693F"/>
    <w:rPr>
      <w:rFonts w:ascii="Arial" w:hAnsi="Arial" w:cs="Arial"/>
      <w:i/>
      <w:iCs/>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rPr>
  </w:style>
  <w:style w:type="character" w:styleId="SubtleEmphasis">
    <w:name w:val="Subtle Emphasis"/>
    <w:basedOn w:val="DefaultParagraphFont"/>
    <w:uiPriority w:val="19"/>
    <w:qFormat/>
    <w:rsid w:val="00FC693F"/>
    <w:rPr>
      <w:i/>
      <w:iCs/>
    </w:rPr>
  </w:style>
  <w:style w:type="character" w:styleId="IntenseEmphasis">
    <w:name w:val="Intense Emphasis"/>
    <w:basedOn w:val="DefaultParagraphFont"/>
    <w:uiPriority w:val="21"/>
    <w:qFormat/>
    <w:rsid w:val="00FC693F"/>
    <w:rPr>
      <w:b/>
      <w:bCs/>
      <w:i/>
      <w:iCs/>
    </w:rPr>
  </w:style>
  <w:style w:type="character" w:styleId="SubtleReference">
    <w:name w:val="Subtle Reference"/>
    <w:basedOn w:val="DefaultParagraphFont"/>
    <w:uiPriority w:val="31"/>
    <w:qFormat/>
    <w:rsid w:val="00FC693F"/>
    <w:rPr>
      <w:smallCaps/>
      <w:u w:val="single"/>
    </w:rPr>
  </w:style>
  <w:style w:type="character" w:styleId="IntenseReference">
    <w:name w:val="Intense Reference"/>
    <w:basedOn w:val="DefaultParagraphFont"/>
    <w:uiPriority w:val="32"/>
    <w:qFormat/>
    <w:rsid w:val="00FC693F"/>
    <w:rPr>
      <w:b/>
      <w:bCs/>
      <w:smallCaps/>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hAnsi="Arial" w:cs="Arial"/>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hAnsi="Arial" w:cs="Arial"/>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hAnsi="Arial" w:cs="Arial"/>
        <w:b/>
        <w:bCs/>
      </w:rPr>
    </w:tblStylePr>
    <w:tblStylePr w:type="lastCol">
      <w:rPr>
        <w:rFonts w:ascii="Arial" w:hAnsi="Arial" w:cs="Arial"/>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w:hAnsi="Arial" w:cs="Arial"/>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w:hAnsi="Arial" w:cs="Arial"/>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w:hAnsi="Arial" w:cs="Arial"/>
        <w:b/>
        <w:bCs/>
      </w:rPr>
    </w:tblStylePr>
    <w:tblStylePr w:type="lastCol">
      <w:rPr>
        <w:rFonts w:ascii="Arial" w:hAnsi="Arial" w:cs="Arial"/>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rial" w:hAnsi="Arial" w:cs="Arial"/>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rial" w:hAnsi="Arial" w:cs="Arial"/>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rial" w:hAnsi="Arial" w:cs="Arial"/>
        <w:b/>
        <w:bCs/>
      </w:rPr>
    </w:tblStylePr>
    <w:tblStylePr w:type="lastCol">
      <w:rPr>
        <w:rFonts w:ascii="Arial" w:hAnsi="Arial" w:cs="Arial"/>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w:hAnsi="Arial" w:cs="Arial"/>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w:hAnsi="Arial" w:cs="Arial"/>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w:hAnsi="Arial" w:cs="Arial"/>
        <w:b/>
        <w:bCs/>
      </w:rPr>
    </w:tblStylePr>
    <w:tblStylePr w:type="lastCol">
      <w:rPr>
        <w:rFonts w:ascii="Arial" w:hAnsi="Arial" w:cs="Arial"/>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w:hAnsi="Arial" w:cs="Arial"/>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w:hAnsi="Arial" w:cs="Arial"/>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w:hAnsi="Arial" w:cs="Arial"/>
        <w:b/>
        <w:bCs/>
      </w:rPr>
    </w:tblStylePr>
    <w:tblStylePr w:type="lastCol">
      <w:rPr>
        <w:rFonts w:ascii="Arial" w:hAnsi="Arial" w:cs="Arial"/>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w:hAnsi="Arial" w:cs="Arial"/>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w:hAnsi="Arial" w:cs="Arial"/>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hAnsi="Arial" w:cs="Arial"/>
        <w:b/>
        <w:bCs/>
      </w:rPr>
    </w:tblStylePr>
    <w:tblStylePr w:type="lastCol">
      <w:rPr>
        <w:rFonts w:ascii="Arial" w:hAnsi="Arial" w:cs="Arial"/>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Arial" w:hAnsi="Arial" w:cs="Arial"/>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Arial" w:hAnsi="Arial" w:cs="Arial"/>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Arial" w:hAnsi="Arial" w:cs="Arial"/>
        <w:b/>
        <w:bCs/>
      </w:rPr>
    </w:tblStylePr>
    <w:tblStylePr w:type="lastCol">
      <w:rPr>
        <w:rFonts w:ascii="Arial" w:hAnsi="Arial" w:cs="Arial"/>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F81BD" w:themeFill="accent1"/>
      </w:tcPr>
    </w:tblStylePr>
    <w:tblStylePr w:type="lastCol">
      <w:rPr>
        <w:b/>
        <w:bCs/>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C0504D" w:themeFill="accent2"/>
      </w:tcPr>
    </w:tblStylePr>
    <w:tblStylePr w:type="lastCol">
      <w:rPr>
        <w:b/>
        <w:bCs/>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9BBB59" w:themeFill="accent3"/>
      </w:tcPr>
    </w:tblStylePr>
    <w:tblStylePr w:type="lastCol">
      <w:rPr>
        <w:b/>
        <w:bCs/>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8064A2" w:themeFill="accent4"/>
      </w:tcPr>
    </w:tblStylePr>
    <w:tblStylePr w:type="lastCol">
      <w:rPr>
        <w:b/>
        <w:bCs/>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BACC6" w:themeFill="accent5"/>
      </w:tcPr>
    </w:tblStylePr>
    <w:tblStylePr w:type="lastCol">
      <w:rPr>
        <w:b/>
        <w:bCs/>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F79646" w:themeFill="accent6"/>
      </w:tcPr>
    </w:tblStylePr>
    <w:tblStylePr w:type="lastCol">
      <w:rPr>
        <w:b/>
        <w:bCs/>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bottom w:val="single" w:sz="8" w:space="0" w:color="000000"/>
      </w:tblBorders>
    </w:tblPr>
    <w:tblStylePr w:type="firstRow">
      <w:rPr>
        <w:rFonts w:ascii="Arial" w:hAnsi="Arial" w:cs="Arial"/>
      </w:rPr>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bottom w:val="single" w:sz="8" w:space="0" w:color="4F81BD"/>
      </w:tblBorders>
    </w:tblPr>
    <w:tblStylePr w:type="firstRow">
      <w:rPr>
        <w:rFonts w:ascii="Arial" w:hAnsi="Arial" w:cs="Arial"/>
      </w:rPr>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bottom w:val="single" w:sz="8" w:space="0" w:color="C0504D"/>
      </w:tblBorders>
    </w:tblPr>
    <w:tblStylePr w:type="firstRow">
      <w:rPr>
        <w:rFonts w:ascii="Arial" w:hAnsi="Arial" w:cs="Arial"/>
      </w:rPr>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bottom w:val="single" w:sz="8" w:space="0" w:color="9BBB59"/>
      </w:tblBorders>
    </w:tblPr>
    <w:tblStylePr w:type="firstRow">
      <w:rPr>
        <w:rFonts w:ascii="Arial" w:hAnsi="Arial" w:cs="Arial"/>
      </w:rPr>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bottom w:val="single" w:sz="8" w:space="0" w:color="8064A2"/>
      </w:tblBorders>
    </w:tblPr>
    <w:tblStylePr w:type="firstRow">
      <w:rPr>
        <w:rFonts w:ascii="Arial" w:hAnsi="Arial" w:cs="Arial"/>
      </w:rPr>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bottom w:val="single" w:sz="8" w:space="0" w:color="4BACC6"/>
      </w:tblBorders>
    </w:tblPr>
    <w:tblStylePr w:type="firstRow">
      <w:rPr>
        <w:rFonts w:ascii="Arial" w:hAnsi="Arial" w:cs="Arial"/>
      </w:rPr>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bottom w:val="single" w:sz="8" w:space="0" w:color="F79646"/>
      </w:tblBorders>
    </w:tblPr>
    <w:tblStylePr w:type="firstRow">
      <w:rPr>
        <w:rFonts w:ascii="Arial" w:hAnsi="Arial" w:cs="Arial"/>
      </w:rPr>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Arial"/>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Arial"/>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Arial"/>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Arial"/>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Ari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hemeFill="accent1" w:themeFillTint="3F"/>
    </w:tcPr>
    <w:tblStylePr w:type="firstRow">
      <w:rPr>
        <w:b/>
        <w:bCs/>
      </w:rPr>
      <w:tblPr/>
      <w:tcPr>
        <w:shd w:val="clear" w:color="auto" w:fill="EDF2F8" w:themeFill="accent1" w:themeFillTint="19"/>
      </w:tcPr>
    </w:tblStylePr>
    <w:tblStylePr w:type="lastRow">
      <w:rPr>
        <w:b/>
        <w:bCs/>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Arial"/>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hemeFill="accent2" w:themeFillTint="3F"/>
    </w:tcPr>
    <w:tblStylePr w:type="firstRow">
      <w:rPr>
        <w:b/>
        <w:bCs/>
      </w:rPr>
      <w:tblPr/>
      <w:tcPr>
        <w:shd w:val="clear" w:color="auto" w:fill="F8EDED" w:themeFill="accent2" w:themeFillTint="19"/>
      </w:tcPr>
    </w:tblStylePr>
    <w:tblStylePr w:type="lastRow">
      <w:rPr>
        <w:b/>
        <w:bCs/>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Arial"/>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hemeFill="accent3" w:themeFillTint="3F"/>
    </w:tcPr>
    <w:tblStylePr w:type="firstRow">
      <w:rPr>
        <w:b/>
        <w:bCs/>
      </w:rPr>
      <w:tblPr/>
      <w:tcPr>
        <w:shd w:val="clear" w:color="auto" w:fill="F5F8EE" w:themeFill="accent3" w:themeFillTint="19"/>
      </w:tcPr>
    </w:tblStylePr>
    <w:tblStylePr w:type="lastRow">
      <w:rPr>
        <w:b/>
        <w:bCs/>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Arial"/>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hemeFill="accent4" w:themeFillTint="3F"/>
    </w:tcPr>
    <w:tblStylePr w:type="firstRow">
      <w:rPr>
        <w:b/>
        <w:bCs/>
      </w:rPr>
      <w:tblPr/>
      <w:tcPr>
        <w:shd w:val="clear" w:color="auto" w:fill="F2EFF6" w:themeFill="accent4" w:themeFillTint="19"/>
      </w:tcPr>
    </w:tblStylePr>
    <w:tblStylePr w:type="lastRow">
      <w:rPr>
        <w:b/>
        <w:bCs/>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Arial"/>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hemeFill="accent5" w:themeFillTint="3F"/>
    </w:tcPr>
    <w:tblStylePr w:type="firstRow">
      <w:rPr>
        <w:b/>
        <w:bCs/>
      </w:rPr>
      <w:tblPr/>
      <w:tcPr>
        <w:shd w:val="clear" w:color="auto" w:fill="EDF6F9" w:themeFill="accent5" w:themeFillTint="19"/>
      </w:tcPr>
    </w:tblStylePr>
    <w:tblStylePr w:type="lastRow">
      <w:rPr>
        <w:b/>
        <w:bCs/>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Arial"/>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hemeFill="accent6" w:themeFillTint="3F"/>
    </w:tcPr>
    <w:tblStylePr w:type="firstRow">
      <w:rPr>
        <w:b/>
        <w:bCs/>
      </w:rPr>
      <w:tblPr/>
      <w:tcPr>
        <w:shd w:val="clear" w:color="auto" w:fill="FEF4EC" w:themeFill="accent6" w:themeFillTint="19"/>
      </w:tcPr>
    </w:tblStylePr>
    <w:tblStylePr w:type="lastRow">
      <w:rPr>
        <w:b/>
        <w:bCs/>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hemeFill="text1" w:themeFillTint="3F"/>
    </w:tcPr>
    <w:tblStylePr w:type="firstRow">
      <w:rPr>
        <w:b/>
        <w:bCs/>
        <w:i w:val="0"/>
        <w:iCs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hemeFill="accent1" w:themeFillTint="3F"/>
    </w:tcPr>
    <w:tblStylePr w:type="firstRow">
      <w:rPr>
        <w:b/>
        <w:bCs/>
        <w:i w:val="0"/>
        <w:iCs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hemeFill="accent2" w:themeFillTint="3F"/>
    </w:tcPr>
    <w:tblStylePr w:type="firstRow">
      <w:rPr>
        <w:b/>
        <w:bCs/>
        <w:i w:val="0"/>
        <w:iCs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hemeFill="accent3" w:themeFillTint="3F"/>
    </w:tcPr>
    <w:tblStylePr w:type="firstRow">
      <w:rPr>
        <w:b/>
        <w:bCs/>
        <w:i w:val="0"/>
        <w:iCs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hemeFill="accent4" w:themeFillTint="3F"/>
    </w:tcPr>
    <w:tblStylePr w:type="firstRow">
      <w:rPr>
        <w:b/>
        <w:bCs/>
        <w:i w:val="0"/>
        <w:iCs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hemeFill="accent5" w:themeFillTint="3F"/>
    </w:tcPr>
    <w:tblStylePr w:type="firstRow">
      <w:rPr>
        <w:b/>
        <w:bCs/>
        <w:i w:val="0"/>
        <w:iCs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hemeFill="accent6" w:themeFillTint="3F"/>
    </w:tcPr>
    <w:tblStylePr w:type="firstRow">
      <w:rPr>
        <w:b/>
        <w:bCs/>
        <w:i w:val="0"/>
        <w:iCs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rPr>
      <w:tblPr/>
      <w:tcPr>
        <w:tcBorders>
          <w:top w:val="single" w:sz="6" w:space="0" w:color="FFFFFF"/>
        </w:tcBorders>
        <w:shd w:val="clear" w:color="auto" w:fill="000000" w:themeFill="text1" w:themeFillShade="99"/>
      </w:tcPr>
    </w:tblStylePr>
    <w:tblStylePr w:type="firstCol">
      <w:tblPr/>
      <w:tcPr>
        <w:tcBorders>
          <w:top w:val="nil"/>
          <w:left w:val="nil"/>
          <w:bottom w:val="nil"/>
          <w:right w:val="nil"/>
          <w:insideH w:val="single" w:sz="4" w:space="0" w:color="000000"/>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rPr>
      <w:tblPr/>
      <w:tcPr>
        <w:tcBorders>
          <w:top w:val="single" w:sz="6" w:space="0" w:color="FFFFFF"/>
        </w:tcBorders>
        <w:shd w:val="clear" w:color="auto" w:fill="2C4C74" w:themeFill="accent1" w:themeFillShade="99"/>
      </w:tcPr>
    </w:tblStylePr>
    <w:tblStylePr w:type="firstCol">
      <w:tblPr/>
      <w:tcPr>
        <w:tcBorders>
          <w:top w:val="nil"/>
          <w:left w:val="nil"/>
          <w:bottom w:val="nil"/>
          <w:right w:val="nil"/>
          <w:insideH w:val="single" w:sz="4" w:space="0" w:color="2C4C74"/>
          <w:insideV w:val="nil"/>
        </w:tcBorders>
        <w:shd w:val="clear" w:color="auto" w:fill="2C4C74" w:themeFill="accent1" w:themeFillShade="99"/>
      </w:tcPr>
    </w:tblStylePr>
    <w:tblStylePr w:type="lastCol">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rPr>
      <w:tblPr/>
      <w:tcPr>
        <w:tcBorders>
          <w:top w:val="single" w:sz="6" w:space="0" w:color="FFFFFF"/>
        </w:tcBorders>
        <w:shd w:val="clear" w:color="auto" w:fill="772C2A" w:themeFill="accent2" w:themeFillShade="99"/>
      </w:tcPr>
    </w:tblStylePr>
    <w:tblStylePr w:type="firstCol">
      <w:tblPr/>
      <w:tcPr>
        <w:tcBorders>
          <w:top w:val="nil"/>
          <w:left w:val="nil"/>
          <w:bottom w:val="nil"/>
          <w:right w:val="nil"/>
          <w:insideH w:val="single" w:sz="4" w:space="0" w:color="772C2A"/>
          <w:insideV w:val="nil"/>
        </w:tcBorders>
        <w:shd w:val="clear" w:color="auto" w:fill="772C2A" w:themeFill="accent2" w:themeFillShade="99"/>
      </w:tcPr>
    </w:tblStylePr>
    <w:tblStylePr w:type="lastCol">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rPr>
      <w:tblPr/>
      <w:tcPr>
        <w:tcBorders>
          <w:top w:val="single" w:sz="6" w:space="0" w:color="FFFFFF"/>
        </w:tcBorders>
        <w:shd w:val="clear" w:color="auto" w:fill="5E7530" w:themeFill="accent3" w:themeFillShade="99"/>
      </w:tcPr>
    </w:tblStylePr>
    <w:tblStylePr w:type="firstCol">
      <w:tblPr/>
      <w:tcPr>
        <w:tcBorders>
          <w:top w:val="nil"/>
          <w:left w:val="nil"/>
          <w:bottom w:val="nil"/>
          <w:right w:val="nil"/>
          <w:insideH w:val="single" w:sz="4" w:space="0" w:color="5E7530"/>
          <w:insideV w:val="nil"/>
        </w:tcBorders>
        <w:shd w:val="clear" w:color="auto" w:fill="5E7530" w:themeFill="accent3" w:themeFillShade="99"/>
      </w:tcPr>
    </w:tblStylePr>
    <w:tblStylePr w:type="lastCol">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rPr>
      <w:tblPr/>
      <w:tcPr>
        <w:tcBorders>
          <w:top w:val="single" w:sz="6" w:space="0" w:color="FFFFFF"/>
        </w:tcBorders>
        <w:shd w:val="clear" w:color="auto" w:fill="4C3B62" w:themeFill="accent4" w:themeFillShade="99"/>
      </w:tcPr>
    </w:tblStylePr>
    <w:tblStylePr w:type="firstCol">
      <w:tblPr/>
      <w:tcPr>
        <w:tcBorders>
          <w:top w:val="nil"/>
          <w:left w:val="nil"/>
          <w:bottom w:val="nil"/>
          <w:right w:val="nil"/>
          <w:insideH w:val="single" w:sz="4" w:space="0" w:color="4C3B62"/>
          <w:insideV w:val="nil"/>
        </w:tcBorders>
        <w:shd w:val="clear" w:color="auto" w:fill="4C3B62" w:themeFill="accent4" w:themeFillShade="99"/>
      </w:tcPr>
    </w:tblStylePr>
    <w:tblStylePr w:type="lastCol">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rPr>
      <w:tblPr/>
      <w:tcPr>
        <w:tcBorders>
          <w:top w:val="single" w:sz="6" w:space="0" w:color="FFFFFF"/>
        </w:tcBorders>
        <w:shd w:val="clear" w:color="auto" w:fill="276A7C" w:themeFill="accent5" w:themeFillShade="99"/>
      </w:tcPr>
    </w:tblStylePr>
    <w:tblStylePr w:type="firstCol">
      <w:tblPr/>
      <w:tcPr>
        <w:tcBorders>
          <w:top w:val="nil"/>
          <w:left w:val="nil"/>
          <w:bottom w:val="nil"/>
          <w:right w:val="nil"/>
          <w:insideH w:val="single" w:sz="4" w:space="0" w:color="276A7C"/>
          <w:insideV w:val="nil"/>
        </w:tcBorders>
        <w:shd w:val="clear" w:color="auto" w:fill="276A7C" w:themeFill="accent5" w:themeFillShade="99"/>
      </w:tcPr>
    </w:tblStylePr>
    <w:tblStylePr w:type="lastCol">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rPr>
      <w:tblPr/>
      <w:tcPr>
        <w:tcBorders>
          <w:top w:val="single" w:sz="6" w:space="0" w:color="FFFFFF"/>
        </w:tcBorders>
        <w:shd w:val="clear" w:color="auto" w:fill="B65608" w:themeFill="accent6" w:themeFillShade="99"/>
      </w:tcPr>
    </w:tblStylePr>
    <w:tblStylePr w:type="firstCol">
      <w:tblPr/>
      <w:tcPr>
        <w:tcBorders>
          <w:top w:val="nil"/>
          <w:left w:val="nil"/>
          <w:bottom w:val="nil"/>
          <w:right w:val="nil"/>
          <w:insideH w:val="single" w:sz="4" w:space="0" w:color="B65608"/>
          <w:insideV w:val="nil"/>
        </w:tcBorders>
        <w:shd w:val="clear" w:color="auto" w:fill="B65608" w:themeFill="accent6" w:themeFillShade="99"/>
      </w:tcPr>
    </w:tblStylePr>
    <w:tblStylePr w:type="lastCol">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rPr>
      <w:tblPr/>
      <w:tcPr>
        <w:tcBorders>
          <w:bottom w:val="single" w:sz="12" w:space="0" w:color="FFFFFF"/>
        </w:tcBorders>
        <w:shd w:val="clear" w:color="auto" w:fill="9E3A38" w:themeFill="accent2" w:themeFillShade="CC"/>
      </w:tcPr>
    </w:tblStylePr>
    <w:tblStylePr w:type="lastRow">
      <w:rPr>
        <w:b/>
        <w:bCs/>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rPr>
      <w:tblPr/>
      <w:tcPr>
        <w:tcBorders>
          <w:bottom w:val="single" w:sz="12" w:space="0" w:color="FFFFFF"/>
        </w:tcBorders>
        <w:shd w:val="clear" w:color="auto" w:fill="9E3A38" w:themeFill="accent2" w:themeFillShade="CC"/>
      </w:tcPr>
    </w:tblStylePr>
    <w:tblStylePr w:type="lastRow">
      <w:rPr>
        <w:b/>
        <w:bCs/>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rPr>
      <w:tblPr/>
      <w:tcPr>
        <w:tcBorders>
          <w:bottom w:val="single" w:sz="12" w:space="0" w:color="FFFFFF"/>
        </w:tcBorders>
        <w:shd w:val="clear" w:color="auto" w:fill="9E3A38" w:themeFill="accent2" w:themeFillShade="CC"/>
      </w:tcPr>
    </w:tblStylePr>
    <w:tblStylePr w:type="lastRow">
      <w:rPr>
        <w:b/>
        <w:bCs/>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rPr>
      <w:tblPr/>
      <w:tcPr>
        <w:tcBorders>
          <w:bottom w:val="single" w:sz="12" w:space="0" w:color="FFFFFF"/>
        </w:tcBorders>
        <w:shd w:val="clear" w:color="auto" w:fill="664E82" w:themeFill="accent4" w:themeFillShade="CC"/>
      </w:tcPr>
    </w:tblStylePr>
    <w:tblStylePr w:type="lastRow">
      <w:rPr>
        <w:b/>
        <w:bCs/>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rPr>
      <w:tblPr/>
      <w:tcPr>
        <w:tcBorders>
          <w:bottom w:val="single" w:sz="12" w:space="0" w:color="FFFFFF"/>
        </w:tcBorders>
        <w:shd w:val="clear" w:color="auto" w:fill="7E9C40" w:themeFill="accent3" w:themeFillShade="CC"/>
      </w:tcPr>
    </w:tblStylePr>
    <w:tblStylePr w:type="lastRow">
      <w:rPr>
        <w:b/>
        <w:bCs/>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rPr>
      <w:tblPr/>
      <w:tcPr>
        <w:tcBorders>
          <w:bottom w:val="single" w:sz="12" w:space="0" w:color="FFFFFF"/>
        </w:tcBorders>
        <w:shd w:val="clear" w:color="auto" w:fill="F2730A" w:themeFill="accent6" w:themeFillShade="CC"/>
      </w:tcPr>
    </w:tblStylePr>
    <w:tblStylePr w:type="lastRow">
      <w:rPr>
        <w:b/>
        <w:bCs/>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rPr>
      <w:tblPr/>
      <w:tcPr>
        <w:tcBorders>
          <w:bottom w:val="single" w:sz="12" w:space="0" w:color="FFFFFF"/>
        </w:tcBorders>
        <w:shd w:val="clear" w:color="auto" w:fill="348DA5" w:themeFill="accent5" w:themeFillShade="CC"/>
      </w:tcPr>
    </w:tblStylePr>
    <w:tblStylePr w:type="lastRow">
      <w:rPr>
        <w:b/>
        <w:bCs/>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rPr>
      <w:tblPr/>
      <w:tcPr>
        <w:shd w:val="clear" w:color="auto" w:fill="B8CCE4" w:themeFill="accent1" w:themeFillTint="66"/>
      </w:tcPr>
    </w:tblStylePr>
    <w:tblStylePr w:type="firstCol">
      <w:tblPr/>
      <w:tcPr>
        <w:shd w:val="clear" w:color="auto" w:fill="365F91" w:themeFill="accent1" w:themeFillShade="BF"/>
      </w:tcPr>
    </w:tblStylePr>
    <w:tblStylePr w:type="lastCol">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rPr>
      <w:tblPr/>
      <w:tcPr>
        <w:shd w:val="clear" w:color="auto" w:fill="E5B8B7" w:themeFill="accent2" w:themeFillTint="66"/>
      </w:tcPr>
    </w:tblStylePr>
    <w:tblStylePr w:type="firstCol">
      <w:tblPr/>
      <w:tcPr>
        <w:shd w:val="clear" w:color="auto" w:fill="943634" w:themeFill="accent2" w:themeFillShade="BF"/>
      </w:tcPr>
    </w:tblStylePr>
    <w:tblStylePr w:type="lastCol">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rPr>
      <w:tblPr/>
      <w:tcPr>
        <w:shd w:val="clear" w:color="auto" w:fill="D6E3BC" w:themeFill="accent3" w:themeFillTint="66"/>
      </w:tcPr>
    </w:tblStylePr>
    <w:tblStylePr w:type="firstCol">
      <w:tblPr/>
      <w:tcPr>
        <w:shd w:val="clear" w:color="auto" w:fill="76923C" w:themeFill="accent3" w:themeFillShade="BF"/>
      </w:tcPr>
    </w:tblStylePr>
    <w:tblStylePr w:type="lastCol">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rPr>
      <w:tblPr/>
      <w:tcPr>
        <w:shd w:val="clear" w:color="auto" w:fill="CCC0D9" w:themeFill="accent4" w:themeFillTint="66"/>
      </w:tcPr>
    </w:tblStylePr>
    <w:tblStylePr w:type="firstCol">
      <w:tblPr/>
      <w:tcPr>
        <w:shd w:val="clear" w:color="auto" w:fill="5F497A" w:themeFill="accent4" w:themeFillShade="BF"/>
      </w:tcPr>
    </w:tblStylePr>
    <w:tblStylePr w:type="lastCol">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rPr>
      <w:tblPr/>
      <w:tcPr>
        <w:shd w:val="clear" w:color="auto" w:fill="B6DDE8" w:themeFill="accent5" w:themeFillTint="66"/>
      </w:tcPr>
    </w:tblStylePr>
    <w:tblStylePr w:type="firstCol">
      <w:tblPr/>
      <w:tcPr>
        <w:shd w:val="clear" w:color="auto" w:fill="31849B" w:themeFill="accent5" w:themeFillShade="BF"/>
      </w:tcPr>
    </w:tblStylePr>
    <w:tblStylePr w:type="lastCol">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rPr>
      <w:tblPr/>
      <w:tcPr>
        <w:shd w:val="clear" w:color="auto" w:fill="FBD4B4" w:themeFill="accent6" w:themeFillTint="66"/>
      </w:tcPr>
    </w:tblStylePr>
    <w:tblStylePr w:type="firstCol">
      <w:tblPr/>
      <w:tcPr>
        <w:shd w:val="clear" w:color="auto" w:fill="E36C0A" w:themeFill="accent6" w:themeFillShade="BF"/>
      </w:tcPr>
    </w:tblStylePr>
    <w:tblStylePr w:type="lastCol">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468</Words>
  <Characters>2496</Characters>
  <Application>Microsoft Office Word</Application>
  <DocSecurity>0</DocSecurity>
  <Lines>64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Campbell, Cole</cp:lastModifiedBy>
  <cp:revision>3</cp:revision>
  <dcterms:created xsi:type="dcterms:W3CDTF">2013-12-23T23:15:00Z</dcterms:created>
  <dcterms:modified xsi:type="dcterms:W3CDTF">2026-04-15T23:04:00Z</dcterms:modified>
  <cp:category/>
</cp:coreProperties>
</file>