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m="http://schemas.openxmlformats.org/officeDocument/2006/math" mc:Ignorable="wps">
  <w:body>
    <w:p>
      <w:pPr>
        <w:pStyle w:val="Title"/>
      </w:pPr>
      <w:r>
        <w:t xml:space="preserve">Reading in Dyslexia</w:t>
      </w:r>
    </w:p>
    <w:r>
      <w:fldChar w:fldCharType="begin"/>
    </w:r>
    <w:r>
      <w:instrText xml:space="preserve">TOC \o "1-3"</w:instrText>
    </w:r>
    <w:r>
      <w:fldChar w:fldCharType="separate"/>
    </w:r>
    <w:r>
      <w:t xml:space="preserve">Introduction 1</w:t>
    </w:r>
    <w:r>
      <w:fldChar w:fldCharType="end"/>
    </w:r>
    <w:p>
      <w:pPr>
        <w:pStyle w:val="Heading1"/>
        <w:numPr>
          <w:ilvl w:val="0"/>
          <w:numId w:val="3"/>
        </w:numPr>
      </w:pPr>
      <w:r>
        <w:t xml:space="preserve">Introduction</w:t>
      </w:r>
    </w:p>
    <w:p>
      <w:r>
        <w:t xml:space="preserve">Phonological deficits affect reading compre</w:t>
      </w:r>
      <w:r>
        <w:t xml:space="preserve">hension in many children</w:t>
      </w:r>
      <w:r>
        <w:fldChar w:fldCharType="begin"/>
      </w:r>
      <w:r>
        <w:instrText xml:space="preserve">ADDIN ZOTERO_ITEM CSL_CITATION {"citationID":"x"}</w:instrText>
      </w:r>
      <w:r>
        <w:fldChar w:fldCharType="separate"/>
      </w:r>
      <w:r>
        <w:t xml:space="preserve"> (Snowling et al., 2020)</w:t>
      </w:r>
      <w:r>
        <w:fldChar w:fldCharType="end"/>
      </w:r>
      <w:r>
        <w:t xml:space="preserve">. fMRI </w:t>
      </w:r>
      <w:r>
        <w:t xml:space="preserve">studies</w:t>
      </w:r>
      <w:r>
        <w:footnoteReference w:id="2"/>
      </w:r>
      <w:r>
        <w:t xml:space="preserve"> show differences in the left hemisphere.</w:t>
      </w:r>
    </w:p>
    <w:p>
      <w:r>
        <w:t xml:space="preserve">Readers were </w:t>
      </w:r>
      <w:del>
        <w:r>
          <w:delText>always </w:delText>
        </w:r>
      </w:del>
      <w:ins>
        <w:r>
          <w:t xml:space="preserve">not </w:t>
        </w:r>
      </w:ins>
      <w:r>
        <w:t xml:space="preserve">slower on nonwords</w:t>
      </w:r>
      <w:r>
        <w:rPr>
          <w:vanish/>
        </w:rPr>
        <w:t xml:space="preserve"> (hidden note)</w:t>
      </w:r>
      <w:r>
        <w:fldChar w:fldCharType="begin"/>
      </w:r>
      <w:r>
        <w:instrText xml:space="preserve">ADDIN EN.CITE &lt;EndNote&gt;</w:instrText>
      </w:r>
      <w:r>
        <w:fldChar w:fldCharType="separate"/>
      </w:r>
      <w:r>
        <w:t xml:space="preserve"> [3]</w:t>
      </w:r>
      <w:r>
        <w:fldChar w:fldCharType="end"/>
      </w:r>
      <w:r>
        <w:t xml:space="preserve">.</w:t>
      </w:r>
    </w:p>
    <w:p>
      <w:r>
        <w:t xml:space="preserve">Page 4 shows the well</w:t>
      </w:r>
      <w:r>
        <w:noBreakHyphen/>
      </w:r>
      <w:r>
        <w:t xml:space="preserve">known effect of phono</w:t>
      </w:r>
      <w:r>
        <w:softHyphen/>
      </w:r>
      <w:r>
        <w:t xml:space="preserve">logy</w:t>
      </w:r>
      <w:r>
        <w:sym w:font="Symbol" w:char="F0B1"/>
      </w:r>
      <w:r>
        <w:t xml:space="preserve"> noise.</w:t>
      </w:r>
    </w:p>
    <w:p>
      <w:pPr>
        <w:numPr>
          <w:ilvl w:val="0"/>
          <w:numId w:val="1"/>
        </w:numPr>
      </w:pPr>
      <w:r>
        <w:t xml:space="preserve">Recruit participants</w:t>
      </w:r>
    </w:p>
    <w:p>
      <w:pPr>
        <w:numPr>
          <w:ilvl w:val="1"/>
          <w:numId w:val="1"/>
        </w:numPr>
      </w:pPr>
      <w:r>
        <w:t xml:space="preserve">Screen for vision problems</w:t>
      </w:r>
    </w:p>
    <w:p>
      <w:pPr>
        <w:numPr>
          <w:ilvl w:val="1"/>
          <w:numId w:val="1"/>
        </w:numPr>
      </w:pPr>
      <w:r>
        <w:t xml:space="preserve">Screen for hearing problems</w:t>
      </w:r>
    </w:p>
    <w:p>
      <w:pPr>
        <w:numPr>
          <w:ilvl w:val="0"/>
          <w:numId w:val="1"/>
        </w:numPr>
      </w:pPr>
      <w:r>
        <w:t xml:space="preserve">Run the reading task</w:t>
      </w:r>
    </w:p>
    <w:p>
      <w:pPr>
        <w:numPr>
          <w:ilvl w:val="0"/>
          <w:numId w:val="2"/>
        </w:numPr>
      </w:pPr>
      <w:r>
        <w:t xml:space="preserve">Bullet one</w:t>
      </w:r>
    </w:p>
    <w:p>
      <w:pPr>
        <w:numPr>
          <w:ilvl w:val="0"/>
          <w:numId w:val="2"/>
        </w:numPr>
      </w:pPr>
      <w:r>
        <w:t xml:space="preserve">Bullet two</w:t>
      </w:r>
    </w:p>
    <w:p>
      <w:r>
        <w:t xml:space="preserve">Data are at the </w:t>
      </w:r>
      <w:hyperlink r:id="rId9">
        <w:r>
          <w:t xml:space="preserve">OSF page</w:t>
        </w:r>
      </w:hyperlink>
      <w:r>
        <w:t xml:space="preserve">.</w:t>
      </w:r>
    </w:p>
    <w:tbl>
      <w:tr>
        <w:tc>
          <w:p>
            <w:r>
              <w:t xml:space="preserve">Group</w:t>
            </w:r>
          </w:p>
        </w:tc>
        <w:tc>
          <w:p>
            <w:r>
              <w:t xml:space="preserve">Accuracy</w:t>
            </w:r>
          </w:p>
        </w:tc>
        <w:tc>
          <w:p>
            <w:r>
              <w:t xml:space="preserve">Speed</w:t>
            </w:r>
          </w:p>
        </w:tc>
      </w:tr>
      <w:tr>
        <w:tc>
          <w:tcPr>
            <w:vMerge w:val="restart"/>
          </w:tcPr>
          <w:p>
            <w:r>
              <w:t xml:space="preserve">Dyslexic</w:t>
            </w:r>
          </w:p>
        </w:tc>
        <w:tc>
          <w:p>
            <w:r>
              <w:t xml:space="preserve">0.81</w:t>
            </w:r>
          </w:p>
        </w:tc>
        <w:tc>
          <w:p>
            <w:r>
              <w:t xml:space="preserve">1.2 s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0.79</w:t>
            </w:r>
          </w:p>
        </w:tc>
        <w:tc>
          <w:tbl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</w:tbl>
          <w:p>
            <w:r>
              <w:t xml:space="preserve">after inner</w:t>
            </w:r>
          </w:p>
        </w:tc>
      </w:tr>
    </w:tbl>
    <w:p>
      <w:r>
        <w:t xml:space="preserve">Figure text follows.</w:t>
      </w:r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Box: sidebar note.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Box: sidebar note.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We fit </w:t>
      </w:r>
      <m:oMath>
        <m:r>
          <m:t>y=ax+b</m:t>
        </m:r>
      </m:oMath>
      <w:r>
        <w:t xml:space="preserve"> to the data.</w:t>
      </w:r>
    </w:p>
    <w:p>
      <w:pPr>
        <w:pStyle w:val="Heading1"/>
      </w:pPr>
      <w:r>
        <w:t xml:space="preserve">References</w:t>
      </w:r>
    </w:p>
    <w:p>
      <w:r>
        <w:fldChar w:fldCharType="begin"/>
      </w:r>
      <w:r>
        <w:instrText xml:space="preserve">ADDIN ZOTERO_BIBL {"uncited":[]} CSL_BIBLIOGRAPHY</w:instrText>
      </w:r>
      <w:r>
        <w:fldChar w:fldCharType="separate"/>
      </w:r>
      <w:r>
        <w:t xml:space="preserve">Snowling, M. J. (2020). Dyslexia: A very short introduction. Oxford University Press.</w:t>
      </w:r>
    </w:p>
    <w:p>
      <w:r>
        <w:t xml:space="preserve">Shaywitz, S. (2003). Overcoming dyslexia. Knopf.</w:t>
      </w:r>
      <w:r>
        <w:fldChar w:fldCharType="end"/>
      </w:r>
    </w:p>
    <w:sectPr/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id="2">
    <w:p>
      <w:r>
        <w:footnoteRef/>
      </w:r>
      <w:r>
        <w:t xml:space="preserve"> Functional MRI measures blood flow.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abstractNum w:abstractNumId="2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  <w:pPr>
      <w:outlineLvl w:val="0"/>
    </w:pPr>
  </w:style>
</w:styles>
</file>