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0" distB="0" distL="0" distR="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ID="Straight Connector 2" stroked="t" o:allowincell="f" style="position:absolute;mso-position-horizontal-relative:page">
                  <v:stroke color="#b8b8b8" weight="14760" joinstyle="round" endcap="flat"/>
                  <v:fill o:detectmouseclick="t" on="false"/>
                  <w10:wrap type="none"/>
                </v:line>
              </v:group>
            </w:pict>
          </mc:Fallback>
        </mc:AlternateContent>
      </w:r>
      <w:r>
        <w:rPr/>
        <w:t>Math 596 – Mathematical Data Science</w:t>
      </w:r>
    </w:p>
    <w:p>
      <w:pPr>
        <w:pStyle w:val="Title"/>
        <w:jc w:val="center"/>
        <w:rPr/>
      </w:pPr>
      <w:r>
        <w:rPr/>
        <w:t>Fall 202</w:t>
      </w:r>
      <w:r>
        <w:rPr/>
        <w:t>4</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
      <w:bookmarkEnd w:id="2"/>
      <w:r>
        <mc:AlternateContent>
          <mc:Choice Requires="wpg">
            <w:drawing>
              <wp:anchor behindDoc="1" distT="0" distB="0" distL="0" distR="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ID="Straight Connector 4"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
      <w:bookmarkEnd w:id="5"/>
      <w:r>
        <mc:AlternateContent>
          <mc:Choice Requires="wpg">
            <w:drawing>
              <wp:anchor behindDoc="1" distT="0" distB="0" distL="0" distR="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ID="Straight Connector 6"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
      <w:bookmarkEnd w:id="8"/>
      <w:r>
        <mc:AlternateContent>
          <mc:Choice Requires="wpg">
            <w:drawing>
              <wp:anchor behindDoc="1" distT="0" distB="0" distL="0" distR="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ID="Straight Connector 8"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will develop a final project based on how their particular interests intersect with    mathematical data science.  The project will consist of a ten page paper as well as a 25 minute presentation of results.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w:rPr/>
        <mc:AlternateContent>
          <mc:Choice Requires="wpg">
            <w:drawing>
              <wp:anchor behindDoc="1" distT="0" distB="0" distL="0" distR="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ID="Straight Connector 14"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8" w:space="40"/>
            <w:col w:w="8307"/>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4" w:space="40"/>
            <w:col w:w="8301"/>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
      <w:bookmarkEnd w:id="11"/>
      <w:r>
        <mc:AlternateContent>
          <mc:Choice Requires="wpg">
            <w:drawing>
              <wp:anchor behindDoc="1" distT="0" distB="0" distL="0" distR="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ID="Straight Connector 16"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 xml:space="preserve">Develop the theory of clustering and practice using it for problems in data classification.  </w:t>
      </w:r>
    </w:p>
    <w:p>
      <w:pPr>
        <w:pStyle w:val="Default"/>
        <w:numPr>
          <w:ilvl w:val="0"/>
          <w:numId w:val="2"/>
        </w:numPr>
        <w:spacing w:before="0" w:after="93"/>
        <w:rPr>
          <w:sz w:val="20"/>
          <w:szCs w:val="20"/>
        </w:rPr>
      </w:pPr>
      <w:r>
        <w:rPr>
          <w:sz w:val="20"/>
          <w:szCs w:val="20"/>
        </w:rPr>
        <w:t xml:space="preserve">Develop the theory of neural networks and practice using them for classification and prediction in dynamical systems.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0" distB="0" distL="0" distR="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ID="Straight Connector 18"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5" w:before="82" w:after="0"/>
        <w:ind w:left="144" w:right="144"/>
        <w:jc w:val="both"/>
        <w:rPr/>
      </w:pPr>
      <w:r>
        <w:rPr/>
      </w:r>
    </w:p>
    <w:p>
      <w:pPr>
        <w:pStyle w:val="Heading1"/>
        <w:ind w:left="1505"/>
        <w:rPr/>
      </w:pPr>
      <w:r>
        <mc:AlternateContent>
          <mc:Choice Requires="wpg">
            <w:drawing>
              <wp:anchor behindDoc="1" distT="0" distB="0" distL="0" distR="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ID="Straight Connector 2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 xml:space="preserve">Week 3: </w:t>
      </w:r>
      <w:r>
        <w:rPr>
          <w:rStyle w:val="Heading2Char"/>
        </w:rPr>
        <w:t>SVD, k-means clustering, unsupervised learning</w:t>
      </w:r>
    </w:p>
    <w:p>
      <w:pPr>
        <w:pStyle w:val="BodyText"/>
        <w:rPr>
          <w:rStyle w:val="Heading2Char"/>
        </w:rPr>
      </w:pPr>
      <w:r>
        <w:rPr>
          <w:rStyle w:val="Heading2Char"/>
        </w:rPr>
        <w:t xml:space="preserve">Week 4: Fourier </w:t>
      </w:r>
      <w:r>
        <w:rPr>
          <w:rStyle w:val="Heading2Char"/>
        </w:rPr>
        <w:t xml:space="preserve">Series, </w:t>
      </w:r>
      <w:r>
        <w:rPr>
          <w:rStyle w:val="Heading2Char"/>
        </w:rPr>
        <w:t xml:space="preserve">Transforms: Theory, </w:t>
      </w:r>
      <w:r>
        <w:rPr>
          <w:rStyle w:val="Heading2Char"/>
        </w:rPr>
        <w:t>Coding, and Applications</w:t>
      </w:r>
    </w:p>
    <w:p>
      <w:pPr>
        <w:pStyle w:val="BodyText"/>
        <w:rPr>
          <w:rStyle w:val="Heading2Char"/>
        </w:rPr>
      </w:pPr>
      <w:r>
        <w:rPr>
          <w:rStyle w:val="Heading2Char"/>
        </w:rPr>
        <w:t xml:space="preserve">Week 5: </w:t>
      </w:r>
      <w:r>
        <w:rPr>
          <w:rStyle w:val="Heading2Char"/>
        </w:rPr>
        <w:t xml:space="preserve">Short Time </w:t>
      </w:r>
      <w:r>
        <w:rPr>
          <w:rStyle w:val="Heading2Char"/>
        </w:rPr>
        <w:t xml:space="preserve">Fourier Transforms: </w:t>
      </w:r>
      <w:r>
        <w:rPr>
          <w:rStyle w:val="Heading2Char"/>
        </w:rPr>
        <w:t xml:space="preserve">Theory, </w:t>
      </w:r>
      <w:r>
        <w:rPr>
          <w:rStyle w:val="Heading2Char"/>
        </w:rPr>
        <w:t>Coding, and Application</w:t>
      </w:r>
      <w:r>
        <w:rPr>
          <w:rStyle w:val="Heading2Char"/>
        </w:rPr>
        <w:t>s</w:t>
      </w:r>
    </w:p>
    <w:p>
      <w:pPr>
        <w:pStyle w:val="BodyText"/>
        <w:rPr>
          <w:rStyle w:val="Heading2Char"/>
        </w:rPr>
      </w:pPr>
      <w:r>
        <w:rPr>
          <w:rStyle w:val="Heading2Char"/>
        </w:rPr>
        <w:t xml:space="preserve">Week 6: Wavelet Transforms: </w:t>
      </w:r>
      <w:r>
        <w:rPr>
          <w:rStyle w:val="Heading2Char"/>
        </w:rPr>
        <w:t xml:space="preserve">Theory, </w:t>
      </w:r>
      <w:r>
        <w:rPr>
          <w:rStyle w:val="Heading2Char"/>
        </w:rPr>
        <w:t xml:space="preserve">Coding, and Applications </w:t>
      </w:r>
    </w:p>
    <w:p>
      <w:pPr>
        <w:pStyle w:val="BodyText"/>
        <w:rPr>
          <w:rStyle w:val="Heading2Char"/>
        </w:rPr>
      </w:pPr>
      <w:r>
        <w:rPr>
          <w:rStyle w:val="Heading2Char"/>
        </w:rPr>
        <w:t xml:space="preserve">Week 7: </w:t>
      </w:r>
      <w:r>
        <w:rPr>
          <w:rStyle w:val="Heading2Char"/>
        </w:rPr>
        <w:t>Probability Review, Histograms, Bias/Variance Tradeoff Analysis</w:t>
      </w:r>
    </w:p>
    <w:p>
      <w:pPr>
        <w:pStyle w:val="BodyText"/>
        <w:rPr>
          <w:rStyle w:val="Heading2Char"/>
        </w:rPr>
      </w:pPr>
      <w:r>
        <w:rPr>
          <w:rStyle w:val="Heading2Char"/>
        </w:rPr>
        <w:t xml:space="preserve">Week 8: </w:t>
      </w:r>
      <w:r>
        <w:rPr>
          <w:rStyle w:val="Heading2Char"/>
        </w:rPr>
        <w:t>Linear Polynomial and Harmonic Regression, Cross Validation</w:t>
      </w:r>
    </w:p>
    <w:p>
      <w:pPr>
        <w:pStyle w:val="BodyText"/>
        <w:rPr>
          <w:rStyle w:val="Heading2Char"/>
        </w:rPr>
      </w:pPr>
      <w:r>
        <w:rPr>
          <w:rStyle w:val="Heading2Char"/>
        </w:rPr>
        <w:t xml:space="preserve">Week 9: </w:t>
      </w:r>
      <w:r>
        <w:rPr>
          <w:rStyle w:val="Heading2Char"/>
        </w:rPr>
        <w:t xml:space="preserve">Optimization: Lagrange Multipliers, Constraints, Gradient and Alternating Descent </w:t>
      </w:r>
    </w:p>
    <w:p>
      <w:pPr>
        <w:pStyle w:val="BodyText"/>
        <w:rPr>
          <w:rStyle w:val="Heading2Char"/>
        </w:rPr>
      </w:pPr>
      <w:r>
        <w:rPr>
          <w:rStyle w:val="Heading2Char"/>
        </w:rPr>
        <w:t xml:space="preserve">Week 10: </w:t>
      </w:r>
      <w:r>
        <w:rPr>
          <w:rStyle w:val="Heading2Char"/>
        </w:rPr>
        <w:t>Optimization: Convex Sets, the Geometry of Norms</w:t>
      </w:r>
    </w:p>
    <w:p>
      <w:pPr>
        <w:pStyle w:val="BodyText"/>
        <w:rPr>
          <w:rStyle w:val="Heading2Char"/>
        </w:rPr>
      </w:pPr>
      <w:r>
        <w:rPr>
          <w:rStyle w:val="Heading2Char"/>
        </w:rPr>
        <w:t xml:space="preserve">Week 11: </w:t>
      </w:r>
      <w:r>
        <w:rPr>
          <w:rStyle w:val="Heading2Char"/>
        </w:rPr>
        <w:t>LASSO/L1-penalized Linear Regression</w:t>
      </w:r>
    </w:p>
    <w:p>
      <w:pPr>
        <w:pStyle w:val="BodyText"/>
        <w:rPr>
          <w:rStyle w:val="Heading2Char"/>
        </w:rPr>
      </w:pPr>
      <w:r>
        <w:rPr>
          <w:rStyle w:val="Heading2Char"/>
        </w:rPr>
        <w:t xml:space="preserve">Week 12: </w:t>
      </w:r>
      <w:r>
        <w:rPr>
          <w:rStyle w:val="Heading2Char"/>
        </w:rPr>
        <w:t xml:space="preserve">Dictionary Learning </w:t>
      </w:r>
    </w:p>
    <w:p>
      <w:pPr>
        <w:pStyle w:val="BodyText"/>
        <w:rPr>
          <w:rStyle w:val="Heading2Char"/>
        </w:rPr>
      </w:pPr>
      <w:r>
        <w:rPr>
          <w:rStyle w:val="Heading2Char"/>
        </w:rPr>
        <w:t xml:space="preserve">Week 13: </w:t>
      </w:r>
      <w:r>
        <w:rPr>
          <w:rStyle w:val="Heading2Char"/>
        </w:rPr>
        <w:t xml:space="preserve">Dictionary Learning </w:t>
      </w:r>
    </w:p>
    <w:p>
      <w:pPr>
        <w:pStyle w:val="BodyText"/>
        <w:rPr>
          <w:rStyle w:val="Heading2Char"/>
        </w:rPr>
      </w:pPr>
      <w:r>
        <w:rPr>
          <w:rStyle w:val="Heading2Char"/>
        </w:rPr>
        <w:t xml:space="preserve">Week 14: </w:t>
      </w:r>
      <w:r>
        <w:rPr>
          <w:rStyle w:val="Heading2Char"/>
        </w:rPr>
        <w:t xml:space="preserve">Support Vector Machines, Theory, Coding, and Applications </w:t>
      </w:r>
    </w:p>
    <w:p>
      <w:pPr>
        <w:pStyle w:val="BodyText"/>
        <w:rPr>
          <w:rStyle w:val="Heading2Char"/>
        </w:rPr>
      </w:pPr>
      <w:r>
        <w:rPr>
          <w:rStyle w:val="Heading2Char"/>
        </w:rPr>
        <w:t xml:space="preserve">Week 15: </w:t>
      </w:r>
      <w:r>
        <w:rPr>
          <w:rStyle w:val="Heading2Char"/>
        </w:rPr>
        <w:t xml:space="preserve">Support Vector Machines, Theory, Coding, and Applications </w:t>
      </w:r>
    </w:p>
    <w:p>
      <w:pPr>
        <w:pStyle w:val="BodyText"/>
        <w:rPr/>
      </w:pPr>
      <w:r>
        <w:rPr>
          <w:rStyle w:val="Heading2Char"/>
        </w:rPr>
        <w:t>Week 16: Final Presentations</w:t>
      </w: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ascii="Arial" w:hAnsi="Arial" w:eastAsia="Arial" w:asciiTheme="minorBidi" w:hAnsiTheme="minorBidi"/>
          <w:sz w:val="20"/>
          <w:szCs w:val="20"/>
        </w:rPr>
      </w:pPr>
      <w:r>
        <w:rPr>
          <w:rFonts w:eastAsia="Arial" w:ascii="Arial" w:hAnsi="Arial" w:asciiTheme="minorBidi" w:hAnsiTheme="minorBidi"/>
          <w:b/>
          <w:sz w:val="20"/>
          <w:szCs w:val="20"/>
        </w:rPr>
        <w:t>Accommodations:</w:t>
      </w:r>
      <w:r>
        <w:rPr>
          <w:rFonts w:eastAsia="Arial" w:ascii="Arial" w:hAnsi="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pPr>
        <w:pStyle w:val="Normal"/>
        <w:rPr>
          <w:rFonts w:ascii="Arial" w:hAnsi="Arial" w:eastAsia="Arial" w:asciiTheme="minorBidi" w:hAnsiTheme="minorBidi"/>
          <w:sz w:val="20"/>
          <w:szCs w:val="20"/>
        </w:rPr>
      </w:pPr>
      <w:r>
        <w:rPr>
          <w:rFonts w:eastAsia="Arial" w:ascii="Arial" w:hAnsi="Arial" w:asciiTheme="minorBidi" w:hAnsiTheme="minorBidi"/>
          <w:b/>
          <w:sz w:val="20"/>
          <w:szCs w:val="20"/>
        </w:rPr>
        <w:t xml:space="preserve">Student Privacy and Intellectual Property: </w:t>
      </w:r>
      <w:r>
        <w:rPr>
          <w:rFonts w:eastAsia="Arial" w:ascii="Arial" w:hAnsi="Arial" w:asciiTheme="minorBidi" w:hAnsiTheme="minorBidi"/>
          <w:sz w:val="20"/>
          <w:szCs w:val="20"/>
        </w:rPr>
        <w:t xml:space="preserve">The </w:t>
      </w:r>
      <w:hyperlink r:id="rId6">
        <w:r>
          <w:rPr>
            <w:rStyle w:val="ListLabel84"/>
            <w:rFonts w:eastAsia="Arial" w:ascii="Arial" w:hAnsi="Arial" w:asciiTheme="minorBidi" w:hAnsiTheme="minorBidi"/>
            <w:color w:val="1155CC"/>
            <w:sz w:val="20"/>
            <w:szCs w:val="20"/>
            <w:u w:val="single"/>
          </w:rPr>
          <w:t>Family Educational Rights and Privacy Act</w:t>
        </w:r>
      </w:hyperlink>
      <w:r>
        <w:rPr>
          <w:rFonts w:eastAsia="Arial" w:ascii="Arial" w:hAnsi="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ascii="Arial" w:hAnsi="Arial" w:eastAsia="Arial" w:asciiTheme="minorBidi" w:hAnsiTheme="minorBidi"/>
          <w:sz w:val="20"/>
          <w:szCs w:val="20"/>
        </w:rPr>
      </w:pPr>
      <w:r>
        <w:rPr>
          <w:rFonts w:eastAsia="Arial" w:ascii="Arial" w:hAnsi="Arial" w:asciiTheme="minorBidi" w:hAnsiTheme="minorBidi"/>
          <w:b/>
          <w:sz w:val="20"/>
          <w:szCs w:val="20"/>
        </w:rPr>
        <w:t xml:space="preserve">Religious observances: </w:t>
      </w:r>
      <w:r>
        <w:rPr>
          <w:rFonts w:eastAsia="Arial" w:ascii="Arial" w:hAnsi="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 xml:space="preserve">Medical-related absences: </w:t>
      </w:r>
      <w:r>
        <w:rPr>
          <w:rFonts w:eastAsia="Arial" w:ascii="Arial" w:hAnsi="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ListLabel85"/>
            <w:rFonts w:eastAsia="Arial" w:ascii="Arial" w:hAnsi="Arial" w:asciiTheme="minorBidi" w:hAnsiTheme="minorBidi"/>
            <w:sz w:val="20"/>
            <w:szCs w:val="20"/>
            <w:u w:val="single"/>
            <w:shd w:fill="F4CCCC" w:val="clear"/>
          </w:rPr>
          <w:t>Student Health Services</w:t>
        </w:r>
      </w:hyperlink>
      <w:r>
        <w:rPr>
          <w:rFonts w:eastAsia="Arial" w:ascii="Arial" w:hAnsi="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ListLabel85"/>
            <w:rFonts w:eastAsia="Arial" w:ascii="Arial" w:hAnsi="Arial" w:asciiTheme="minorBidi" w:hAnsiTheme="minorBidi"/>
            <w:sz w:val="20"/>
            <w:szCs w:val="20"/>
            <w:u w:val="single"/>
            <w:shd w:fill="F4CCCC" w:val="clear"/>
          </w:rPr>
          <w:t>Student Ability Success Center</w:t>
        </w:r>
      </w:hyperlink>
      <w:r>
        <w:rPr>
          <w:rFonts w:eastAsia="Arial" w:ascii="Arial" w:hAnsi="Arial" w:asciiTheme="minorBidi" w:hAnsiTheme="minorBidi"/>
          <w:sz w:val="20"/>
          <w:szCs w:val="20"/>
          <w:shd w:fill="F4CCCC" w:val="clear"/>
        </w:rPr>
        <w:t xml:space="preserve">.  </w:t>
      </w:r>
    </w:p>
    <w:p>
      <w:pPr>
        <w:pStyle w:val="Normal"/>
        <w:shd w:val="clear" w:color="auto" w:fill="FFFFFF"/>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SDSU Economic Crisis Response Team:</w:t>
      </w:r>
      <w:r>
        <w:rPr>
          <w:rFonts w:eastAsia="Arial" w:ascii="Arial" w:hAnsi="Arial" w:asciiTheme="minorBidi" w:hAnsiTheme="minorBidi"/>
          <w:sz w:val="20"/>
          <w:szCs w:val="20"/>
          <w:shd w:fill="F4CCCC" w:val="clear"/>
        </w:rPr>
        <w:t xml:space="preserve"> If you or a friend are experiencing food or housing insecurity, or any unforeseen financial crisis, visit </w:t>
      </w:r>
      <w:hyperlink r:id="rId9">
        <w:r>
          <w:rPr>
            <w:rStyle w:val="ListLabel85"/>
            <w:rFonts w:eastAsia="Arial" w:ascii="Arial" w:hAnsi="Arial" w:asciiTheme="minorBidi" w:hAnsiTheme="minorBidi"/>
            <w:sz w:val="20"/>
            <w:szCs w:val="20"/>
            <w:u w:val="single"/>
            <w:shd w:fill="F4CCCC" w:val="clear"/>
          </w:rPr>
          <w:t>sdsu.edu/ecrt</w:t>
        </w:r>
      </w:hyperlink>
      <w:r>
        <w:rPr>
          <w:rFonts w:eastAsia="Arial" w:ascii="Arial" w:hAnsi="Arial" w:asciiTheme="minorBidi" w:hAnsiTheme="minorBidi"/>
          <w:sz w:val="20"/>
          <w:szCs w:val="20"/>
          <w:shd w:fill="F4CCCC" w:val="clear"/>
        </w:rPr>
        <w:t xml:space="preserve">, email </w:t>
      </w:r>
      <w:hyperlink r:id="rId10">
        <w:r>
          <w:rPr>
            <w:rStyle w:val="ListLabel85"/>
            <w:rFonts w:eastAsia="Arial" w:ascii="Arial" w:hAnsi="Arial" w:asciiTheme="minorBidi" w:hAnsiTheme="minorBidi"/>
            <w:sz w:val="20"/>
            <w:szCs w:val="20"/>
            <w:u w:val="single"/>
            <w:shd w:fill="F4CCCC" w:val="clear"/>
          </w:rPr>
          <w:t>ecrt@sdsu.edu</w:t>
        </w:r>
      </w:hyperlink>
      <w:r>
        <w:rPr>
          <w:rFonts w:eastAsia="Arial" w:ascii="Arial" w:hAnsi="Arial" w:asciiTheme="minorBidi" w:hAnsiTheme="minorBidi"/>
          <w:sz w:val="20"/>
          <w:szCs w:val="20"/>
          <w:shd w:fill="F4CCCC" w:val="clear"/>
        </w:rPr>
        <w:t>, or walk-in to Well-being &amp; Health Promotion on the 3rd floor of Calpulli Center.</w:t>
      </w:r>
    </w:p>
    <w:p>
      <w:pPr>
        <w:pStyle w:val="Normal"/>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Resources for students</w:t>
      </w:r>
      <w:r>
        <w:rPr>
          <w:rFonts w:eastAsia="Arial" w:ascii="Arial" w:hAnsi="Arial" w:asciiTheme="minorBidi" w:hAnsiTheme="minorBidi"/>
          <w:sz w:val="20"/>
          <w:szCs w:val="20"/>
          <w:shd w:fill="F4CCCC" w:val="clear"/>
        </w:rPr>
        <w:t xml:space="preserve">:  A complete list of all academic support services--including the </w:t>
      </w:r>
      <w:hyperlink r:id="rId11">
        <w:r>
          <w:rPr>
            <w:rStyle w:val="ListLabel85"/>
            <w:rFonts w:eastAsia="Arial" w:ascii="Arial" w:hAnsi="Arial" w:asciiTheme="minorBidi" w:hAnsiTheme="minorBidi"/>
            <w:sz w:val="20"/>
            <w:szCs w:val="20"/>
            <w:u w:val="single"/>
            <w:shd w:fill="F4CCCC" w:val="clear"/>
          </w:rPr>
          <w:t>Writing Center</w:t>
        </w:r>
      </w:hyperlink>
      <w:r>
        <w:rPr>
          <w:rFonts w:eastAsia="Arial" w:ascii="Arial" w:hAnsi="Arial" w:asciiTheme="minorBidi" w:hAnsiTheme="minorBidi"/>
          <w:sz w:val="20"/>
          <w:szCs w:val="20"/>
          <w:shd w:fill="F4CCCC" w:val="clear"/>
        </w:rPr>
        <w:t xml:space="preserve"> and  </w:t>
      </w:r>
      <w:hyperlink r:id="rId12">
        <w:r>
          <w:rPr>
            <w:rStyle w:val="ListLabel85"/>
            <w:rFonts w:eastAsia="Arial" w:ascii="Arial" w:hAnsi="Arial" w:asciiTheme="minorBidi" w:hAnsiTheme="minorBidi"/>
            <w:sz w:val="20"/>
            <w:szCs w:val="20"/>
            <w:u w:val="single"/>
            <w:shd w:fill="F4CCCC" w:val="clear"/>
          </w:rPr>
          <w:t>Math Learning Center</w:t>
        </w:r>
      </w:hyperlink>
      <w:r>
        <w:rPr>
          <w:rFonts w:eastAsia="Arial" w:ascii="Arial" w:hAnsi="Arial" w:asciiTheme="minorBidi" w:hAnsiTheme="minorBidi"/>
          <w:sz w:val="20"/>
          <w:szCs w:val="20"/>
          <w:shd w:fill="F4CCCC" w:val="clear"/>
        </w:rPr>
        <w:t xml:space="preserve">--is available on the Student Affairs’ </w:t>
      </w:r>
      <w:hyperlink r:id="rId13">
        <w:r>
          <w:rPr>
            <w:rStyle w:val="ListLabel85"/>
            <w:rFonts w:eastAsia="Arial" w:ascii="Arial" w:hAnsi="Arial" w:asciiTheme="minorBidi" w:hAnsiTheme="minorBidi"/>
            <w:sz w:val="20"/>
            <w:szCs w:val="20"/>
            <w:u w:val="single"/>
            <w:shd w:fill="F4CCCC" w:val="clear"/>
          </w:rPr>
          <w:t>Academic Success</w:t>
        </w:r>
      </w:hyperlink>
      <w:r>
        <w:rPr>
          <w:rFonts w:eastAsia="Arial" w:ascii="Arial" w:hAnsi="Arial" w:asciiTheme="minorBidi" w:hAnsiTheme="minorBidi"/>
          <w:sz w:val="20"/>
          <w:szCs w:val="20"/>
          <w:shd w:fill="F4CCCC" w:val="clear"/>
        </w:rPr>
        <w:t xml:space="preserve"> website. </w:t>
      </w:r>
      <w:hyperlink r:id="rId14">
        <w:r>
          <w:rPr>
            <w:rStyle w:val="ListLabel85"/>
            <w:rFonts w:eastAsia="Arial" w:ascii="Arial" w:hAnsi="Arial" w:asciiTheme="minorBidi" w:hAnsiTheme="minorBidi"/>
            <w:sz w:val="20"/>
            <w:szCs w:val="20"/>
            <w:u w:val="single"/>
            <w:shd w:fill="F4CCCC" w:val="clear"/>
          </w:rPr>
          <w:t>Counseling and Psychological Services</w:t>
        </w:r>
      </w:hyperlink>
      <w:r>
        <w:rPr>
          <w:rFonts w:eastAsia="Arial" w:ascii="Arial" w:hAnsi="Arial" w:asciiTheme="minorBidi" w:hAnsiTheme="minorBidi"/>
          <w:smallCaps/>
          <w:sz w:val="20"/>
          <w:szCs w:val="20"/>
          <w:shd w:fill="F4CCCC" w:val="clear"/>
        </w:rPr>
        <w:t xml:space="preserve"> (619-594-5220) </w:t>
      </w:r>
      <w:r>
        <w:rPr>
          <w:rFonts w:eastAsia="Arial" w:ascii="Arial" w:hAnsi="Arial" w:asciiTheme="minorBidi" w:hAnsiTheme="minorBidi"/>
          <w:sz w:val="20"/>
          <w:szCs w:val="20"/>
          <w:shd w:fill="F4CCCC" w:val="clear"/>
        </w:rPr>
        <w:t xml:space="preserve">offers confidential counseling services by licensed therapists; you can Live Chat with a counselor at </w:t>
      </w:r>
      <w:hyperlink r:id="rId15">
        <w:r>
          <w:rPr>
            <w:rStyle w:val="ListLabel85"/>
            <w:rFonts w:eastAsia="Arial" w:ascii="Arial" w:hAnsi="Arial" w:asciiTheme="minorBidi" w:hAnsiTheme="minorBidi"/>
            <w:sz w:val="20"/>
            <w:szCs w:val="20"/>
            <w:u w:val="single"/>
            <w:shd w:fill="F4CCCC" w:val="clear"/>
          </w:rPr>
          <w:t>http://go.sdsu.edu/student_affairs/cps/therapist-consultation.aspx</w:t>
        </w:r>
      </w:hyperlink>
      <w:r>
        <w:rPr>
          <w:rFonts w:eastAsia="Arial" w:ascii="Arial" w:hAnsi="Arial" w:asciiTheme="minorBidi" w:hAnsiTheme="minorBidi"/>
          <w:sz w:val="20"/>
          <w:szCs w:val="20"/>
          <w:shd w:fill="F4CCCC" w:val="clear"/>
        </w:rPr>
        <w:t xml:space="preserve"> between 4:00pm and 10:00pm, or call San Diego Access and Crisis 24-hour Hotline at (888) 724-7240.</w:t>
      </w:r>
    </w:p>
    <w:p>
      <w:pPr>
        <w:pStyle w:val="Normal"/>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Academic Honesty</w:t>
      </w:r>
      <w:r>
        <w:rPr>
          <w:rFonts w:eastAsia="Arial" w:ascii="Arial" w:hAnsi="Arial" w:asciiTheme="minorBidi" w:hAnsiTheme="minorBidi"/>
          <w:sz w:val="20"/>
          <w:szCs w:val="20"/>
          <w:shd w:fill="F4CCCC" w:val="clear"/>
        </w:rPr>
        <w:t xml:space="preserve">:  The University adheres to a strict </w:t>
      </w:r>
      <w:hyperlink r:id="rId16">
        <w:r>
          <w:rPr>
            <w:rStyle w:val="ListLabel85"/>
            <w:rFonts w:eastAsia="Arial" w:ascii="Arial" w:hAnsi="Arial" w:asciiTheme="minorBidi" w:hAnsiTheme="minorBidi"/>
            <w:sz w:val="20"/>
            <w:szCs w:val="20"/>
            <w:u w:val="single"/>
            <w:shd w:fill="F4CCCC" w:val="clear"/>
          </w:rPr>
          <w:t>policy prohibiting cheating and plagiarism</w:t>
        </w:r>
      </w:hyperlink>
      <w:r>
        <w:rPr>
          <w:rFonts w:eastAsia="Arial" w:ascii="Arial" w:hAnsi="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falsifying records, laboratory work, or other course data;</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altering or interfering with grading procedures;</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assisting another student in any of the above;</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replacing words or phrases from another source and inserting your own words or phrases.</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 xml:space="preserve">Classroom Conduct Standards: </w:t>
      </w:r>
      <w:r>
        <w:rPr>
          <w:rFonts w:eastAsia="Arial" w:ascii="Arial" w:hAnsi="Arial" w:asciiTheme="minorBidi" w:hAnsiTheme="minorBidi"/>
          <w:sz w:val="20"/>
          <w:szCs w:val="20"/>
          <w:shd w:fill="F4CCCC" w:val="clear"/>
        </w:rPr>
        <w:t xml:space="preserve"> SDSU students are expected to abide by the terms of the </w:t>
      </w:r>
      <w:hyperlink r:id="rId17">
        <w:r>
          <w:rPr>
            <w:rStyle w:val="Hyperlink"/>
            <w:rFonts w:eastAsia="Arial" w:ascii="Arial" w:hAnsi="Arial" w:asciiTheme="minorBidi" w:hAnsiTheme="minorBidi"/>
            <w:color w:val="000000"/>
            <w:sz w:val="20"/>
            <w:szCs w:val="20"/>
            <w:shd w:fill="F4CCCC" w:val="clear"/>
          </w:rPr>
          <w:t>Student Conduct Code</w:t>
        </w:r>
      </w:hyperlink>
      <w:r>
        <w:rPr>
          <w:rFonts w:eastAsia="Arial" w:ascii="Arial" w:hAnsi="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physical abuse, threats, intimidation, or harassment.</w:t>
      </w:r>
    </w:p>
    <w:p>
      <w:pPr>
        <w:pStyle w:val="Normal"/>
        <w:numPr>
          <w:ilvl w:val="1"/>
          <w:numId w:val="4"/>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sexual misconduct.</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rFonts w:ascii="Arial" w:hAnsi="Arial" w:asciiTheme="minorBidi" w:hAnsiTheme="minorBidi"/>
          <w:sz w:val="20"/>
          <w:szCs w:val="20"/>
        </w:rPr>
      </w:pPr>
      <w:r>
        <w:rPr>
          <w:rFonts w:asciiTheme="minorBidi" w:hAnsiTheme="minorBidi" w:ascii="Arial" w:hAnsi="Arial"/>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Times New Roman"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150</TotalTime>
  <Application>LibreOffice/24.2.5.2$Linux_X86_64 LibreOffice_project/420$Build-2</Application>
  <AppVersion>15.0000</AppVersion>
  <Pages>4</Pages>
  <Words>1311</Words>
  <Characters>7627</Characters>
  <CharactersWithSpaces>8897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2024-08-22T15:15:08Z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