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header3.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before="3" w:after="0"/>
        <w:jc w:val="center"/>
        <w:rPr/>
      </w:pPr>
      <w:r>
        <mc:AlternateContent>
          <mc:Choice Requires="wpg">
            <w:drawing>
              <wp:anchor behindDoc="1" distT="0" distB="0" distL="0" distR="0" simplePos="0" locked="0" layoutInCell="0" allowOverlap="1" relativeHeight="2" wp14:anchorId="15D3C069">
                <wp:simplePos x="0" y="0"/>
                <wp:positionH relativeFrom="page">
                  <wp:posOffset>756285</wp:posOffset>
                </wp:positionH>
                <wp:positionV relativeFrom="paragraph">
                  <wp:posOffset>-363855</wp:posOffset>
                </wp:positionV>
                <wp:extent cx="6048375" cy="0"/>
                <wp:effectExtent l="7620" t="7620" r="7620" b="7620"/>
                <wp:wrapNone/>
                <wp:docPr id="1" name="Group 1"/>
                <a:graphic xmlns:a="http://schemas.openxmlformats.org/drawingml/2006/main">
                  <a:graphicData uri="http://schemas.microsoft.com/office/word/2010/wordprocessingGroup">
                    <wpg:wgp>
                      <wpg:cNvGrpSpPr/>
                      <wpg:grpSpPr>
                        <a:xfrm>
                          <a:off x="0" y="0"/>
                          <a:ext cx="6048360" cy="0"/>
                          <a:chOff x="0" y="0"/>
                          <a:chExt cx="6048360" cy="0"/>
                        </a:xfrm>
                      </wpg:grpSpPr>
                      <wps:wsp>
                        <wps:cNvSpPr/>
                        <wps:spPr>
                          <a:xfrm>
                            <a:off x="0" y="0"/>
                            <a:ext cx="6048360" cy="0"/>
                          </a:xfrm>
                          <a:prstGeom prst="line">
                            <a:avLst/>
                          </a:prstGeom>
                          <a:ln w="14760">
                            <a:solidFill>
                              <a:srgbClr val="b8b8b8"/>
                            </a:solidFill>
                            <a:round/>
                          </a:ln>
                        </wps:spPr>
                        <wps:style>
                          <a:lnRef idx="0"/>
                          <a:fillRef idx="0"/>
                          <a:effectRef idx="0"/>
                          <a:fontRef idx="minor"/>
                        </wps:style>
                        <wps:bodyPr/>
                      </wps:wsp>
                    </wpg:wgp>
                  </a:graphicData>
                </a:graphic>
              </wp:anchor>
            </w:drawing>
          </mc:Choice>
          <mc:Fallback>
            <w:pict>
              <v:group id="shape_0" alt="Group 1" style="position:absolute;margin-left:59.6pt;margin-top:-28.65pt;width:476.2pt;height:0pt" coordorigin="1192,-573" coordsize="9524,0">
                <v:line id="shape_0" from="1191,-573" to="10715,-573" ID="Straight Connector 2" stroked="t" o:allowincell="f" style="position:absolute;mso-position-horizontal-relative:page">
                  <v:stroke color="#b8b8b8" weight="14760" joinstyle="round" endcap="flat"/>
                  <v:fill o:detectmouseclick="t" on="false"/>
                  <w10:wrap type="none"/>
                </v:line>
              </v:group>
            </w:pict>
          </mc:Fallback>
        </mc:AlternateContent>
      </w:r>
      <w:r>
        <w:rPr/>
        <w:t>Math 596 – Mathematical Data Science</w:t>
      </w:r>
    </w:p>
    <w:p>
      <w:pPr>
        <w:pStyle w:val="Title"/>
        <w:jc w:val="center"/>
        <w:rPr/>
      </w:pPr>
      <w:r>
        <w:rPr/>
        <w:t>Fall 202</w:t>
      </w:r>
      <w:r>
        <w:rPr/>
        <w:t>4</w:t>
      </w:r>
    </w:p>
    <w:p>
      <w:pPr>
        <w:pStyle w:val="Normal"/>
        <w:spacing w:before="6" w:after="0"/>
        <w:rPr>
          <w:sz w:val="48"/>
          <w:szCs w:val="48"/>
        </w:rPr>
      </w:pPr>
      <w:r>
        <w:rPr>
          <w:sz w:val="48"/>
          <w:szCs w:val="48"/>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bookmarkStart w:id="0" w:name="Instructor"/>
      <w:bookmarkStart w:id="1" w:name="Instructor"/>
      <w:bookmarkEnd w:id="1"/>
    </w:p>
    <w:p>
      <w:pPr>
        <w:pStyle w:val="Heading1"/>
        <w:spacing w:before="67" w:after="0"/>
        <w:ind w:left="1385" w:right="626"/>
        <w:rPr/>
      </w:pPr>
      <w:bookmarkStart w:id="2" w:name="Instructor"/>
      <w:bookmarkEnd w:id="2"/>
      <w:r>
        <mc:AlternateContent>
          <mc:Choice Requires="wpg">
            <w:drawing>
              <wp:anchor behindDoc="1" distT="0" distB="0" distL="0" distR="0" simplePos="0" locked="0" layoutInCell="0" allowOverlap="1" relativeHeight="3" wp14:anchorId="642B817C">
                <wp:simplePos x="0" y="0"/>
                <wp:positionH relativeFrom="page">
                  <wp:posOffset>756285</wp:posOffset>
                </wp:positionH>
                <wp:positionV relativeFrom="paragraph">
                  <wp:posOffset>156845</wp:posOffset>
                </wp:positionV>
                <wp:extent cx="763905" cy="635"/>
                <wp:effectExtent l="26670" t="26670" r="26670" b="26670"/>
                <wp:wrapNone/>
                <wp:docPr id="2" name="Group 3"/>
                <a:graphic xmlns:a="http://schemas.openxmlformats.org/drawingml/2006/main">
                  <a:graphicData uri="http://schemas.microsoft.com/office/word/2010/wordprocessingGroup">
                    <wpg:wgp>
                      <wpg:cNvGrpSpPr/>
                      <wpg:grpSpPr>
                        <a:xfrm>
                          <a:off x="0" y="0"/>
                          <a:ext cx="763920" cy="720"/>
                          <a:chOff x="0" y="0"/>
                          <a:chExt cx="763920" cy="720"/>
                        </a:xfrm>
                      </wpg:grpSpPr>
                      <wps:wsp>
                        <wps:cNvSpPr/>
                        <wps:spPr>
                          <a:xfrm>
                            <a:off x="0" y="0"/>
                            <a:ext cx="763920" cy="720"/>
                          </a:xfrm>
                          <a:prstGeom prst="line">
                            <a:avLst/>
                          </a:prstGeom>
                          <a:ln w="52560">
                            <a:solidFill>
                              <a:srgbClr val="f23333"/>
                            </a:solidFill>
                            <a:round/>
                          </a:ln>
                        </wps:spPr>
                        <wps:style>
                          <a:lnRef idx="0"/>
                          <a:fillRef idx="0"/>
                          <a:effectRef idx="0"/>
                          <a:fontRef idx="minor"/>
                        </wps:style>
                        <wps:bodyPr/>
                      </wps:wsp>
                    </wpg:wgp>
                  </a:graphicData>
                </a:graphic>
              </wp:anchor>
            </w:drawing>
          </mc:Choice>
          <mc:Fallback>
            <w:pict>
              <v:group id="shape_0" alt="Group 3" style="position:absolute;margin-left:59.6pt;margin-top:12.35pt;width:60.1pt;height:0pt" coordorigin="1192,247" coordsize="1202,0">
                <v:line id="shape_0" from="1191,247" to="2393,247" ID="Straight Connector 4" stroked="t" o:allowincell="f" style="position:absolute;mso-position-horizontal-relative:page">
                  <v:stroke color="#f23333" weight="52560" joinstyle="round" endcap="flat"/>
                  <v:fill o:detectmouseclick="t" on="false"/>
                  <w10:wrap type="none"/>
                </v:line>
              </v:group>
            </w:pict>
          </mc:Fallback>
        </mc:AlternateContent>
      </w:r>
      <w:r>
        <w:rPr>
          <w:color w:val="F23333"/>
          <w:w w:val="105"/>
        </w:rPr>
        <w:t>Instructor</w:t>
      </w:r>
    </w:p>
    <w:p>
      <w:pPr>
        <w:pStyle w:val="Heading2"/>
        <w:rPr>
          <w:b/>
          <w:bCs/>
        </w:rPr>
      </w:pPr>
      <w:r>
        <w:rPr/>
        <w:t>Dr. Christopher W. Curtis</w:t>
      </w:r>
    </w:p>
    <w:p>
      <w:pPr>
        <w:pStyle w:val="BodyText"/>
        <w:rPr>
          <w:w w:val="95"/>
        </w:rPr>
      </w:pPr>
      <w:r>
        <w:rPr>
          <w:rStyle w:val="Heading2Char"/>
        </w:rPr>
        <w:t>Office</w:t>
      </w:r>
      <w:r>
        <w:rPr/>
        <w:t xml:space="preserve">:   </w:t>
      </w:r>
      <w:r>
        <w:rPr>
          <w:spacing w:val="13"/>
          <w:w w:val="95"/>
        </w:rPr>
        <w:tab/>
      </w:r>
      <w:r>
        <w:rPr>
          <w:w w:val="95"/>
        </w:rPr>
        <w:t>GMCS-591</w:t>
      </w:r>
    </w:p>
    <w:p>
      <w:pPr>
        <w:pStyle w:val="BodyText"/>
        <w:rPr/>
      </w:pPr>
      <w:r>
        <w:rPr>
          <w:rStyle w:val="Heading2Char"/>
        </w:rPr>
        <w:t>Phone</w:t>
      </w:r>
      <w:r>
        <w:rPr/>
        <w:t xml:space="preserve">: </w:t>
      </w:r>
      <w:r>
        <w:rPr>
          <w:spacing w:val="50"/>
          <w:w w:val="95"/>
        </w:rPr>
        <w:tab/>
      </w:r>
      <w:r>
        <w:rPr>
          <w:w w:val="95"/>
        </w:rPr>
        <w:t>619-594-5962</w:t>
      </w:r>
    </w:p>
    <w:p>
      <w:pPr>
        <w:pStyle w:val="BodyText"/>
        <w:rPr/>
      </w:pPr>
      <w:r>
        <w:rPr>
          <w:rStyle w:val="Heading2Char"/>
        </w:rPr>
        <w:t>Email</w:t>
      </w:r>
      <w:r>
        <w:rPr/>
        <w:t xml:space="preserve">:   </w:t>
      </w:r>
      <w:r>
        <w:rPr>
          <w:spacing w:val="27"/>
          <w:w w:val="95"/>
        </w:rPr>
        <w:tab/>
      </w:r>
      <w:hyperlink r:id="rId2">
        <w:r>
          <w:rPr>
            <w:rStyle w:val="Hyperlink"/>
            <w:w w:val="95"/>
          </w:rPr>
          <w:t>ccurtis@sdsu.edu</w:t>
        </w:r>
      </w:hyperlink>
    </w:p>
    <w:p>
      <w:pPr>
        <w:pStyle w:val="BodyText"/>
        <w:rPr>
          <w:sz w:val="14"/>
          <w:szCs w:val="14"/>
        </w:rPr>
      </w:pPr>
      <w:r>
        <w:rPr>
          <w:sz w:val="14"/>
          <w:szCs w:val="14"/>
        </w:rPr>
      </w:r>
    </w:p>
    <w:p>
      <w:pPr>
        <w:pStyle w:val="BodyText"/>
        <w:rPr/>
      </w:pPr>
      <w:r>
        <w:rPr/>
      </w:r>
    </w:p>
    <w:p>
      <w:pPr>
        <w:pStyle w:val="BodyText"/>
        <w:rPr/>
      </w:pPr>
      <w:r>
        <w:rPr>
          <w:rStyle w:val="Heading2Char"/>
        </w:rPr>
        <w:t>Lectures</w:t>
      </w:r>
      <w:r>
        <w:rPr/>
        <w:t xml:space="preserve">:  </w:t>
      </w:r>
      <w:r>
        <w:rPr>
          <w:spacing w:val="16"/>
        </w:rPr>
        <w:tab/>
        <w:t xml:space="preserve">GMCS 325, </w:t>
      </w:r>
      <w:r>
        <w:rPr/>
        <w:t>MWF, 12:00-12:50</w:t>
      </w:r>
    </w:p>
    <w:p>
      <w:pPr>
        <w:pStyle w:val="BodyText"/>
        <w:jc w:val="both"/>
        <w:rPr>
          <w:w w:val="105"/>
        </w:rPr>
      </w:pPr>
      <w:r>
        <w:rPr>
          <w:rStyle w:val="Heading2Char"/>
        </w:rPr>
        <w:t>Office hours</w:t>
      </w:r>
      <w:r>
        <w:rPr/>
        <w:t xml:space="preserve">: </w:t>
      </w:r>
      <w:r>
        <w:rPr>
          <w:spacing w:val="6"/>
          <w:w w:val="105"/>
        </w:rPr>
        <w:tab/>
      </w:r>
      <w:r>
        <w:rPr/>
        <w:t>TBD</w:t>
      </w:r>
    </w:p>
    <w:p>
      <w:pPr>
        <w:pStyle w:val="BodyText"/>
        <w:spacing w:before="59" w:after="0"/>
        <w:ind w:left="116"/>
        <w:rPr/>
      </w:pPr>
      <w:r>
        <w:rPr/>
      </w:r>
      <w:bookmarkStart w:id="3" w:name="Course_-_Practical_information"/>
      <w:bookmarkStart w:id="4" w:name="Course_-_Practical_information"/>
      <w:bookmarkEnd w:id="4"/>
    </w:p>
    <w:p>
      <w:pPr>
        <w:pStyle w:val="Heading1"/>
        <w:ind w:left="1385" w:right="626"/>
        <w:rPr/>
      </w:pPr>
      <w:bookmarkStart w:id="5" w:name="Course_-_Practical_information"/>
      <w:bookmarkEnd w:id="5"/>
      <w:r>
        <mc:AlternateContent>
          <mc:Choice Requires="wpg">
            <w:drawing>
              <wp:anchor behindDoc="1" distT="0" distB="0" distL="0" distR="0" simplePos="0" locked="0" layoutInCell="0" allowOverlap="1" relativeHeight="4" wp14:anchorId="263E7384">
                <wp:simplePos x="0" y="0"/>
                <wp:positionH relativeFrom="page">
                  <wp:posOffset>756285</wp:posOffset>
                </wp:positionH>
                <wp:positionV relativeFrom="paragraph">
                  <wp:posOffset>114300</wp:posOffset>
                </wp:positionV>
                <wp:extent cx="763905" cy="635"/>
                <wp:effectExtent l="26670" t="26670" r="26670" b="26670"/>
                <wp:wrapNone/>
                <wp:docPr id="3" name="Group 5"/>
                <a:graphic xmlns:a="http://schemas.openxmlformats.org/drawingml/2006/main">
                  <a:graphicData uri="http://schemas.microsoft.com/office/word/2010/wordprocessingGroup">
                    <wpg:wgp>
                      <wpg:cNvGrpSpPr/>
                      <wpg:grpSpPr>
                        <a:xfrm>
                          <a:off x="0" y="0"/>
                          <a:ext cx="763920" cy="720"/>
                          <a:chOff x="0" y="0"/>
                          <a:chExt cx="763920" cy="720"/>
                        </a:xfrm>
                      </wpg:grpSpPr>
                      <wps:wsp>
                        <wps:cNvSpPr/>
                        <wps:spPr>
                          <a:xfrm>
                            <a:off x="0" y="0"/>
                            <a:ext cx="763920" cy="720"/>
                          </a:xfrm>
                          <a:prstGeom prst="line">
                            <a:avLst/>
                          </a:prstGeom>
                          <a:ln w="52560">
                            <a:solidFill>
                              <a:srgbClr val="f23333"/>
                            </a:solidFill>
                            <a:round/>
                          </a:ln>
                        </wps:spPr>
                        <wps:style>
                          <a:lnRef idx="0"/>
                          <a:fillRef idx="0"/>
                          <a:effectRef idx="0"/>
                          <a:fontRef idx="minor"/>
                        </wps:style>
                        <wps:bodyPr/>
                      </wps:wsp>
                    </wpg:wgp>
                  </a:graphicData>
                </a:graphic>
              </wp:anchor>
            </w:drawing>
          </mc:Choice>
          <mc:Fallback>
            <w:pict>
              <v:group id="shape_0" alt="Group 5" style="position:absolute;margin-left:59.6pt;margin-top:9pt;width:60.1pt;height:0pt" coordorigin="1192,180" coordsize="1202,0">
                <v:line id="shape_0" from="1191,180" to="2393,180" ID="Straight Connector 6" stroked="t" o:allowincell="f" style="position:absolute;mso-position-horizontal-relative:page">
                  <v:stroke color="#f23333" weight="52560" joinstyle="round" endcap="flat"/>
                  <v:fill o:detectmouseclick="t" on="false"/>
                  <w10:wrap type="none"/>
                </v:line>
              </v:group>
            </w:pict>
          </mc:Fallback>
        </mc:AlternateContent>
      </w:r>
      <w:r>
        <w:rPr>
          <w:color w:val="F23333"/>
        </w:rPr>
        <w:t>Course</w:t>
      </w:r>
      <w:r>
        <w:rPr>
          <w:color w:val="F23333"/>
          <w:spacing w:val="15"/>
        </w:rPr>
        <w:t xml:space="preserve"> </w:t>
      </w:r>
      <w:r>
        <w:rPr>
          <w:color w:val="F23333"/>
        </w:rPr>
        <w:t>-</w:t>
      </w:r>
      <w:r>
        <w:rPr>
          <w:color w:val="F23333"/>
          <w:spacing w:val="16"/>
        </w:rPr>
        <w:t xml:space="preserve"> </w:t>
      </w:r>
      <w:r>
        <w:rPr>
          <w:color w:val="F23333"/>
        </w:rPr>
        <w:t>Practical</w:t>
      </w:r>
      <w:r>
        <w:rPr>
          <w:color w:val="F23333"/>
          <w:spacing w:val="16"/>
        </w:rPr>
        <w:t xml:space="preserve"> </w:t>
      </w:r>
      <w:r>
        <w:rPr>
          <w:color w:val="F23333"/>
        </w:rPr>
        <w:t>information</w:t>
      </w:r>
    </w:p>
    <w:p>
      <w:pPr>
        <w:pStyle w:val="BodyText"/>
        <w:jc w:val="both"/>
        <w:rPr/>
      </w:pPr>
      <w:r>
        <w:rPr>
          <w:rStyle w:val="Heading2Char"/>
        </w:rPr>
        <w:t>Website</w:t>
      </w:r>
      <w:r>
        <w:rPr/>
        <w:t xml:space="preserve">: </w:t>
        <w:tab/>
        <w:t>See Canvas Site</w:t>
      </w:r>
    </w:p>
    <w:p>
      <w:pPr>
        <w:pStyle w:val="BodyText"/>
        <w:ind w:hanging="1320" w:left="1439"/>
        <w:jc w:val="both"/>
        <w:rPr/>
      </w:pPr>
      <w:r>
        <w:rPr>
          <w:rStyle w:val="Heading2Char"/>
        </w:rPr>
        <w:t>Textbook</w:t>
      </w:r>
      <w:r>
        <w:rPr/>
        <w:t xml:space="preserve">: </w:t>
        <w:tab/>
        <w:t>Data-Driven Science and Engineering, Machine Learning, Dynamical Systems, and Control by Steven L. Brunton, J. Nathan Kutz</w:t>
      </w:r>
    </w:p>
    <w:p>
      <w:pPr>
        <w:pStyle w:val="BodyText"/>
        <w:jc w:val="both"/>
        <w:rPr/>
      </w:pPr>
      <w:r>
        <w:rPr>
          <w:rStyle w:val="Heading2Char"/>
        </w:rPr>
        <w:t>Prerequisite</w:t>
      </w:r>
      <w:r>
        <w:rPr/>
        <w:t xml:space="preserve">: </w:t>
        <w:tab/>
        <w:t>Math 340 or equivalent, and Math 254 or equivalent</w:t>
      </w:r>
    </w:p>
    <w:p>
      <w:pPr>
        <w:pStyle w:val="BodyText"/>
        <w:jc w:val="both"/>
        <w:rPr/>
      </w:pPr>
      <w:r>
        <w:rPr/>
      </w:r>
      <w:bookmarkStart w:id="6" w:name="Grading"/>
      <w:bookmarkStart w:id="7" w:name="Grading"/>
      <w:bookmarkEnd w:id="7"/>
    </w:p>
    <w:p>
      <w:pPr>
        <w:pStyle w:val="Heading1"/>
        <w:ind w:left="1385" w:right="626"/>
        <w:rPr/>
      </w:pPr>
      <w:bookmarkStart w:id="8" w:name="Grading"/>
      <w:bookmarkEnd w:id="8"/>
      <w:r>
        <mc:AlternateContent>
          <mc:Choice Requires="wpg">
            <w:drawing>
              <wp:anchor behindDoc="1" distT="0" distB="0" distL="0" distR="0" simplePos="0" locked="0" layoutInCell="0" allowOverlap="1" relativeHeight="5" wp14:anchorId="3777437F">
                <wp:simplePos x="0" y="0"/>
                <wp:positionH relativeFrom="page">
                  <wp:posOffset>756285</wp:posOffset>
                </wp:positionH>
                <wp:positionV relativeFrom="paragraph">
                  <wp:posOffset>114300</wp:posOffset>
                </wp:positionV>
                <wp:extent cx="763905" cy="635"/>
                <wp:effectExtent l="26670" t="26670" r="26670" b="26670"/>
                <wp:wrapNone/>
                <wp:docPr id="4" name="Group 7"/>
                <a:graphic xmlns:a="http://schemas.openxmlformats.org/drawingml/2006/main">
                  <a:graphicData uri="http://schemas.microsoft.com/office/word/2010/wordprocessingGroup">
                    <wpg:wgp>
                      <wpg:cNvGrpSpPr/>
                      <wpg:grpSpPr>
                        <a:xfrm>
                          <a:off x="0" y="0"/>
                          <a:ext cx="763920" cy="720"/>
                          <a:chOff x="0" y="0"/>
                          <a:chExt cx="763920" cy="720"/>
                        </a:xfrm>
                      </wpg:grpSpPr>
                      <wps:wsp>
                        <wps:cNvSpPr/>
                        <wps:spPr>
                          <a:xfrm>
                            <a:off x="0" y="0"/>
                            <a:ext cx="763920" cy="720"/>
                          </a:xfrm>
                          <a:prstGeom prst="line">
                            <a:avLst/>
                          </a:prstGeom>
                          <a:ln w="52560">
                            <a:solidFill>
                              <a:srgbClr val="f23333"/>
                            </a:solidFill>
                            <a:round/>
                          </a:ln>
                        </wps:spPr>
                        <wps:style>
                          <a:lnRef idx="0"/>
                          <a:fillRef idx="0"/>
                          <a:effectRef idx="0"/>
                          <a:fontRef idx="minor"/>
                        </wps:style>
                        <wps:bodyPr/>
                      </wps:wsp>
                    </wpg:wgp>
                  </a:graphicData>
                </a:graphic>
              </wp:anchor>
            </w:drawing>
          </mc:Choice>
          <mc:Fallback>
            <w:pict>
              <v:group id="shape_0" alt="Group 7" style="position:absolute;margin-left:59.6pt;margin-top:9pt;width:60.1pt;height:0pt" coordorigin="1192,180" coordsize="1202,0">
                <v:line id="shape_0" from="1191,180" to="2393,180" ID="Straight Connector 8" stroked="t" o:allowincell="f" style="position:absolute;mso-position-horizontal-relative:page">
                  <v:stroke color="#f23333" weight="52560" joinstyle="round" endcap="flat"/>
                  <v:fill o:detectmouseclick="t" on="false"/>
                  <w10:wrap type="none"/>
                </v:line>
              </v:group>
            </w:pict>
          </mc:Fallback>
        </mc:AlternateContent>
      </w:r>
      <w:r>
        <w:rPr>
          <w:color w:val="F23333"/>
        </w:rPr>
        <w:t>Grading</w:t>
      </w:r>
    </w:p>
    <w:p>
      <w:pPr>
        <w:pStyle w:val="BodyText"/>
        <w:ind w:left="0"/>
        <w:jc w:val="both"/>
        <w:rPr/>
      </w:pPr>
      <w:r>
        <w:rPr>
          <w:rStyle w:val="Heading2Char"/>
        </w:rPr>
        <w:t xml:space="preserve">  </w:t>
      </w:r>
      <w:r>
        <w:rPr>
          <w:rStyle w:val="Heading2Char"/>
        </w:rPr>
        <w:t>Homework:</w:t>
      </w:r>
      <w:r>
        <w:rPr/>
        <w:t xml:space="preserve"> Eleven homework assignments will be given throughout the semester.  Each assignment will have at least two extra problems at the graduate student level that are mandatory for graduate students and optional for all other students.  </w:t>
      </w:r>
    </w:p>
    <w:p>
      <w:pPr>
        <w:pStyle w:val="BodyText"/>
        <w:ind w:left="0"/>
        <w:jc w:val="both"/>
        <w:rPr>
          <w:rStyle w:val="Heading2Char"/>
        </w:rPr>
      </w:pPr>
      <w:r>
        <w:rPr>
          <w:rStyle w:val="Heading2Char"/>
        </w:rPr>
        <w:t xml:space="preserve"> </w:t>
      </w:r>
    </w:p>
    <w:p>
      <w:pPr>
        <w:pStyle w:val="BodyText"/>
        <w:ind w:left="0"/>
        <w:jc w:val="both"/>
        <w:rPr/>
      </w:pPr>
      <w:r>
        <w:rPr>
          <w:rStyle w:val="Heading2Char"/>
        </w:rPr>
        <w:t xml:space="preserve">  </w:t>
      </w:r>
      <w:r>
        <w:rPr>
          <w:rStyle w:val="Heading2Char"/>
        </w:rPr>
        <w:t>Final Project</w:t>
      </w:r>
      <w:r>
        <w:rPr/>
        <w:t>: Students will develop a final project based on how their particular interests intersect with    mathematical data science.  The project will consist of a t</w:t>
      </w:r>
      <w:r>
        <w:rPr/>
        <w:t>welve</w:t>
      </w:r>
      <w:r>
        <w:rPr/>
        <w:t xml:space="preserve"> page paper as well as a 25 minute presentation of results.  </w:t>
      </w:r>
      <w:r>
        <w:rPr/>
        <w:t xml:space="preserve">For the twelve page paper, ten pages should address technical matters while two pages, using the linked reading material in Canvas, should be dedicated to exploring how data driven technologies can exacerbate or create societal inequities.   </w:t>
      </w:r>
    </w:p>
    <w:p>
      <w:pPr>
        <w:pStyle w:val="BodyText"/>
        <w:rPr/>
      </w:pPr>
      <w:r>
        <w:rPr/>
      </w:r>
    </w:p>
    <w:p>
      <w:pPr>
        <w:pStyle w:val="BodyText"/>
        <w:ind w:left="0"/>
        <w:rPr/>
      </w:pPr>
      <w:r>
        <w:rPr>
          <w:rStyle w:val="Heading2Char"/>
        </w:rPr>
        <w:t xml:space="preserve">  </w:t>
      </w:r>
      <w:r>
        <w:rPr>
          <w:rStyle w:val="Heading2Char"/>
        </w:rPr>
        <w:t>Final grade</w:t>
      </w:r>
      <w:r>
        <w:rPr/>
        <w:t xml:space="preserve">:  </w:t>
      </w:r>
      <w:r>
        <w:rPr>
          <w:w w:val="95"/>
        </w:rPr>
        <w:t>Final</w:t>
      </w:r>
      <w:r>
        <w:rPr/>
        <w:t xml:space="preserve"> </w:t>
      </w:r>
      <w:r>
        <w:rPr>
          <w:spacing w:val="4"/>
          <w:w w:val="95"/>
        </w:rPr>
        <w:t>p</w:t>
      </w:r>
      <w:r>
        <w:rPr>
          <w:w w:val="95"/>
        </w:rPr>
        <w:t>erce</w:t>
      </w:r>
      <w:r>
        <w:rPr>
          <w:spacing w:val="-7"/>
          <w:w w:val="95"/>
        </w:rPr>
        <w:t>n</w:t>
      </w:r>
      <w:r>
        <w:rPr>
          <w:w w:val="95"/>
        </w:rPr>
        <w:t>tages</w:t>
      </w:r>
      <w:r>
        <w:rPr/>
        <w:t xml:space="preserve"> </w:t>
      </w:r>
      <w:r>
        <w:rPr>
          <w:w w:val="95"/>
        </w:rPr>
        <w:t>will</w:t>
      </w:r>
      <w:r>
        <w:rPr/>
        <w:t xml:space="preserve"> </w:t>
      </w:r>
      <w:r>
        <w:rPr>
          <w:spacing w:val="4"/>
          <w:w w:val="95"/>
        </w:rPr>
        <w:t>b</w:t>
      </w:r>
      <w:r>
        <w:rPr>
          <w:w w:val="95"/>
        </w:rPr>
        <w:t>e</w:t>
      </w:r>
      <w:r>
        <w:rPr/>
        <w:t xml:space="preserve"> </w:t>
      </w:r>
      <w:r>
        <w:rPr>
          <w:w w:val="95"/>
        </w:rPr>
        <w:t>computed according to</w:t>
      </w:r>
      <w:r>
        <w:rPr/>
        <w:t xml:space="preserve"> </w:t>
      </w:r>
      <w:r>
        <w:rPr>
          <w:w w:val="95"/>
        </w:rPr>
        <w:t>the</w:t>
      </w:r>
      <w:r>
        <w:rPr/>
        <w:t xml:space="preserve"> </w:t>
      </w:r>
      <w:r>
        <w:rPr>
          <w:w w:val="95"/>
        </w:rPr>
        <w:t>foll</w:t>
      </w:r>
      <w:r>
        <w:rPr>
          <w:spacing w:val="-6"/>
          <w:w w:val="95"/>
        </w:rPr>
        <w:t>o</w:t>
      </w:r>
      <w:r>
        <w:rPr>
          <w:w w:val="95"/>
        </w:rPr>
        <w:t>wing</w:t>
      </w:r>
      <w:r>
        <w:rPr/>
        <w:t xml:space="preserve"> </w:t>
      </w:r>
      <w:r>
        <w:rPr>
          <w:w w:val="95"/>
        </w:rPr>
        <w:t xml:space="preserve">rules - </w:t>
      </w:r>
    </w:p>
    <w:p>
      <w:pPr>
        <w:pStyle w:val="BodyText"/>
        <w:ind w:left="839"/>
        <w:jc w:val="center"/>
        <w:rPr/>
      </w:pPr>
      <w:r>
        <w:rPr>
          <w:w w:val="105"/>
        </w:rPr>
        <w:t>60% Homework</w:t>
      </w:r>
      <w:r>
        <w:rPr/>
        <w:t xml:space="preserve"> </w:t>
      </w:r>
      <w:r>
        <w:rPr>
          <w:w w:val="105"/>
        </w:rPr>
        <w:t>+</w:t>
      </w:r>
      <w:r>
        <w:rPr>
          <w:rFonts w:cs="Arial"/>
          <w:spacing w:val="-39"/>
          <w:w w:val="105"/>
        </w:rPr>
        <w:t xml:space="preserve">  </w:t>
      </w:r>
      <w:r>
        <w:rPr>
          <w:w w:val="105"/>
        </w:rPr>
        <w:t>40</w:t>
      </w:r>
      <w:r>
        <w:rPr>
          <w:rFonts w:cs="Arial"/>
          <w:w w:val="105"/>
        </w:rPr>
        <w:t xml:space="preserve">% </w:t>
      </w:r>
      <w:r>
        <w:rPr>
          <w:w w:val="105"/>
        </w:rPr>
        <w:t>Final Project</w:t>
      </w:r>
    </w:p>
    <w:p>
      <w:pPr>
        <w:pStyle w:val="BodyText"/>
        <w:rPr>
          <w:sz w:val="12"/>
          <w:szCs w:val="12"/>
        </w:rPr>
      </w:pPr>
      <w:r>
        <w:rPr>
          <w:sz w:val="12"/>
          <w:szCs w:val="12"/>
        </w:rPr>
      </w:r>
    </w:p>
    <w:p>
      <w:pPr>
        <w:pStyle w:val="BodyText"/>
        <w:rPr>
          <w:spacing w:val="17"/>
        </w:rPr>
      </w:pPr>
      <w:r>
        <w:rPr/>
        <w:t xml:space="preserve">The final grades will </w:t>
      </w:r>
      <w:r>
        <w:rPr>
          <w:spacing w:val="4"/>
        </w:rPr>
        <w:t>b</w:t>
      </w:r>
      <w:r>
        <w:rPr/>
        <w:t xml:space="preserve">e </w:t>
      </w:r>
      <w:r>
        <w:rPr>
          <w:spacing w:val="-7"/>
        </w:rPr>
        <w:t>c</w:t>
      </w:r>
      <w:r>
        <w:rPr/>
        <w:t xml:space="preserve">hosen according to </w:t>
      </w:r>
      <w:r>
        <w:rPr>
          <w:spacing w:val="17"/>
        </w:rPr>
        <w:t>the following scale:</w:t>
      </w:r>
    </w:p>
    <w:p>
      <w:pPr>
        <w:pStyle w:val="BodyText"/>
        <w:numPr>
          <w:ilvl w:val="0"/>
          <w:numId w:val="1"/>
        </w:numPr>
        <w:rPr/>
      </w:pPr>
      <w:r>
        <w:rPr/>
        <w:t>A: 90% and above</w:t>
      </w:r>
    </w:p>
    <w:p>
      <w:pPr>
        <w:pStyle w:val="BodyText"/>
        <w:numPr>
          <w:ilvl w:val="0"/>
          <w:numId w:val="1"/>
        </w:numPr>
        <w:rPr/>
      </w:pPr>
      <w:r>
        <w:rPr/>
        <w:t>B: 80% and above</w:t>
      </w:r>
    </w:p>
    <w:p>
      <w:pPr>
        <w:pStyle w:val="BodyText"/>
        <w:numPr>
          <w:ilvl w:val="0"/>
          <w:numId w:val="1"/>
        </w:numPr>
        <w:rPr/>
      </w:pPr>
      <w:r>
        <w:rPr/>
        <w:t>C: 70% and above</w:t>
      </w:r>
    </w:p>
    <w:p>
      <w:pPr>
        <w:pStyle w:val="BodyText"/>
        <w:numPr>
          <w:ilvl w:val="0"/>
          <w:numId w:val="1"/>
        </w:numPr>
        <w:rPr/>
      </w:pPr>
      <w:r>
        <w:rPr/>
        <w:t>D: 60% and above</w:t>
      </w:r>
    </w:p>
    <w:p>
      <w:pPr>
        <w:pStyle w:val="BodyText"/>
        <w:numPr>
          <w:ilvl w:val="0"/>
          <w:numId w:val="1"/>
        </w:numPr>
        <w:rPr/>
      </w:pPr>
      <w:r>
        <w:rPr/>
        <w:t>F: otherwise</w:t>
      </w:r>
    </w:p>
    <w:p>
      <w:pPr>
        <w:sectPr>
          <w:headerReference w:type="even" r:id="rId3"/>
          <w:headerReference w:type="default" r:id="rId4"/>
          <w:headerReference w:type="first" r:id="rId5"/>
          <w:type w:val="nextPage"/>
          <w:pgSz w:w="11906" w:h="16838"/>
          <w:pgMar w:left="1180" w:right="1060" w:gutter="0" w:header="720" w:top="1560" w:footer="0" w:bottom="1760"/>
          <w:pgNumType w:fmt="decimal"/>
          <w:formProt w:val="false"/>
          <w:textDirection w:val="lrTb"/>
          <w:docGrid w:type="default" w:linePitch="100" w:charSpace="4096"/>
        </w:sectPr>
      </w:pPr>
    </w:p>
    <w:p>
      <w:pPr>
        <w:pStyle w:val="BodyText"/>
        <w:ind w:left="0"/>
        <w:rPr/>
      </w:pPr>
      <w:r>
        <w:rPr/>
        <mc:AlternateContent>
          <mc:Choice Requires="wpg">
            <w:drawing>
              <wp:anchor behindDoc="1" distT="0" distB="0" distL="0" distR="0" simplePos="0" locked="0" layoutInCell="0" allowOverlap="1" relativeHeight="6" wp14:anchorId="44B27E3D">
                <wp:simplePos x="0" y="0"/>
                <wp:positionH relativeFrom="page">
                  <wp:posOffset>756285</wp:posOffset>
                </wp:positionH>
                <wp:positionV relativeFrom="paragraph">
                  <wp:posOffset>114300</wp:posOffset>
                </wp:positionV>
                <wp:extent cx="763905" cy="635"/>
                <wp:effectExtent l="26670" t="26670" r="26670" b="26670"/>
                <wp:wrapNone/>
                <wp:docPr id="5" name="Group 5"/>
                <a:graphic xmlns:a="http://schemas.openxmlformats.org/drawingml/2006/main">
                  <a:graphicData uri="http://schemas.microsoft.com/office/word/2010/wordprocessingGroup">
                    <wpg:wgp>
                      <wpg:cNvGrpSpPr/>
                      <wpg:grpSpPr>
                        <a:xfrm>
                          <a:off x="0" y="0"/>
                          <a:ext cx="763920" cy="720"/>
                          <a:chOff x="0" y="0"/>
                          <a:chExt cx="763920" cy="720"/>
                        </a:xfrm>
                      </wpg:grpSpPr>
                      <wps:wsp>
                        <wps:cNvSpPr/>
                        <wps:spPr>
                          <a:xfrm>
                            <a:off x="0" y="0"/>
                            <a:ext cx="763920" cy="720"/>
                          </a:xfrm>
                          <a:prstGeom prst="line">
                            <a:avLst/>
                          </a:prstGeom>
                          <a:ln w="52560">
                            <a:solidFill>
                              <a:srgbClr val="f23333"/>
                            </a:solidFill>
                            <a:round/>
                          </a:ln>
                        </wps:spPr>
                        <wps:style>
                          <a:lnRef idx="0"/>
                          <a:fillRef idx="0"/>
                          <a:effectRef idx="0"/>
                          <a:fontRef idx="minor"/>
                        </wps:style>
                        <wps:bodyPr/>
                      </wps:wsp>
                    </wpg:wgp>
                  </a:graphicData>
                </a:graphic>
              </wp:anchor>
            </w:drawing>
          </mc:Choice>
          <mc:Fallback>
            <w:pict>
              <v:group id="shape_0" alt="Group 5" style="position:absolute;margin-left:59.6pt;margin-top:9pt;width:60.1pt;height:0pt" coordorigin="1192,180" coordsize="1202,0">
                <v:line id="shape_0" from="1191,180" to="2393,180" ID="Straight Connector 14" stroked="t" o:allowincell="f" style="position:absolute;mso-position-horizontal-relative:page">
                  <v:stroke color="#f23333" weight="52560" joinstyle="round" endcap="flat"/>
                  <v:fill o:detectmouseclick="t" on="false"/>
                  <w10:wrap type="none"/>
                </v:line>
              </v:group>
            </w:pict>
          </mc:Fallback>
        </mc:AlternateContent>
      </w:r>
      <w:r>
        <w:rPr/>
        <w:t xml:space="preserve"> </w:t>
      </w:r>
    </w:p>
    <w:p>
      <w:pPr>
        <w:sectPr>
          <w:type w:val="continuous"/>
          <w:pgSz w:w="11906" w:h="16838"/>
          <w:pgMar w:left="1180" w:right="1060" w:gutter="0" w:header="720" w:top="1560" w:footer="0" w:bottom="1760"/>
          <w:cols w:num="2" w:equalWidth="false" w:sep="false">
            <w:col w:w="1318" w:space="40"/>
            <w:col w:w="8307"/>
          </w:cols>
          <w:formProt w:val="false"/>
          <w:textDirection w:val="lrTb"/>
          <w:docGrid w:type="default" w:linePitch="100" w:charSpace="4096"/>
        </w:sectPr>
      </w:pPr>
    </w:p>
    <w:p>
      <w:pPr>
        <w:pStyle w:val="Normal"/>
        <w:rPr/>
      </w:pPr>
      <w:r>
        <w:rPr/>
      </w:r>
    </w:p>
    <w:p>
      <w:pPr>
        <w:sectPr>
          <w:type w:val="continuous"/>
          <w:pgSz w:w="11906" w:h="16838"/>
          <w:pgMar w:left="1180" w:right="1060" w:gutter="0" w:header="720" w:top="1560" w:footer="0" w:bottom="1760"/>
          <w:formProt w:val="false"/>
          <w:textDirection w:val="lrTb"/>
          <w:docGrid w:type="default" w:linePitch="100" w:charSpace="4096"/>
        </w:sectPr>
      </w:pPr>
    </w:p>
    <w:p>
      <w:pPr>
        <w:pStyle w:val="BodyText"/>
        <w:ind w:left="0"/>
        <w:rPr/>
      </w:pPr>
      <w:r>
        <w:rPr/>
      </w:r>
    </w:p>
    <w:p>
      <w:pPr>
        <w:pStyle w:val="BodyText"/>
        <w:ind w:left="0"/>
        <w:jc w:val="both"/>
        <w:rPr/>
      </w:pPr>
      <w:r>
        <w:rPr/>
      </w:r>
    </w:p>
    <w:p>
      <w:pPr>
        <w:sectPr>
          <w:type w:val="continuous"/>
          <w:pgSz w:w="11906" w:h="16838"/>
          <w:pgMar w:left="1180" w:right="1060" w:gutter="0" w:header="720" w:top="1560" w:footer="0" w:bottom="1760"/>
          <w:cols w:num="2" w:equalWidth="false" w:sep="false">
            <w:col w:w="1324" w:space="40"/>
            <w:col w:w="8301"/>
          </w:cols>
          <w:formProt w:val="false"/>
          <w:textDirection w:val="lrTb"/>
          <w:docGrid w:type="default" w:linePitch="100" w:charSpace="4096"/>
        </w:sectPr>
      </w:pPr>
    </w:p>
    <w:p>
      <w:pPr>
        <w:pStyle w:val="Normal"/>
        <w:spacing w:lineRule="exact" w:line="190" w:before="9" w:after="0"/>
        <w:rPr>
          <w:sz w:val="19"/>
          <w:szCs w:val="19"/>
        </w:rPr>
      </w:pPr>
      <w:r>
        <w:rPr>
          <w:sz w:val="19"/>
          <w:szCs w:val="19"/>
        </w:rPr>
      </w:r>
      <w:bookmarkStart w:id="9" w:name="Course_outline"/>
      <w:bookmarkStart w:id="10" w:name="Course_outline"/>
      <w:bookmarkEnd w:id="10"/>
    </w:p>
    <w:p>
      <w:pPr>
        <w:pStyle w:val="Heading1"/>
        <w:ind w:left="1505"/>
        <w:rPr/>
      </w:pPr>
      <w:bookmarkStart w:id="11" w:name="Course_outline"/>
      <w:bookmarkEnd w:id="11"/>
      <w:r>
        <mc:AlternateContent>
          <mc:Choice Requires="wpg">
            <w:drawing>
              <wp:anchor behindDoc="1" distT="0" distB="0" distL="0" distR="0" simplePos="0" locked="0" layoutInCell="0" allowOverlap="1" relativeHeight="7" wp14:anchorId="6D2899D8">
                <wp:simplePos x="0" y="0"/>
                <wp:positionH relativeFrom="page">
                  <wp:posOffset>756285</wp:posOffset>
                </wp:positionH>
                <wp:positionV relativeFrom="paragraph">
                  <wp:posOffset>114300</wp:posOffset>
                </wp:positionV>
                <wp:extent cx="763905" cy="635"/>
                <wp:effectExtent l="26670" t="26670" r="26670" b="26670"/>
                <wp:wrapNone/>
                <wp:docPr id="6" name="Group 10"/>
                <a:graphic xmlns:a="http://schemas.openxmlformats.org/drawingml/2006/main">
                  <a:graphicData uri="http://schemas.microsoft.com/office/word/2010/wordprocessingGroup">
                    <wpg:wgp>
                      <wpg:cNvGrpSpPr/>
                      <wpg:grpSpPr>
                        <a:xfrm>
                          <a:off x="0" y="0"/>
                          <a:ext cx="763920" cy="720"/>
                          <a:chOff x="0" y="0"/>
                          <a:chExt cx="763920" cy="720"/>
                        </a:xfrm>
                      </wpg:grpSpPr>
                      <wps:wsp>
                        <wps:cNvSpPr/>
                        <wps:spPr>
                          <a:xfrm>
                            <a:off x="0" y="0"/>
                            <a:ext cx="763920" cy="720"/>
                          </a:xfrm>
                          <a:prstGeom prst="line">
                            <a:avLst/>
                          </a:prstGeom>
                          <a:ln w="52560">
                            <a:solidFill>
                              <a:srgbClr val="f23333"/>
                            </a:solidFill>
                            <a:round/>
                          </a:ln>
                        </wps:spPr>
                        <wps:style>
                          <a:lnRef idx="0"/>
                          <a:fillRef idx="0"/>
                          <a:effectRef idx="0"/>
                          <a:fontRef idx="minor"/>
                        </wps:style>
                        <wps:bodyPr/>
                      </wps:wsp>
                    </wpg:wgp>
                  </a:graphicData>
                </a:graphic>
              </wp:anchor>
            </w:drawing>
          </mc:Choice>
          <mc:Fallback>
            <w:pict>
              <v:group id="shape_0" alt="Group 10" style="position:absolute;margin-left:59.6pt;margin-top:9pt;width:60.1pt;height:0pt" coordorigin="1192,180" coordsize="1202,0">
                <v:line id="shape_0" from="1191,180" to="2393,180" ID="Straight Connector 16" stroked="t" o:allowincell="f" style="position:absolute;mso-position-horizontal-relative:page">
                  <v:stroke color="#f23333" weight="52560" joinstyle="round" endcap="flat"/>
                  <v:fill o:detectmouseclick="t" on="false"/>
                  <w10:wrap type="none"/>
                </v:line>
              </v:group>
            </w:pict>
          </mc:Fallback>
        </mc:AlternateContent>
      </w:r>
      <w:r>
        <w:rPr>
          <w:color w:val="F23333"/>
        </w:rPr>
        <w:t>Student Learning Objectives</w:t>
      </w:r>
    </w:p>
    <w:p>
      <w:pPr>
        <w:pStyle w:val="Default"/>
        <w:rPr>
          <w:sz w:val="20"/>
          <w:szCs w:val="20"/>
        </w:rPr>
      </w:pPr>
      <w:r>
        <w:rPr>
          <w:sz w:val="20"/>
          <w:szCs w:val="20"/>
        </w:rPr>
        <w:t xml:space="preserve">  </w:t>
      </w:r>
      <w:r>
        <w:rPr>
          <w:sz w:val="20"/>
          <w:szCs w:val="20"/>
        </w:rPr>
        <w:t xml:space="preserve">In this class, you will: </w:t>
      </w:r>
    </w:p>
    <w:p>
      <w:pPr>
        <w:pStyle w:val="Default"/>
        <w:numPr>
          <w:ilvl w:val="0"/>
          <w:numId w:val="2"/>
        </w:numPr>
        <w:spacing w:before="0" w:after="93"/>
        <w:rPr>
          <w:sz w:val="20"/>
          <w:szCs w:val="20"/>
        </w:rPr>
      </w:pPr>
      <w:r>
        <w:rPr>
          <w:sz w:val="20"/>
          <w:szCs w:val="20"/>
        </w:rPr>
        <w:t xml:space="preserve">Develop the linear algebraic theory of singular-value decompositions. </w:t>
      </w:r>
    </w:p>
    <w:p>
      <w:pPr>
        <w:pStyle w:val="Default"/>
        <w:numPr>
          <w:ilvl w:val="0"/>
          <w:numId w:val="2"/>
        </w:numPr>
        <w:spacing w:before="0" w:after="93"/>
        <w:rPr>
          <w:sz w:val="20"/>
          <w:szCs w:val="20"/>
        </w:rPr>
      </w:pPr>
      <w:r>
        <w:rPr>
          <w:sz w:val="20"/>
          <w:szCs w:val="20"/>
        </w:rPr>
        <w:t xml:space="preserve">Practice using singular-value decompositions for data analysis and compression.  </w:t>
      </w:r>
    </w:p>
    <w:p>
      <w:pPr>
        <w:pStyle w:val="Default"/>
        <w:numPr>
          <w:ilvl w:val="0"/>
          <w:numId w:val="2"/>
        </w:numPr>
        <w:spacing w:before="0" w:after="93"/>
        <w:rPr>
          <w:sz w:val="20"/>
          <w:szCs w:val="20"/>
        </w:rPr>
      </w:pPr>
      <w:r>
        <w:rPr>
          <w:sz w:val="20"/>
          <w:szCs w:val="20"/>
        </w:rPr>
        <w:t xml:space="preserve">Develop the analytic theory of Fourier and Wavelet transforms. </w:t>
      </w:r>
    </w:p>
    <w:p>
      <w:pPr>
        <w:pStyle w:val="Default"/>
        <w:numPr>
          <w:ilvl w:val="0"/>
          <w:numId w:val="2"/>
        </w:numPr>
        <w:spacing w:before="0" w:after="93"/>
        <w:rPr>
          <w:sz w:val="20"/>
          <w:szCs w:val="20"/>
        </w:rPr>
      </w:pPr>
      <w:r>
        <w:rPr>
          <w:sz w:val="20"/>
          <w:szCs w:val="20"/>
        </w:rPr>
        <w:t xml:space="preserve">Practice using Fourier and Wavelet transforms for data analysis and compression.  </w:t>
      </w:r>
    </w:p>
    <w:p>
      <w:pPr>
        <w:pStyle w:val="Default"/>
        <w:numPr>
          <w:ilvl w:val="0"/>
          <w:numId w:val="2"/>
        </w:numPr>
        <w:spacing w:before="0" w:after="93"/>
        <w:rPr>
          <w:sz w:val="20"/>
          <w:szCs w:val="20"/>
        </w:rPr>
      </w:pPr>
      <w:r>
        <w:rPr>
          <w:sz w:val="20"/>
          <w:szCs w:val="20"/>
        </w:rPr>
        <w:t xml:space="preserve">Develop techniques and theory for sparse regression. </w:t>
      </w:r>
    </w:p>
    <w:p>
      <w:pPr>
        <w:pStyle w:val="Default"/>
        <w:numPr>
          <w:ilvl w:val="0"/>
          <w:numId w:val="2"/>
        </w:numPr>
        <w:spacing w:before="0" w:after="93"/>
        <w:rPr>
          <w:sz w:val="20"/>
          <w:szCs w:val="20"/>
        </w:rPr>
      </w:pPr>
      <w:r>
        <w:rPr>
          <w:sz w:val="20"/>
          <w:szCs w:val="20"/>
        </w:rPr>
        <w:t xml:space="preserve">Practice using sparse regression for efficient data analysis. </w:t>
      </w:r>
    </w:p>
    <w:p>
      <w:pPr>
        <w:pStyle w:val="Default"/>
        <w:numPr>
          <w:ilvl w:val="0"/>
          <w:numId w:val="2"/>
        </w:numPr>
        <w:spacing w:before="0" w:after="93"/>
        <w:rPr>
          <w:sz w:val="20"/>
          <w:szCs w:val="20"/>
        </w:rPr>
      </w:pPr>
      <w:r>
        <w:rPr>
          <w:sz w:val="20"/>
          <w:szCs w:val="20"/>
        </w:rPr>
        <w:t>Develop the theory of nonlinear optimization and practice using it for various data fitting problems.</w:t>
      </w:r>
    </w:p>
    <w:p>
      <w:pPr>
        <w:pStyle w:val="Default"/>
        <w:numPr>
          <w:ilvl w:val="0"/>
          <w:numId w:val="2"/>
        </w:numPr>
        <w:spacing w:before="0" w:after="93"/>
        <w:rPr>
          <w:sz w:val="20"/>
          <w:szCs w:val="20"/>
        </w:rPr>
      </w:pPr>
      <w:r>
        <w:rPr>
          <w:sz w:val="20"/>
          <w:szCs w:val="20"/>
        </w:rPr>
        <w:t xml:space="preserve">Develop the theory of clustering and practice using it for problems in data classification.  </w:t>
      </w:r>
    </w:p>
    <w:p>
      <w:pPr>
        <w:pStyle w:val="Default"/>
        <w:numPr>
          <w:ilvl w:val="0"/>
          <w:numId w:val="2"/>
        </w:numPr>
        <w:spacing w:before="0" w:after="93"/>
        <w:rPr>
          <w:sz w:val="20"/>
          <w:szCs w:val="20"/>
        </w:rPr>
      </w:pPr>
      <w:r>
        <w:rPr>
          <w:sz w:val="20"/>
          <w:szCs w:val="20"/>
        </w:rPr>
        <w:t xml:space="preserve">Develop the theory of neural networks and practice using them for classification and prediction in dynamical systems.  </w:t>
      </w:r>
    </w:p>
    <w:p>
      <w:pPr>
        <w:pStyle w:val="Default"/>
        <w:numPr>
          <w:ilvl w:val="0"/>
          <w:numId w:val="2"/>
        </w:numPr>
        <w:spacing w:before="0" w:after="93"/>
        <w:rPr>
          <w:sz w:val="20"/>
          <w:szCs w:val="20"/>
        </w:rPr>
      </w:pPr>
      <w:r>
        <w:rPr>
          <w:sz w:val="20"/>
          <w:szCs w:val="20"/>
        </w:rPr>
        <w:t xml:space="preserve">List and analyze inequities created by modern data driven technology through the use of readings from “Weapons of Math Destruction”, “Automating Inequality”, or the writings of Timnit Gebru or similar scholars and researchers.  </w:t>
      </w:r>
    </w:p>
    <w:p>
      <w:pPr>
        <w:pStyle w:val="BodyText"/>
        <w:spacing w:lineRule="auto" w:line="247" w:before="78" w:after="0"/>
        <w:ind w:left="122" w:right="110"/>
        <w:jc w:val="both"/>
        <w:rPr>
          <w:sz w:val="19"/>
          <w:szCs w:val="19"/>
        </w:rPr>
      </w:pPr>
      <w:r>
        <w:rPr>
          <w:sz w:val="19"/>
          <w:szCs w:val="19"/>
        </w:rPr>
      </w:r>
    </w:p>
    <w:p>
      <w:pPr>
        <w:pStyle w:val="Heading1"/>
        <w:ind w:left="1505"/>
        <w:rPr/>
      </w:pPr>
      <w:r>
        <mc:AlternateContent>
          <mc:Choice Requires="wpg">
            <w:drawing>
              <wp:anchor behindDoc="1" distT="0" distB="0" distL="0" distR="0" simplePos="0" locked="0" layoutInCell="0" allowOverlap="1" relativeHeight="8" wp14:anchorId="09F5300C">
                <wp:simplePos x="0" y="0"/>
                <wp:positionH relativeFrom="page">
                  <wp:posOffset>756285</wp:posOffset>
                </wp:positionH>
                <wp:positionV relativeFrom="paragraph">
                  <wp:posOffset>114300</wp:posOffset>
                </wp:positionV>
                <wp:extent cx="763905" cy="635"/>
                <wp:effectExtent l="26670" t="26670" r="26670" b="26670"/>
                <wp:wrapNone/>
                <wp:docPr id="7" name="Group 11"/>
                <a:graphic xmlns:a="http://schemas.openxmlformats.org/drawingml/2006/main">
                  <a:graphicData uri="http://schemas.microsoft.com/office/word/2010/wordprocessingGroup">
                    <wpg:wgp>
                      <wpg:cNvGrpSpPr/>
                      <wpg:grpSpPr>
                        <a:xfrm>
                          <a:off x="0" y="0"/>
                          <a:ext cx="763920" cy="720"/>
                          <a:chOff x="0" y="0"/>
                          <a:chExt cx="763920" cy="720"/>
                        </a:xfrm>
                      </wpg:grpSpPr>
                      <wps:wsp>
                        <wps:cNvSpPr/>
                        <wps:spPr>
                          <a:xfrm>
                            <a:off x="0" y="0"/>
                            <a:ext cx="763920" cy="720"/>
                          </a:xfrm>
                          <a:prstGeom prst="line">
                            <a:avLst/>
                          </a:prstGeom>
                          <a:ln w="52560">
                            <a:solidFill>
                              <a:srgbClr val="f23333"/>
                            </a:solidFill>
                            <a:round/>
                          </a:ln>
                        </wps:spPr>
                        <wps:style>
                          <a:lnRef idx="0"/>
                          <a:fillRef idx="0"/>
                          <a:effectRef idx="0"/>
                          <a:fontRef idx="minor"/>
                        </wps:style>
                        <wps:bodyPr/>
                      </wps:wsp>
                    </wpg:wgp>
                  </a:graphicData>
                </a:graphic>
              </wp:anchor>
            </w:drawing>
          </mc:Choice>
          <mc:Fallback>
            <w:pict>
              <v:group id="shape_0" alt="Group 11" style="position:absolute;margin-left:59.6pt;margin-top:9pt;width:60.1pt;height:0pt" coordorigin="1192,180" coordsize="1202,0">
                <v:line id="shape_0" from="1191,180" to="2393,180" ID="Straight Connector 18" stroked="t" o:allowincell="f" style="position:absolute;mso-position-horizontal-relative:page">
                  <v:stroke color="#f23333" weight="52560" joinstyle="round" endcap="flat"/>
                  <v:fill o:detectmouseclick="t" on="false"/>
                  <w10:wrap type="none"/>
                </v:line>
              </v:group>
            </w:pict>
          </mc:Fallback>
        </mc:AlternateContent>
      </w:r>
      <w:r>
        <w:rPr>
          <w:color w:val="F23333"/>
        </w:rPr>
        <w:t>Course</w:t>
      </w:r>
      <w:r>
        <w:rPr>
          <w:color w:val="F23333"/>
          <w:spacing w:val="-31"/>
        </w:rPr>
        <w:t xml:space="preserve"> </w:t>
      </w:r>
      <w:r>
        <w:rPr>
          <w:color w:val="F23333"/>
        </w:rPr>
        <w:t>outline</w:t>
      </w:r>
    </w:p>
    <w:p>
      <w:pPr>
        <w:pStyle w:val="BodyText"/>
        <w:jc w:val="both"/>
        <w:rPr/>
      </w:pPr>
      <w:r>
        <w:rPr/>
        <w:t xml:space="preserve">This course is a senior level/beginning graduate student introduction to the common theoretical and practical tools used in the emerging area of mathematical data science.  Beginning with an introduction to the singular value decomposition, the course will proceed to cover standard tools from signal processing and image analysis, after which it will explore regression and affiliated optimization techniques.  Finally, it will culminate with an introduction to machine learning by way of using neural networks.  Applications will come from signal processing, image analysis, classification problems, and dynamical systems.  </w:t>
      </w:r>
    </w:p>
    <w:p>
      <w:pPr>
        <w:pStyle w:val="BodyText"/>
        <w:spacing w:lineRule="auto" w:line="295" w:before="82" w:after="0"/>
        <w:ind w:left="144" w:right="144"/>
        <w:jc w:val="both"/>
        <w:rPr/>
      </w:pPr>
      <w:r>
        <w:rPr/>
      </w:r>
    </w:p>
    <w:p>
      <w:pPr>
        <w:pStyle w:val="Heading1"/>
        <w:ind w:left="1505"/>
        <w:rPr/>
      </w:pPr>
      <w:r>
        <mc:AlternateContent>
          <mc:Choice Requires="wpg">
            <w:drawing>
              <wp:anchor behindDoc="1" distT="0" distB="0" distL="0" distR="0" simplePos="0" locked="0" layoutInCell="0" allowOverlap="1" relativeHeight="9" wp14:anchorId="3D040D7E">
                <wp:simplePos x="0" y="0"/>
                <wp:positionH relativeFrom="page">
                  <wp:posOffset>756285</wp:posOffset>
                </wp:positionH>
                <wp:positionV relativeFrom="paragraph">
                  <wp:posOffset>114300</wp:posOffset>
                </wp:positionV>
                <wp:extent cx="763905" cy="635"/>
                <wp:effectExtent l="26670" t="26670" r="26670" b="26670"/>
                <wp:wrapNone/>
                <wp:docPr id="8" name="Group 12"/>
                <a:graphic xmlns:a="http://schemas.openxmlformats.org/drawingml/2006/main">
                  <a:graphicData uri="http://schemas.microsoft.com/office/word/2010/wordprocessingGroup">
                    <wpg:wgp>
                      <wpg:cNvGrpSpPr/>
                      <wpg:grpSpPr>
                        <a:xfrm>
                          <a:off x="0" y="0"/>
                          <a:ext cx="763920" cy="720"/>
                          <a:chOff x="0" y="0"/>
                          <a:chExt cx="763920" cy="720"/>
                        </a:xfrm>
                      </wpg:grpSpPr>
                      <wps:wsp>
                        <wps:cNvSpPr/>
                        <wps:spPr>
                          <a:xfrm>
                            <a:off x="0" y="0"/>
                            <a:ext cx="763920" cy="720"/>
                          </a:xfrm>
                          <a:prstGeom prst="line">
                            <a:avLst/>
                          </a:prstGeom>
                          <a:ln w="52560">
                            <a:solidFill>
                              <a:srgbClr val="f23333"/>
                            </a:solidFill>
                            <a:round/>
                          </a:ln>
                        </wps:spPr>
                        <wps:style>
                          <a:lnRef idx="0"/>
                          <a:fillRef idx="0"/>
                          <a:effectRef idx="0"/>
                          <a:fontRef idx="minor"/>
                        </wps:style>
                        <wps:bodyPr/>
                      </wps:wsp>
                    </wpg:wgp>
                  </a:graphicData>
                </a:graphic>
              </wp:anchor>
            </w:drawing>
          </mc:Choice>
          <mc:Fallback>
            <w:pict>
              <v:group id="shape_0" alt="Group 12" style="position:absolute;margin-left:59.6pt;margin-top:9pt;width:60.1pt;height:0pt" coordorigin="1192,180" coordsize="1202,0">
                <v:line id="shape_0" from="1191,180" to="2393,180" ID="Straight Connector 20" stroked="t" o:allowincell="f" style="position:absolute;mso-position-horizontal-relative:page">
                  <v:stroke color="#f23333" weight="52560" joinstyle="round" endcap="flat"/>
                  <v:fill o:detectmouseclick="t" on="false"/>
                  <w10:wrap type="none"/>
                </v:line>
              </v:group>
            </w:pict>
          </mc:Fallback>
        </mc:AlternateContent>
      </w:r>
      <w:r>
        <w:rPr>
          <w:color w:val="F23333"/>
        </w:rPr>
        <w:t>Tentative schedule</w:t>
      </w:r>
    </w:p>
    <w:p>
      <w:pPr>
        <w:pStyle w:val="BodyText"/>
        <w:rPr>
          <w:rStyle w:val="Heading2Char"/>
        </w:rPr>
      </w:pPr>
      <w:r>
        <w:rPr>
          <w:rStyle w:val="Heading2Char"/>
        </w:rPr>
        <w:t>Week 1: Linear Algebra Review (HMWK Zero Due: 8/30)</w:t>
      </w:r>
    </w:p>
    <w:p>
      <w:pPr>
        <w:pStyle w:val="BodyText"/>
        <w:rPr>
          <w:rStyle w:val="Heading2Char"/>
        </w:rPr>
      </w:pPr>
      <w:r>
        <w:rPr>
          <w:rStyle w:val="Heading2Char"/>
        </w:rPr>
        <w:t>Week 2: SVD: Theory, Coding and Applications (HMWK One Due: 9/6)</w:t>
      </w:r>
    </w:p>
    <w:p>
      <w:pPr>
        <w:pStyle w:val="BodyText"/>
        <w:rPr>
          <w:rStyle w:val="Heading2Char"/>
        </w:rPr>
      </w:pPr>
      <w:r>
        <w:rPr>
          <w:rStyle w:val="Heading2Char"/>
        </w:rPr>
        <w:t xml:space="preserve">Week 3: </w:t>
      </w:r>
      <w:r>
        <w:rPr>
          <w:rStyle w:val="Heading2Char"/>
        </w:rPr>
        <w:t>SVD, k-means clustering, unsupervised learning</w:t>
      </w:r>
    </w:p>
    <w:p>
      <w:pPr>
        <w:pStyle w:val="BodyText"/>
        <w:rPr>
          <w:rStyle w:val="Heading2Char"/>
        </w:rPr>
      </w:pPr>
      <w:r>
        <w:rPr>
          <w:rStyle w:val="Heading2Char"/>
        </w:rPr>
        <w:t xml:space="preserve">Week 4: Fourier </w:t>
      </w:r>
      <w:r>
        <w:rPr>
          <w:rStyle w:val="Heading2Char"/>
        </w:rPr>
        <w:t xml:space="preserve">Series, </w:t>
      </w:r>
      <w:r>
        <w:rPr>
          <w:rStyle w:val="Heading2Char"/>
        </w:rPr>
        <w:t xml:space="preserve">Transforms: Theory, </w:t>
      </w:r>
      <w:r>
        <w:rPr>
          <w:rStyle w:val="Heading2Char"/>
        </w:rPr>
        <w:t>Coding, and Applications</w:t>
      </w:r>
    </w:p>
    <w:p>
      <w:pPr>
        <w:pStyle w:val="BodyText"/>
        <w:rPr>
          <w:rStyle w:val="Heading2Char"/>
        </w:rPr>
      </w:pPr>
      <w:r>
        <w:rPr>
          <w:rStyle w:val="Heading2Char"/>
        </w:rPr>
        <w:t xml:space="preserve">Week 5: </w:t>
      </w:r>
      <w:r>
        <w:rPr>
          <w:rStyle w:val="Heading2Char"/>
        </w:rPr>
        <w:t xml:space="preserve">Short Time </w:t>
      </w:r>
      <w:r>
        <w:rPr>
          <w:rStyle w:val="Heading2Char"/>
        </w:rPr>
        <w:t xml:space="preserve">Fourier Transforms: </w:t>
      </w:r>
      <w:r>
        <w:rPr>
          <w:rStyle w:val="Heading2Char"/>
        </w:rPr>
        <w:t xml:space="preserve">Theory, </w:t>
      </w:r>
      <w:r>
        <w:rPr>
          <w:rStyle w:val="Heading2Char"/>
        </w:rPr>
        <w:t>Coding, and Application</w:t>
      </w:r>
      <w:r>
        <w:rPr>
          <w:rStyle w:val="Heading2Char"/>
        </w:rPr>
        <w:t>s</w:t>
      </w:r>
    </w:p>
    <w:p>
      <w:pPr>
        <w:pStyle w:val="BodyText"/>
        <w:rPr>
          <w:rStyle w:val="Heading2Char"/>
        </w:rPr>
      </w:pPr>
      <w:r>
        <w:rPr>
          <w:rStyle w:val="Heading2Char"/>
        </w:rPr>
        <w:t xml:space="preserve">Week 6: Wavelet Transforms: </w:t>
      </w:r>
      <w:r>
        <w:rPr>
          <w:rStyle w:val="Heading2Char"/>
        </w:rPr>
        <w:t xml:space="preserve">Theory, </w:t>
      </w:r>
      <w:r>
        <w:rPr>
          <w:rStyle w:val="Heading2Char"/>
        </w:rPr>
        <w:t xml:space="preserve">Coding, and Applications </w:t>
      </w:r>
    </w:p>
    <w:p>
      <w:pPr>
        <w:pStyle w:val="BodyText"/>
        <w:rPr>
          <w:rStyle w:val="Heading2Char"/>
        </w:rPr>
      </w:pPr>
      <w:r>
        <w:rPr>
          <w:rStyle w:val="Heading2Char"/>
        </w:rPr>
        <w:t xml:space="preserve">Week 7: </w:t>
      </w:r>
      <w:r>
        <w:rPr>
          <w:rStyle w:val="Heading2Char"/>
        </w:rPr>
        <w:t>Probability Review, Histograms, Bias/Variance Tradeoff Analysis</w:t>
      </w:r>
    </w:p>
    <w:p>
      <w:pPr>
        <w:pStyle w:val="BodyText"/>
        <w:rPr>
          <w:rStyle w:val="Heading2Char"/>
        </w:rPr>
      </w:pPr>
      <w:r>
        <w:rPr>
          <w:rStyle w:val="Heading2Char"/>
        </w:rPr>
        <w:t xml:space="preserve">Week 8: </w:t>
      </w:r>
      <w:r>
        <w:rPr>
          <w:rStyle w:val="Heading2Char"/>
        </w:rPr>
        <w:t>Linear Polynomial and Harmonic Regression, Cross Validation</w:t>
      </w:r>
    </w:p>
    <w:p>
      <w:pPr>
        <w:pStyle w:val="BodyText"/>
        <w:rPr>
          <w:rStyle w:val="Heading2Char"/>
        </w:rPr>
      </w:pPr>
      <w:r>
        <w:rPr>
          <w:rStyle w:val="Heading2Char"/>
        </w:rPr>
        <w:t xml:space="preserve">Week 9: </w:t>
      </w:r>
      <w:r>
        <w:rPr>
          <w:rStyle w:val="Heading2Char"/>
        </w:rPr>
        <w:t xml:space="preserve">Optimization: Lagrange Multipliers, Constraints, Gradient and Alternating Descent </w:t>
      </w:r>
    </w:p>
    <w:p>
      <w:pPr>
        <w:pStyle w:val="BodyText"/>
        <w:rPr>
          <w:rStyle w:val="Heading2Char"/>
        </w:rPr>
      </w:pPr>
      <w:r>
        <w:rPr>
          <w:rStyle w:val="Heading2Char"/>
        </w:rPr>
        <w:t xml:space="preserve">Week 10: </w:t>
      </w:r>
      <w:r>
        <w:rPr>
          <w:rStyle w:val="Heading2Char"/>
        </w:rPr>
        <w:t>Optimization: Convex Sets, the Geometry of Norms</w:t>
      </w:r>
    </w:p>
    <w:p>
      <w:pPr>
        <w:pStyle w:val="BodyText"/>
        <w:rPr>
          <w:rStyle w:val="Heading2Char"/>
        </w:rPr>
      </w:pPr>
      <w:r>
        <w:rPr>
          <w:rStyle w:val="Heading2Char"/>
        </w:rPr>
        <w:t xml:space="preserve">Week 11: </w:t>
      </w:r>
      <w:r>
        <w:rPr>
          <w:rStyle w:val="Heading2Char"/>
        </w:rPr>
        <w:t>LASSO/L1-penalized Linear Regression</w:t>
      </w:r>
    </w:p>
    <w:p>
      <w:pPr>
        <w:pStyle w:val="BodyText"/>
        <w:rPr>
          <w:rStyle w:val="Heading2Char"/>
        </w:rPr>
      </w:pPr>
      <w:r>
        <w:rPr>
          <w:rStyle w:val="Heading2Char"/>
        </w:rPr>
        <w:t xml:space="preserve">Week 12: </w:t>
      </w:r>
      <w:r>
        <w:rPr>
          <w:rStyle w:val="Heading2Char"/>
        </w:rPr>
        <w:t xml:space="preserve">Dictionary Learning </w:t>
      </w:r>
    </w:p>
    <w:p>
      <w:pPr>
        <w:pStyle w:val="BodyText"/>
        <w:rPr>
          <w:rStyle w:val="Heading2Char"/>
        </w:rPr>
      </w:pPr>
      <w:r>
        <w:rPr>
          <w:rStyle w:val="Heading2Char"/>
        </w:rPr>
        <w:t xml:space="preserve">Week 13: </w:t>
      </w:r>
      <w:r>
        <w:rPr>
          <w:rStyle w:val="Heading2Char"/>
        </w:rPr>
        <w:t xml:space="preserve">Dictionary Learning </w:t>
      </w:r>
    </w:p>
    <w:p>
      <w:pPr>
        <w:pStyle w:val="BodyText"/>
        <w:rPr>
          <w:rStyle w:val="Heading2Char"/>
        </w:rPr>
      </w:pPr>
      <w:r>
        <w:rPr>
          <w:rStyle w:val="Heading2Char"/>
        </w:rPr>
        <w:t xml:space="preserve">Week 14: </w:t>
      </w:r>
      <w:r>
        <w:rPr>
          <w:rStyle w:val="Heading2Char"/>
        </w:rPr>
        <w:t xml:space="preserve">Support Vector Machines, Theory, Coding, and Applications </w:t>
      </w:r>
    </w:p>
    <w:p>
      <w:pPr>
        <w:pStyle w:val="BodyText"/>
        <w:rPr>
          <w:rStyle w:val="Heading2Char"/>
        </w:rPr>
      </w:pPr>
      <w:r>
        <w:rPr>
          <w:rStyle w:val="Heading2Char"/>
        </w:rPr>
        <w:t xml:space="preserve">Week 15: </w:t>
      </w:r>
      <w:r>
        <w:rPr>
          <w:rStyle w:val="Heading2Char"/>
        </w:rPr>
        <w:t xml:space="preserve">Support Vector Machines, Theory, Coding, and Applications </w:t>
      </w:r>
    </w:p>
    <w:p>
      <w:pPr>
        <w:pStyle w:val="BodyText"/>
        <w:rPr/>
      </w:pPr>
      <w:r>
        <w:rPr>
          <w:rStyle w:val="Heading2Char"/>
        </w:rPr>
        <w:t>Week 16: Final Presentations</w:t>
      </w:r>
    </w:p>
    <w:p>
      <w:pPr>
        <w:pStyle w:val="Normal"/>
        <w:rPr>
          <w:rFonts w:ascii="Arial" w:hAnsi="Arial" w:asciiTheme="minorBidi" w:hAnsiTheme="minorBidi"/>
          <w:sz w:val="20"/>
          <w:szCs w:val="20"/>
        </w:rPr>
      </w:pPr>
      <w:r>
        <w:rPr>
          <w:rFonts w:asciiTheme="minorBidi" w:hAnsiTheme="minorBidi" w:ascii="Arial" w:hAnsi="Arial"/>
          <w:sz w:val="20"/>
          <w:szCs w:val="20"/>
        </w:rPr>
      </w:r>
    </w:p>
    <w:p>
      <w:pPr>
        <w:pStyle w:val="Normal"/>
        <w:rPr>
          <w:color w:val="FF0000"/>
          <w:sz w:val="28"/>
          <w:szCs w:val="28"/>
        </w:rPr>
      </w:pPr>
      <w:r>
        <w:rPr>
          <w:color w:val="FF0000"/>
          <w:sz w:val="28"/>
          <w:szCs w:val="28"/>
        </w:rPr>
        <w:t>University Policies:</w:t>
      </w:r>
    </w:p>
    <w:p>
      <w:pPr>
        <w:pStyle w:val="Normal"/>
        <w:rPr/>
      </w:pPr>
      <w:r>
        <w:rPr/>
      </w:r>
    </w:p>
    <w:p>
      <w:pPr>
        <w:pStyle w:val="Normal"/>
        <w:rPr>
          <w:rFonts w:ascii="Arial" w:hAnsi="Arial" w:eastAsia="Arial" w:asciiTheme="minorBidi" w:hAnsiTheme="minorBidi"/>
          <w:sz w:val="20"/>
          <w:szCs w:val="20"/>
        </w:rPr>
      </w:pPr>
      <w:r>
        <w:rPr>
          <w:rFonts w:eastAsia="Arial" w:ascii="Arial" w:hAnsi="Arial" w:asciiTheme="minorBidi" w:hAnsiTheme="minorBidi"/>
          <w:b/>
          <w:sz w:val="20"/>
          <w:szCs w:val="20"/>
        </w:rPr>
        <w:t>Accommodations:</w:t>
      </w:r>
      <w:r>
        <w:rPr>
          <w:rFonts w:eastAsia="Arial" w:ascii="Arial" w:hAnsi="Arial" w:asciiTheme="minorBidi" w:hAnsiTheme="minorBidi"/>
          <w:sz w:val="20"/>
          <w:szCs w:val="20"/>
        </w:rPr>
        <w:t xml:space="preserve">  If you are a student with a disability and are in need of accommodations for this class, please contact Student Ability Success Center at (619) 594-6473 as soon as possible.  Please know accommodations are not retroactive, and I cannot provide accommodations based upon disability until I have received an accommodation letter from Student Ability Success Center.</w:t>
      </w:r>
    </w:p>
    <w:p>
      <w:pPr>
        <w:pStyle w:val="Normal"/>
        <w:rPr>
          <w:rFonts w:ascii="Arial" w:hAnsi="Arial" w:eastAsia="Arial" w:asciiTheme="minorBidi" w:hAnsiTheme="minorBidi"/>
          <w:sz w:val="20"/>
          <w:szCs w:val="20"/>
        </w:rPr>
      </w:pPr>
      <w:r>
        <w:rPr>
          <w:rFonts w:eastAsia="Arial" w:ascii="Arial" w:hAnsi="Arial" w:asciiTheme="minorBidi" w:hAnsiTheme="minorBidi"/>
          <w:b/>
          <w:sz w:val="20"/>
          <w:szCs w:val="20"/>
        </w:rPr>
        <w:t xml:space="preserve">Student Privacy and Intellectual Property: </w:t>
      </w:r>
      <w:r>
        <w:rPr>
          <w:rFonts w:eastAsia="Arial" w:ascii="Arial" w:hAnsi="Arial" w:asciiTheme="minorBidi" w:hAnsiTheme="minorBidi"/>
          <w:sz w:val="20"/>
          <w:szCs w:val="20"/>
        </w:rPr>
        <w:t xml:space="preserve">The </w:t>
      </w:r>
      <w:hyperlink r:id="rId6">
        <w:r>
          <w:rPr>
            <w:rStyle w:val="ListLabel84"/>
            <w:rFonts w:eastAsia="Arial" w:ascii="Arial" w:hAnsi="Arial" w:asciiTheme="minorBidi" w:hAnsiTheme="minorBidi"/>
            <w:color w:val="1155CC"/>
            <w:sz w:val="20"/>
            <w:szCs w:val="20"/>
            <w:u w:val="single"/>
          </w:rPr>
          <w:t>Family Educational Rights and Privacy Act</w:t>
        </w:r>
      </w:hyperlink>
      <w:r>
        <w:rPr>
          <w:rFonts w:eastAsia="Arial" w:ascii="Arial" w:hAnsi="Arial" w:asciiTheme="minorBidi" w:hAnsiTheme="minorBidi"/>
          <w:sz w:val="20"/>
          <w:szCs w:val="20"/>
        </w:rPr>
        <w:t xml:space="preserve"> (FERPA) mandates the protection of student information, including contact information, grades, and graded assignments. I will not post grades or leave graded assignments in public places. Students will be notified at the time of an assignment if copies of student work will be retained beyond the end of the semester or used as examples for future students or the wider public. Students maintain intellectual property rights to work products they create as part of this course unless they are formally notified otherwise.</w:t>
      </w:r>
    </w:p>
    <w:p>
      <w:pPr>
        <w:pStyle w:val="Normal"/>
        <w:spacing w:before="240" w:after="240"/>
        <w:rPr>
          <w:rFonts w:ascii="Arial" w:hAnsi="Arial" w:eastAsia="Arial" w:asciiTheme="minorBidi" w:hAnsiTheme="minorBidi"/>
          <w:sz w:val="20"/>
          <w:szCs w:val="20"/>
        </w:rPr>
      </w:pPr>
      <w:r>
        <w:rPr>
          <w:rFonts w:eastAsia="Arial" w:ascii="Arial" w:hAnsi="Arial" w:asciiTheme="minorBidi" w:hAnsiTheme="minorBidi"/>
          <w:b/>
          <w:sz w:val="20"/>
          <w:szCs w:val="20"/>
        </w:rPr>
        <w:t xml:space="preserve">Religious observances: </w:t>
      </w:r>
      <w:r>
        <w:rPr>
          <w:rFonts w:eastAsia="Arial" w:ascii="Arial" w:hAnsi="Arial" w:asciiTheme="minorBidi" w:hAnsiTheme="minorBidi"/>
          <w:sz w:val="20"/>
          <w:szCs w:val="20"/>
        </w:rPr>
        <w:t>According to the University Policy File, students should notify the instructors of affected courses of planned absences for religious observances by the end of the second week of classes.</w:t>
      </w:r>
    </w:p>
    <w:p>
      <w:pPr>
        <w:pStyle w:val="Normal"/>
        <w:rPr>
          <w:rFonts w:ascii="Arial" w:hAnsi="Arial" w:eastAsia="Arial" w:asciiTheme="minorBidi" w:hAnsiTheme="minorBidi"/>
          <w:sz w:val="20"/>
          <w:szCs w:val="20"/>
          <w:shd w:fill="F4CCCC" w:val="clear"/>
        </w:rPr>
      </w:pPr>
      <w:r>
        <w:rPr>
          <w:rFonts w:eastAsia="Arial" w:ascii="Arial" w:hAnsi="Arial" w:asciiTheme="minorBidi" w:hAnsiTheme="minorBidi"/>
          <w:b/>
          <w:sz w:val="20"/>
          <w:szCs w:val="20"/>
          <w:shd w:fill="F4CCCC" w:val="clear"/>
        </w:rPr>
        <w:t xml:space="preserve">Medical-related absences: </w:t>
      </w:r>
      <w:r>
        <w:rPr>
          <w:rFonts w:eastAsia="Arial" w:ascii="Arial" w:hAnsi="Arial" w:asciiTheme="minorBidi" w:hAnsiTheme="minorBidi"/>
          <w:sz w:val="20"/>
          <w:szCs w:val="20"/>
          <w:shd w:fill="F4CCCC" w:val="clear"/>
        </w:rPr>
        <w:t xml:space="preserve">Students are instructed to contact their professor/instructor/coach in the event they need to miss class, etc. due to an illness, injury or emergency.  All decisions about the impact of an absence, as well as any arrangements for making up work, rest with the instructors.  </w:t>
      </w:r>
      <w:hyperlink r:id="rId7">
        <w:r>
          <w:rPr>
            <w:rStyle w:val="ListLabel85"/>
            <w:rFonts w:eastAsia="Arial" w:ascii="Arial" w:hAnsi="Arial" w:asciiTheme="minorBidi" w:hAnsiTheme="minorBidi"/>
            <w:sz w:val="20"/>
            <w:szCs w:val="20"/>
            <w:u w:val="single"/>
            <w:shd w:fill="F4CCCC" w:val="clear"/>
          </w:rPr>
          <w:t>Student Health Services</w:t>
        </w:r>
      </w:hyperlink>
      <w:r>
        <w:rPr>
          <w:rFonts w:eastAsia="Arial" w:ascii="Arial" w:hAnsi="Arial" w:asciiTheme="minorBidi" w:hAnsiTheme="minorBidi"/>
          <w:sz w:val="20"/>
          <w:szCs w:val="20"/>
          <w:shd w:fill="F4CCCC" w:val="clear"/>
        </w:rPr>
        <w:t xml:space="preserve"> (SHS) does not provide medical excuses for short-term absences due to illness or injury. When a medical-related absence persists beyond five days, SHS will work with students to provide appropriate documentation. When a student is hospitalized or has a serious, ongoing illness or injury, SHS will, at the student's request and with the student’s consent, communicate with the student’s instructors via the Vice President for Student Affairs and may communicate with the student’s Assistant Dean and/or the </w:t>
      </w:r>
      <w:hyperlink r:id="rId8">
        <w:r>
          <w:rPr>
            <w:rStyle w:val="ListLabel85"/>
            <w:rFonts w:eastAsia="Arial" w:ascii="Arial" w:hAnsi="Arial" w:asciiTheme="minorBidi" w:hAnsiTheme="minorBidi"/>
            <w:sz w:val="20"/>
            <w:szCs w:val="20"/>
            <w:u w:val="single"/>
            <w:shd w:fill="F4CCCC" w:val="clear"/>
          </w:rPr>
          <w:t>Student Ability Success Center</w:t>
        </w:r>
      </w:hyperlink>
      <w:r>
        <w:rPr>
          <w:rFonts w:eastAsia="Arial" w:ascii="Arial" w:hAnsi="Arial" w:asciiTheme="minorBidi" w:hAnsiTheme="minorBidi"/>
          <w:sz w:val="20"/>
          <w:szCs w:val="20"/>
          <w:shd w:fill="F4CCCC" w:val="clear"/>
        </w:rPr>
        <w:t xml:space="preserve">.  </w:t>
      </w:r>
    </w:p>
    <w:p>
      <w:pPr>
        <w:pStyle w:val="Normal"/>
        <w:shd w:val="clear" w:color="auto" w:fill="FFFFFF"/>
        <w:rPr>
          <w:rFonts w:ascii="Arial" w:hAnsi="Arial" w:eastAsia="Arial" w:asciiTheme="minorBidi" w:hAnsiTheme="minorBidi"/>
          <w:sz w:val="20"/>
          <w:szCs w:val="20"/>
          <w:shd w:fill="F4CCCC" w:val="clear"/>
        </w:rPr>
      </w:pPr>
      <w:r>
        <w:rPr>
          <w:rFonts w:eastAsia="Arial" w:ascii="Arial" w:hAnsi="Arial"/>
          <w:sz w:val="20"/>
          <w:szCs w:val="20"/>
          <w:shd w:fill="F4CCCC" w:val="clear"/>
        </w:rPr>
      </w:r>
    </w:p>
    <w:p>
      <w:pPr>
        <w:pStyle w:val="Normal"/>
        <w:rPr>
          <w:rFonts w:ascii="Arial" w:hAnsi="Arial" w:eastAsia="Arial" w:asciiTheme="minorBidi" w:hAnsiTheme="minorBidi"/>
          <w:sz w:val="20"/>
          <w:szCs w:val="20"/>
          <w:shd w:fill="F4CCCC" w:val="clear"/>
        </w:rPr>
      </w:pPr>
      <w:r>
        <w:rPr>
          <w:rFonts w:eastAsia="Arial" w:ascii="Arial" w:hAnsi="Arial" w:asciiTheme="minorBidi" w:hAnsiTheme="minorBidi"/>
          <w:b/>
          <w:sz w:val="20"/>
          <w:szCs w:val="20"/>
          <w:shd w:fill="F4CCCC" w:val="clear"/>
        </w:rPr>
        <w:t>SDSU Economic Crisis Response Team:</w:t>
      </w:r>
      <w:r>
        <w:rPr>
          <w:rFonts w:eastAsia="Arial" w:ascii="Arial" w:hAnsi="Arial" w:asciiTheme="minorBidi" w:hAnsiTheme="minorBidi"/>
          <w:sz w:val="20"/>
          <w:szCs w:val="20"/>
          <w:shd w:fill="F4CCCC" w:val="clear"/>
        </w:rPr>
        <w:t xml:space="preserve"> If you or a friend are experiencing food or housing insecurity, or any unforeseen financial crisis, visit </w:t>
      </w:r>
      <w:hyperlink r:id="rId9">
        <w:r>
          <w:rPr>
            <w:rStyle w:val="ListLabel85"/>
            <w:rFonts w:eastAsia="Arial" w:ascii="Arial" w:hAnsi="Arial" w:asciiTheme="minorBidi" w:hAnsiTheme="minorBidi"/>
            <w:sz w:val="20"/>
            <w:szCs w:val="20"/>
            <w:u w:val="single"/>
            <w:shd w:fill="F4CCCC" w:val="clear"/>
          </w:rPr>
          <w:t>sdsu.edu/ecrt</w:t>
        </w:r>
      </w:hyperlink>
      <w:r>
        <w:rPr>
          <w:rFonts w:eastAsia="Arial" w:ascii="Arial" w:hAnsi="Arial" w:asciiTheme="minorBidi" w:hAnsiTheme="minorBidi"/>
          <w:sz w:val="20"/>
          <w:szCs w:val="20"/>
          <w:shd w:fill="F4CCCC" w:val="clear"/>
        </w:rPr>
        <w:t xml:space="preserve">, email </w:t>
      </w:r>
      <w:hyperlink r:id="rId10">
        <w:r>
          <w:rPr>
            <w:rStyle w:val="ListLabel85"/>
            <w:rFonts w:eastAsia="Arial" w:ascii="Arial" w:hAnsi="Arial" w:asciiTheme="minorBidi" w:hAnsiTheme="minorBidi"/>
            <w:sz w:val="20"/>
            <w:szCs w:val="20"/>
            <w:u w:val="single"/>
            <w:shd w:fill="F4CCCC" w:val="clear"/>
          </w:rPr>
          <w:t>ecrt@sdsu.edu</w:t>
        </w:r>
      </w:hyperlink>
      <w:r>
        <w:rPr>
          <w:rFonts w:eastAsia="Arial" w:ascii="Arial" w:hAnsi="Arial" w:asciiTheme="minorBidi" w:hAnsiTheme="minorBidi"/>
          <w:sz w:val="20"/>
          <w:szCs w:val="20"/>
          <w:shd w:fill="F4CCCC" w:val="clear"/>
        </w:rPr>
        <w:t>, or walk-in to Well-being &amp; Health Promotion on the 3rd floor of Calpulli Center.</w:t>
      </w:r>
    </w:p>
    <w:p>
      <w:pPr>
        <w:pStyle w:val="Normal"/>
        <w:rPr>
          <w:rFonts w:ascii="Arial" w:hAnsi="Arial" w:eastAsia="Arial" w:asciiTheme="minorBidi" w:hAnsiTheme="minorBidi"/>
          <w:sz w:val="20"/>
          <w:szCs w:val="20"/>
          <w:shd w:fill="F4CCCC" w:val="clear"/>
        </w:rPr>
      </w:pPr>
      <w:r>
        <w:rPr>
          <w:rFonts w:eastAsia="Arial" w:ascii="Arial" w:hAnsi="Arial"/>
          <w:sz w:val="20"/>
          <w:szCs w:val="20"/>
          <w:shd w:fill="F4CCCC" w:val="clear"/>
        </w:rPr>
      </w:r>
    </w:p>
    <w:p>
      <w:pPr>
        <w:pStyle w:val="Normal"/>
        <w:rPr>
          <w:rFonts w:ascii="Arial" w:hAnsi="Arial" w:eastAsia="Arial" w:asciiTheme="minorBidi" w:hAnsiTheme="minorBidi"/>
          <w:sz w:val="20"/>
          <w:szCs w:val="20"/>
          <w:shd w:fill="F4CCCC" w:val="clear"/>
        </w:rPr>
      </w:pPr>
      <w:r>
        <w:rPr>
          <w:rFonts w:eastAsia="Arial" w:ascii="Arial" w:hAnsi="Arial" w:asciiTheme="minorBidi" w:hAnsiTheme="minorBidi"/>
          <w:b/>
          <w:sz w:val="20"/>
          <w:szCs w:val="20"/>
          <w:shd w:fill="F4CCCC" w:val="clear"/>
        </w:rPr>
        <w:t>Resources for students</w:t>
      </w:r>
      <w:r>
        <w:rPr>
          <w:rFonts w:eastAsia="Arial" w:ascii="Arial" w:hAnsi="Arial" w:asciiTheme="minorBidi" w:hAnsiTheme="minorBidi"/>
          <w:sz w:val="20"/>
          <w:szCs w:val="20"/>
          <w:shd w:fill="F4CCCC" w:val="clear"/>
        </w:rPr>
        <w:t xml:space="preserve">:  A complete list of all academic support services--including the </w:t>
      </w:r>
      <w:hyperlink r:id="rId11">
        <w:r>
          <w:rPr>
            <w:rStyle w:val="ListLabel85"/>
            <w:rFonts w:eastAsia="Arial" w:ascii="Arial" w:hAnsi="Arial" w:asciiTheme="minorBidi" w:hAnsiTheme="minorBidi"/>
            <w:sz w:val="20"/>
            <w:szCs w:val="20"/>
            <w:u w:val="single"/>
            <w:shd w:fill="F4CCCC" w:val="clear"/>
          </w:rPr>
          <w:t>Writing Center</w:t>
        </w:r>
      </w:hyperlink>
      <w:r>
        <w:rPr>
          <w:rFonts w:eastAsia="Arial" w:ascii="Arial" w:hAnsi="Arial" w:asciiTheme="minorBidi" w:hAnsiTheme="minorBidi"/>
          <w:sz w:val="20"/>
          <w:szCs w:val="20"/>
          <w:shd w:fill="F4CCCC" w:val="clear"/>
        </w:rPr>
        <w:t xml:space="preserve"> and  </w:t>
      </w:r>
      <w:hyperlink r:id="rId12">
        <w:r>
          <w:rPr>
            <w:rStyle w:val="ListLabel85"/>
            <w:rFonts w:eastAsia="Arial" w:ascii="Arial" w:hAnsi="Arial" w:asciiTheme="minorBidi" w:hAnsiTheme="minorBidi"/>
            <w:sz w:val="20"/>
            <w:szCs w:val="20"/>
            <w:u w:val="single"/>
            <w:shd w:fill="F4CCCC" w:val="clear"/>
          </w:rPr>
          <w:t>Math Learning Center</w:t>
        </w:r>
      </w:hyperlink>
      <w:r>
        <w:rPr>
          <w:rFonts w:eastAsia="Arial" w:ascii="Arial" w:hAnsi="Arial" w:asciiTheme="minorBidi" w:hAnsiTheme="minorBidi"/>
          <w:sz w:val="20"/>
          <w:szCs w:val="20"/>
          <w:shd w:fill="F4CCCC" w:val="clear"/>
        </w:rPr>
        <w:t xml:space="preserve">--is available on the Student Affairs’ </w:t>
      </w:r>
      <w:hyperlink r:id="rId13">
        <w:r>
          <w:rPr>
            <w:rStyle w:val="ListLabel85"/>
            <w:rFonts w:eastAsia="Arial" w:ascii="Arial" w:hAnsi="Arial" w:asciiTheme="minorBidi" w:hAnsiTheme="minorBidi"/>
            <w:sz w:val="20"/>
            <w:szCs w:val="20"/>
            <w:u w:val="single"/>
            <w:shd w:fill="F4CCCC" w:val="clear"/>
          </w:rPr>
          <w:t>Academic Success</w:t>
        </w:r>
      </w:hyperlink>
      <w:r>
        <w:rPr>
          <w:rFonts w:eastAsia="Arial" w:ascii="Arial" w:hAnsi="Arial" w:asciiTheme="minorBidi" w:hAnsiTheme="minorBidi"/>
          <w:sz w:val="20"/>
          <w:szCs w:val="20"/>
          <w:shd w:fill="F4CCCC" w:val="clear"/>
        </w:rPr>
        <w:t xml:space="preserve"> website. </w:t>
      </w:r>
      <w:hyperlink r:id="rId14">
        <w:r>
          <w:rPr>
            <w:rStyle w:val="ListLabel85"/>
            <w:rFonts w:eastAsia="Arial" w:ascii="Arial" w:hAnsi="Arial" w:asciiTheme="minorBidi" w:hAnsiTheme="minorBidi"/>
            <w:sz w:val="20"/>
            <w:szCs w:val="20"/>
            <w:u w:val="single"/>
            <w:shd w:fill="F4CCCC" w:val="clear"/>
          </w:rPr>
          <w:t>Counseling and Psychological Services</w:t>
        </w:r>
      </w:hyperlink>
      <w:r>
        <w:rPr>
          <w:rFonts w:eastAsia="Arial" w:ascii="Arial" w:hAnsi="Arial" w:asciiTheme="minorBidi" w:hAnsiTheme="minorBidi"/>
          <w:smallCaps/>
          <w:sz w:val="20"/>
          <w:szCs w:val="20"/>
          <w:shd w:fill="F4CCCC" w:val="clear"/>
        </w:rPr>
        <w:t xml:space="preserve"> (619-594-5220) </w:t>
      </w:r>
      <w:r>
        <w:rPr>
          <w:rFonts w:eastAsia="Arial" w:ascii="Arial" w:hAnsi="Arial" w:asciiTheme="minorBidi" w:hAnsiTheme="minorBidi"/>
          <w:sz w:val="20"/>
          <w:szCs w:val="20"/>
          <w:shd w:fill="F4CCCC" w:val="clear"/>
        </w:rPr>
        <w:t xml:space="preserve">offers confidential counseling services by licensed therapists; you can Live Chat with a counselor at </w:t>
      </w:r>
      <w:hyperlink r:id="rId15">
        <w:r>
          <w:rPr>
            <w:rStyle w:val="ListLabel85"/>
            <w:rFonts w:eastAsia="Arial" w:ascii="Arial" w:hAnsi="Arial" w:asciiTheme="minorBidi" w:hAnsiTheme="minorBidi"/>
            <w:sz w:val="20"/>
            <w:szCs w:val="20"/>
            <w:u w:val="single"/>
            <w:shd w:fill="F4CCCC" w:val="clear"/>
          </w:rPr>
          <w:t>http://go.sdsu.edu/student_affairs/cps/therapist-consultation.aspx</w:t>
        </w:r>
      </w:hyperlink>
      <w:r>
        <w:rPr>
          <w:rFonts w:eastAsia="Arial" w:ascii="Arial" w:hAnsi="Arial" w:asciiTheme="minorBidi" w:hAnsiTheme="minorBidi"/>
          <w:sz w:val="20"/>
          <w:szCs w:val="20"/>
          <w:shd w:fill="F4CCCC" w:val="clear"/>
        </w:rPr>
        <w:t xml:space="preserve"> between 4:00pm and 10:00pm, or call San Diego Access and Crisis 24-hour Hotline at (888) 724-7240.</w:t>
      </w:r>
    </w:p>
    <w:p>
      <w:pPr>
        <w:pStyle w:val="Normal"/>
        <w:rPr>
          <w:rFonts w:ascii="Arial" w:hAnsi="Arial" w:eastAsia="Arial" w:asciiTheme="minorBidi" w:hAnsiTheme="minorBidi"/>
          <w:sz w:val="20"/>
          <w:szCs w:val="20"/>
          <w:shd w:fill="F4CCCC" w:val="clear"/>
        </w:rPr>
      </w:pPr>
      <w:r>
        <w:rPr>
          <w:rFonts w:eastAsia="Arial" w:ascii="Arial" w:hAnsi="Arial"/>
          <w:sz w:val="20"/>
          <w:szCs w:val="20"/>
          <w:shd w:fill="F4CCCC" w:val="clear"/>
        </w:rPr>
      </w:r>
    </w:p>
    <w:p>
      <w:pPr>
        <w:pStyle w:val="Normal"/>
        <w:rPr>
          <w:rFonts w:ascii="Arial" w:hAnsi="Arial" w:eastAsia="Arial" w:asciiTheme="minorBidi" w:hAnsiTheme="minorBidi"/>
          <w:sz w:val="20"/>
          <w:szCs w:val="20"/>
          <w:shd w:fill="F4CCCC" w:val="clear"/>
        </w:rPr>
      </w:pPr>
      <w:r>
        <w:rPr>
          <w:rFonts w:eastAsia="Arial" w:ascii="Arial" w:hAnsi="Arial" w:asciiTheme="minorBidi" w:hAnsiTheme="minorBidi"/>
          <w:b/>
          <w:sz w:val="20"/>
          <w:szCs w:val="20"/>
          <w:shd w:fill="F4CCCC" w:val="clear"/>
        </w:rPr>
        <w:t>Academic Honesty</w:t>
      </w:r>
      <w:r>
        <w:rPr>
          <w:rFonts w:eastAsia="Arial" w:ascii="Arial" w:hAnsi="Arial" w:asciiTheme="minorBidi" w:hAnsiTheme="minorBidi"/>
          <w:sz w:val="20"/>
          <w:szCs w:val="20"/>
          <w:shd w:fill="F4CCCC" w:val="clear"/>
        </w:rPr>
        <w:t xml:space="preserve">:  The University adheres to a strict </w:t>
      </w:r>
      <w:hyperlink r:id="rId16">
        <w:r>
          <w:rPr>
            <w:rStyle w:val="ListLabel85"/>
            <w:rFonts w:eastAsia="Arial" w:ascii="Arial" w:hAnsi="Arial" w:asciiTheme="minorBidi" w:hAnsiTheme="minorBidi"/>
            <w:sz w:val="20"/>
            <w:szCs w:val="20"/>
            <w:u w:val="single"/>
            <w:shd w:fill="F4CCCC" w:val="clear"/>
          </w:rPr>
          <w:t>policy prohibiting cheating and plagiarism</w:t>
        </w:r>
      </w:hyperlink>
      <w:r>
        <w:rPr>
          <w:rFonts w:eastAsia="Arial" w:ascii="Arial" w:hAnsi="Arial" w:asciiTheme="minorBidi" w:hAnsiTheme="minorBidi"/>
          <w:sz w:val="20"/>
          <w:szCs w:val="20"/>
          <w:shd w:fill="F4CCCC" w:val="clear"/>
        </w:rPr>
        <w:t xml:space="preserve">. Examples of academic dishonesty include but are not limited to: </w:t>
      </w:r>
    </w:p>
    <w:p>
      <w:pPr>
        <w:pStyle w:val="Normal"/>
        <w:numPr>
          <w:ilvl w:val="0"/>
          <w:numId w:val="5"/>
        </w:numPr>
        <w:spacing w:before="220" w:after="0"/>
        <w:rPr>
          <w:rFonts w:ascii="Arial" w:hAnsi="Arial" w:eastAsia="Arial" w:asciiTheme="minorBidi" w:hAnsiTheme="minorBidi"/>
          <w:sz w:val="20"/>
          <w:szCs w:val="20"/>
          <w:shd w:fill="F4CCCC" w:val="clear"/>
        </w:rPr>
      </w:pPr>
      <w:r>
        <w:rPr>
          <w:rFonts w:eastAsia="Arial" w:ascii="Arial" w:hAnsi="Arial" w:asciiTheme="minorBidi" w:hAnsiTheme="minorBidi"/>
          <w:sz w:val="20"/>
          <w:szCs w:val="20"/>
          <w:shd w:fill="F4CCCC" w:val="clear"/>
        </w:rPr>
        <w:t xml:space="preserve">copying, in part or in whole, from another's test or other examination; </w:t>
      </w:r>
    </w:p>
    <w:p>
      <w:pPr>
        <w:pStyle w:val="Normal"/>
        <w:numPr>
          <w:ilvl w:val="0"/>
          <w:numId w:val="5"/>
        </w:numPr>
        <w:rPr>
          <w:rFonts w:ascii="Arial" w:hAnsi="Arial" w:eastAsia="Arial" w:asciiTheme="minorBidi" w:hAnsiTheme="minorBidi"/>
          <w:sz w:val="20"/>
          <w:szCs w:val="20"/>
          <w:shd w:fill="F4CCCC" w:val="clear"/>
        </w:rPr>
      </w:pPr>
      <w:r>
        <w:rPr>
          <w:rFonts w:eastAsia="Arial" w:ascii="Arial" w:hAnsi="Arial" w:asciiTheme="minorBidi" w:hAnsiTheme="minorBidi"/>
          <w:sz w:val="20"/>
          <w:szCs w:val="20"/>
          <w:shd w:fill="F4CCCC" w:val="clear"/>
        </w:rPr>
        <w:t>obtaining copies of a test, an examination, or other course material</w:t>
        <w:br/>
        <w:t>without the permission of the instructor;</w:t>
      </w:r>
    </w:p>
    <w:p>
      <w:pPr>
        <w:pStyle w:val="Normal"/>
        <w:numPr>
          <w:ilvl w:val="0"/>
          <w:numId w:val="5"/>
        </w:numPr>
        <w:rPr>
          <w:rFonts w:ascii="Arial" w:hAnsi="Arial" w:eastAsia="Arial" w:asciiTheme="minorBidi" w:hAnsiTheme="minorBidi"/>
          <w:sz w:val="20"/>
          <w:szCs w:val="20"/>
          <w:shd w:fill="F4CCCC" w:val="clear"/>
        </w:rPr>
      </w:pPr>
      <w:r>
        <w:rPr>
          <w:rFonts w:eastAsia="Arial" w:ascii="Arial" w:hAnsi="Arial" w:asciiTheme="minorBidi" w:hAnsiTheme="minorBidi"/>
          <w:sz w:val="20"/>
          <w:szCs w:val="20"/>
          <w:shd w:fill="F4CCCC" w:val="clear"/>
        </w:rPr>
        <w:t>collaborating with another or others in work to be presented without the permission of the instructor;</w:t>
      </w:r>
    </w:p>
    <w:p>
      <w:pPr>
        <w:pStyle w:val="Normal"/>
        <w:numPr>
          <w:ilvl w:val="0"/>
          <w:numId w:val="5"/>
        </w:numPr>
        <w:rPr>
          <w:rFonts w:ascii="Arial" w:hAnsi="Arial" w:eastAsia="Arial" w:asciiTheme="minorBidi" w:hAnsiTheme="minorBidi"/>
          <w:sz w:val="20"/>
          <w:szCs w:val="20"/>
          <w:shd w:fill="F4CCCC" w:val="clear"/>
        </w:rPr>
      </w:pPr>
      <w:r>
        <w:rPr>
          <w:rFonts w:eastAsia="Arial" w:ascii="Arial" w:hAnsi="Arial" w:asciiTheme="minorBidi" w:hAnsiTheme="minorBidi"/>
          <w:sz w:val="20"/>
          <w:szCs w:val="20"/>
          <w:shd w:fill="F4CCCC" w:val="clear"/>
        </w:rPr>
        <w:t>falsifying records, laboratory work, or other course data;</w:t>
      </w:r>
    </w:p>
    <w:p>
      <w:pPr>
        <w:pStyle w:val="Normal"/>
        <w:numPr>
          <w:ilvl w:val="0"/>
          <w:numId w:val="5"/>
        </w:numPr>
        <w:rPr>
          <w:rFonts w:ascii="Arial" w:hAnsi="Arial" w:eastAsia="Arial" w:asciiTheme="minorBidi" w:hAnsiTheme="minorBidi"/>
          <w:sz w:val="20"/>
          <w:szCs w:val="20"/>
          <w:shd w:fill="F4CCCC" w:val="clear"/>
        </w:rPr>
      </w:pPr>
      <w:r>
        <w:rPr>
          <w:rFonts w:eastAsia="Arial" w:ascii="Arial" w:hAnsi="Arial" w:asciiTheme="minorBidi" w:hAnsiTheme="minorBidi"/>
          <w:sz w:val="20"/>
          <w:szCs w:val="20"/>
          <w:shd w:fill="F4CCCC" w:val="clear"/>
        </w:rPr>
        <w:t>submitting work previously presented in another course, if contrary to the rules of the course;</w:t>
      </w:r>
    </w:p>
    <w:p>
      <w:pPr>
        <w:pStyle w:val="Normal"/>
        <w:numPr>
          <w:ilvl w:val="0"/>
          <w:numId w:val="5"/>
        </w:numPr>
        <w:rPr>
          <w:rFonts w:ascii="Arial" w:hAnsi="Arial" w:eastAsia="Arial" w:asciiTheme="minorBidi" w:hAnsiTheme="minorBidi"/>
          <w:sz w:val="20"/>
          <w:szCs w:val="20"/>
          <w:shd w:fill="F4CCCC" w:val="clear"/>
        </w:rPr>
      </w:pPr>
      <w:r>
        <w:rPr>
          <w:rFonts w:eastAsia="Arial" w:ascii="Arial" w:hAnsi="Arial" w:asciiTheme="minorBidi" w:hAnsiTheme="minorBidi"/>
          <w:sz w:val="20"/>
          <w:szCs w:val="20"/>
          <w:shd w:fill="F4CCCC" w:val="clear"/>
        </w:rPr>
        <w:t>altering or interfering with grading procedures;</w:t>
      </w:r>
    </w:p>
    <w:p>
      <w:pPr>
        <w:pStyle w:val="Normal"/>
        <w:numPr>
          <w:ilvl w:val="0"/>
          <w:numId w:val="5"/>
        </w:numPr>
        <w:rPr>
          <w:rFonts w:ascii="Arial" w:hAnsi="Arial" w:eastAsia="Arial" w:asciiTheme="minorBidi" w:hAnsiTheme="minorBidi"/>
          <w:sz w:val="20"/>
          <w:szCs w:val="20"/>
          <w:shd w:fill="F4CCCC" w:val="clear"/>
        </w:rPr>
      </w:pPr>
      <w:r>
        <w:rPr>
          <w:rFonts w:eastAsia="Arial" w:ascii="Arial" w:hAnsi="Arial" w:asciiTheme="minorBidi" w:hAnsiTheme="minorBidi"/>
          <w:sz w:val="20"/>
          <w:szCs w:val="20"/>
          <w:shd w:fill="F4CCCC" w:val="clear"/>
        </w:rPr>
        <w:t>assisting another student in any of the above;</w:t>
      </w:r>
    </w:p>
    <w:p>
      <w:pPr>
        <w:pStyle w:val="Normal"/>
        <w:numPr>
          <w:ilvl w:val="0"/>
          <w:numId w:val="5"/>
        </w:numPr>
        <w:rPr>
          <w:rFonts w:ascii="Arial" w:hAnsi="Arial" w:eastAsia="Arial" w:asciiTheme="minorBidi" w:hAnsiTheme="minorBidi"/>
          <w:sz w:val="20"/>
          <w:szCs w:val="20"/>
          <w:shd w:fill="F4CCCC" w:val="clear"/>
        </w:rPr>
      </w:pPr>
      <w:r>
        <w:rPr>
          <w:rFonts w:eastAsia="Arial" w:ascii="Arial" w:hAnsi="Arial" w:asciiTheme="minorBidi" w:hAnsiTheme="minorBidi"/>
          <w:sz w:val="20"/>
          <w:szCs w:val="20"/>
          <w:shd w:fill="F4CCCC" w:val="clear"/>
        </w:rPr>
        <w:t>using sources verbatim or paraphrasing without giving proper attribution (this can include phrases, sentences, paragraphs and/or pages of work);</w:t>
      </w:r>
    </w:p>
    <w:p>
      <w:pPr>
        <w:pStyle w:val="Normal"/>
        <w:numPr>
          <w:ilvl w:val="0"/>
          <w:numId w:val="5"/>
        </w:numPr>
        <w:rPr>
          <w:rFonts w:ascii="Arial" w:hAnsi="Arial" w:eastAsia="Arial" w:asciiTheme="minorBidi" w:hAnsiTheme="minorBidi"/>
          <w:sz w:val="20"/>
          <w:szCs w:val="20"/>
          <w:shd w:fill="F4CCCC" w:val="clear"/>
        </w:rPr>
      </w:pPr>
      <w:r>
        <w:rPr>
          <w:rFonts w:eastAsia="Arial" w:ascii="Arial" w:hAnsi="Arial" w:asciiTheme="minorBidi" w:hAnsiTheme="minorBidi"/>
          <w:sz w:val="20"/>
          <w:szCs w:val="20"/>
          <w:shd w:fill="F4CCCC" w:val="clear"/>
        </w:rPr>
        <w:t>copying and pasting work from an online or offline source directly and calling it your own;</w:t>
      </w:r>
    </w:p>
    <w:p>
      <w:pPr>
        <w:pStyle w:val="Normal"/>
        <w:numPr>
          <w:ilvl w:val="0"/>
          <w:numId w:val="5"/>
        </w:numPr>
        <w:rPr>
          <w:rFonts w:ascii="Arial" w:hAnsi="Arial" w:eastAsia="Arial" w:asciiTheme="minorBidi" w:hAnsiTheme="minorBidi"/>
          <w:sz w:val="20"/>
          <w:szCs w:val="20"/>
          <w:shd w:fill="F4CCCC" w:val="clear"/>
        </w:rPr>
      </w:pPr>
      <w:r>
        <w:rPr>
          <w:rFonts w:eastAsia="Arial" w:ascii="Arial" w:hAnsi="Arial" w:asciiTheme="minorBidi" w:hAnsiTheme="minorBidi"/>
          <w:sz w:val="20"/>
          <w:szCs w:val="20"/>
          <w:shd w:fill="F4CCCC" w:val="clear"/>
        </w:rPr>
        <w:t>using information you find from an online or offline source without giving the author credit;</w:t>
      </w:r>
    </w:p>
    <w:p>
      <w:pPr>
        <w:pStyle w:val="Normal"/>
        <w:numPr>
          <w:ilvl w:val="0"/>
          <w:numId w:val="5"/>
        </w:numPr>
        <w:rPr>
          <w:rFonts w:ascii="Arial" w:hAnsi="Arial" w:eastAsia="Arial" w:asciiTheme="minorBidi" w:hAnsiTheme="minorBidi"/>
          <w:sz w:val="20"/>
          <w:szCs w:val="20"/>
          <w:shd w:fill="F4CCCC" w:val="clear"/>
        </w:rPr>
      </w:pPr>
      <w:r>
        <w:rPr>
          <w:rFonts w:eastAsia="Arial" w:ascii="Arial" w:hAnsi="Arial" w:asciiTheme="minorBidi" w:hAnsiTheme="minorBidi"/>
          <w:sz w:val="20"/>
          <w:szCs w:val="20"/>
          <w:shd w:fill="F4CCCC" w:val="clear"/>
        </w:rPr>
        <w:t>replacing words or phrases from another source and inserting your own words or phrases.</w:t>
      </w:r>
    </w:p>
    <w:p>
      <w:pPr>
        <w:pStyle w:val="Normal"/>
        <w:rPr>
          <w:rFonts w:ascii="Arial" w:hAnsi="Arial" w:eastAsia="Arial" w:asciiTheme="minorBidi" w:hAnsiTheme="minorBidi"/>
          <w:sz w:val="20"/>
          <w:szCs w:val="20"/>
          <w:shd w:fill="F4CCCC" w:val="clear"/>
        </w:rPr>
      </w:pPr>
      <w:r>
        <w:rPr>
          <w:rFonts w:eastAsia="Arial" w:ascii="Arial" w:hAnsi="Arial" w:asciiTheme="minorBidi" w:hAnsiTheme="minorBidi"/>
          <w:sz w:val="20"/>
          <w:szCs w:val="20"/>
          <w:shd w:fill="F4CCCC" w:val="clear"/>
        </w:rPr>
        <w:t>The California State University system requires instructors to report all instances of academic misconduct to the Center for Student Rights and Responsibilities. Academic dishonesty will result in disciplinary review by the University and may lead to probation, suspension, or expulsion.  Instructors may also, at their discretion, penalize student grades on any assignment or assessment discovered to have been produced in an academically dishonest manner.</w:t>
      </w:r>
    </w:p>
    <w:p>
      <w:pPr>
        <w:pStyle w:val="Normal"/>
        <w:rPr>
          <w:rFonts w:ascii="Arial" w:hAnsi="Arial" w:eastAsia="Arial" w:asciiTheme="minorBidi" w:hAnsiTheme="minorBidi"/>
          <w:sz w:val="20"/>
          <w:szCs w:val="20"/>
          <w:shd w:fill="F4CCCC" w:val="clear"/>
        </w:rPr>
      </w:pPr>
      <w:r>
        <w:rPr>
          <w:rFonts w:eastAsia="Arial" w:ascii="Arial" w:hAnsi="Arial" w:asciiTheme="minorBidi" w:hAnsiTheme="minorBidi"/>
          <w:b/>
          <w:sz w:val="20"/>
          <w:szCs w:val="20"/>
          <w:shd w:fill="F4CCCC" w:val="clear"/>
        </w:rPr>
        <w:t xml:space="preserve">Classroom Conduct Standards: </w:t>
      </w:r>
      <w:r>
        <w:rPr>
          <w:rFonts w:eastAsia="Arial" w:ascii="Arial" w:hAnsi="Arial" w:asciiTheme="minorBidi" w:hAnsiTheme="minorBidi"/>
          <w:sz w:val="20"/>
          <w:szCs w:val="20"/>
          <w:shd w:fill="F4CCCC" w:val="clear"/>
        </w:rPr>
        <w:t xml:space="preserve"> SDSU students are expected to abide by the terms of the </w:t>
      </w:r>
      <w:hyperlink r:id="rId17">
        <w:r>
          <w:rPr>
            <w:rStyle w:val="Hyperlink"/>
            <w:rFonts w:eastAsia="Arial" w:ascii="Arial" w:hAnsi="Arial" w:asciiTheme="minorBidi" w:hAnsiTheme="minorBidi"/>
            <w:color w:val="000000"/>
            <w:sz w:val="20"/>
            <w:szCs w:val="20"/>
            <w:shd w:fill="F4CCCC" w:val="clear"/>
          </w:rPr>
          <w:t>Student Conduct Code</w:t>
        </w:r>
      </w:hyperlink>
      <w:r>
        <w:rPr>
          <w:rFonts w:eastAsia="Arial" w:ascii="Arial" w:hAnsi="Arial" w:asciiTheme="minorBidi" w:hAnsiTheme="minorBidi"/>
          <w:sz w:val="20"/>
          <w:szCs w:val="20"/>
          <w:shd w:fill="F4CCCC" w:val="clear"/>
        </w:rPr>
        <w:t xml:space="preserve"> in classrooms and other instructional settings.  Prohibited conduct includes:</w:t>
      </w:r>
    </w:p>
    <w:p>
      <w:pPr>
        <w:pStyle w:val="Normal"/>
        <w:numPr>
          <w:ilvl w:val="0"/>
          <w:numId w:val="3"/>
        </w:numPr>
        <w:rPr>
          <w:rFonts w:ascii="Arial" w:hAnsi="Arial" w:eastAsia="Arial" w:asciiTheme="minorBidi" w:hAnsiTheme="minorBidi"/>
          <w:sz w:val="20"/>
          <w:szCs w:val="20"/>
          <w:shd w:fill="F4CCCC" w:val="clear"/>
        </w:rPr>
      </w:pPr>
      <w:r>
        <w:rPr>
          <w:rFonts w:eastAsia="Arial" w:ascii="Arial" w:hAnsi="Arial" w:asciiTheme="minorBidi" w:hAnsiTheme="minorBidi"/>
          <w:sz w:val="20"/>
          <w:szCs w:val="20"/>
          <w:shd w:fill="F4CCCC" w:val="clear"/>
        </w:rPr>
        <w:t>Willful, material and substantial disruption or obstruction of a University-related activity, or any on-campus activity.</w:t>
      </w:r>
    </w:p>
    <w:p>
      <w:pPr>
        <w:pStyle w:val="Normal"/>
        <w:numPr>
          <w:ilvl w:val="0"/>
          <w:numId w:val="3"/>
        </w:numPr>
        <w:rPr>
          <w:rFonts w:ascii="Arial" w:hAnsi="Arial" w:eastAsia="Arial" w:asciiTheme="minorBidi" w:hAnsiTheme="minorBidi"/>
          <w:sz w:val="20"/>
          <w:szCs w:val="20"/>
          <w:shd w:fill="F4CCCC" w:val="clear"/>
        </w:rPr>
      </w:pPr>
      <w:r>
        <w:rPr>
          <w:rFonts w:eastAsia="Arial" w:ascii="Arial" w:hAnsi="Arial" w:asciiTheme="minorBidi" w:hAnsiTheme="minorBidi"/>
          <w:sz w:val="20"/>
          <w:szCs w:val="20"/>
          <w:shd w:fill="F4CCCC" w:val="clear"/>
        </w:rPr>
        <w:t>Participating in an activity that substantially and materially disrupts the normal operations of the University, or infringes on the rights of members of the University community.</w:t>
      </w:r>
    </w:p>
    <w:p>
      <w:pPr>
        <w:pStyle w:val="Normal"/>
        <w:numPr>
          <w:ilvl w:val="0"/>
          <w:numId w:val="3"/>
        </w:numPr>
        <w:rPr>
          <w:rFonts w:ascii="Arial" w:hAnsi="Arial" w:eastAsia="Arial" w:asciiTheme="minorBidi" w:hAnsiTheme="minorBidi"/>
          <w:sz w:val="20"/>
          <w:szCs w:val="20"/>
          <w:shd w:fill="F4CCCC" w:val="clear"/>
        </w:rPr>
      </w:pPr>
      <w:r>
        <w:rPr>
          <w:rFonts w:eastAsia="Arial" w:ascii="Arial" w:hAnsi="Arial" w:asciiTheme="minorBidi" w:hAnsiTheme="minorBidi"/>
          <w:sz w:val="20"/>
          <w:szCs w:val="20"/>
          <w:shd w:fill="F4CCCC" w:val="clear"/>
        </w:rPr>
        <w:t>Unauthorized recording, dissemination, or publication (including on websites or social media) of lectures or other course materials.</w:t>
      </w:r>
    </w:p>
    <w:p>
      <w:pPr>
        <w:pStyle w:val="Normal"/>
        <w:numPr>
          <w:ilvl w:val="0"/>
          <w:numId w:val="3"/>
        </w:numPr>
        <w:rPr>
          <w:rFonts w:ascii="Arial" w:hAnsi="Arial" w:eastAsia="Arial" w:asciiTheme="minorBidi" w:hAnsiTheme="minorBidi"/>
          <w:sz w:val="20"/>
          <w:szCs w:val="20"/>
          <w:shd w:fill="F4CCCC" w:val="clear"/>
        </w:rPr>
      </w:pPr>
      <w:r>
        <w:rPr>
          <w:rFonts w:eastAsia="Arial" w:ascii="Arial" w:hAnsi="Arial" w:asciiTheme="minorBidi" w:hAnsiTheme="minorBidi"/>
          <w:sz w:val="20"/>
          <w:szCs w:val="20"/>
          <w:shd w:fill="F4CCCC" w:val="clear"/>
        </w:rPr>
        <w:t>Conduct that threatens or endangers the health or safety of any person within or related to the University community, including</w:t>
      </w:r>
    </w:p>
    <w:p>
      <w:pPr>
        <w:pStyle w:val="Normal"/>
        <w:numPr>
          <w:ilvl w:val="1"/>
          <w:numId w:val="4"/>
        </w:numPr>
        <w:rPr>
          <w:rFonts w:ascii="Arial" w:hAnsi="Arial" w:eastAsia="Arial" w:asciiTheme="minorBidi" w:hAnsiTheme="minorBidi"/>
          <w:sz w:val="20"/>
          <w:szCs w:val="20"/>
          <w:shd w:fill="F4CCCC" w:val="clear"/>
        </w:rPr>
      </w:pPr>
      <w:r>
        <w:rPr>
          <w:rFonts w:eastAsia="Arial" w:ascii="Arial" w:hAnsi="Arial" w:asciiTheme="minorBidi" w:hAnsiTheme="minorBidi"/>
          <w:sz w:val="20"/>
          <w:szCs w:val="20"/>
          <w:shd w:fill="F4CCCC" w:val="clear"/>
        </w:rPr>
        <w:t>physical abuse, threats, intimidation, or harassment.</w:t>
      </w:r>
    </w:p>
    <w:p>
      <w:pPr>
        <w:pStyle w:val="Normal"/>
        <w:numPr>
          <w:ilvl w:val="1"/>
          <w:numId w:val="4"/>
        </w:numPr>
        <w:rPr>
          <w:rFonts w:ascii="Arial" w:hAnsi="Arial" w:eastAsia="Arial" w:asciiTheme="minorBidi" w:hAnsiTheme="minorBidi"/>
          <w:sz w:val="20"/>
          <w:szCs w:val="20"/>
          <w:shd w:fill="F4CCCC" w:val="clear"/>
        </w:rPr>
      </w:pPr>
      <w:r>
        <w:rPr>
          <w:rFonts w:eastAsia="Arial" w:ascii="Arial" w:hAnsi="Arial" w:asciiTheme="minorBidi" w:hAnsiTheme="minorBidi"/>
          <w:sz w:val="20"/>
          <w:szCs w:val="20"/>
          <w:shd w:fill="F4CCCC" w:val="clear"/>
        </w:rPr>
        <w:t>sexual misconduct.</w:t>
      </w:r>
    </w:p>
    <w:p>
      <w:pPr>
        <w:pStyle w:val="Normal"/>
        <w:rPr>
          <w:rFonts w:ascii="Arial" w:hAnsi="Arial" w:eastAsia="Arial" w:asciiTheme="minorBidi" w:hAnsiTheme="minorBidi"/>
          <w:sz w:val="20"/>
          <w:szCs w:val="20"/>
          <w:shd w:fill="F4CCCC" w:val="clear"/>
        </w:rPr>
      </w:pPr>
      <w:r>
        <w:rPr>
          <w:rFonts w:eastAsia="Arial" w:ascii="Arial" w:hAnsi="Arial" w:asciiTheme="minorBidi" w:hAnsiTheme="minorBidi"/>
          <w:sz w:val="20"/>
          <w:szCs w:val="20"/>
          <w:shd w:fill="F4CCCC" w:val="clear"/>
        </w:rPr>
        <w:t>Violation of these standards will result in referral to appropriate campus authorities.</w:t>
      </w:r>
    </w:p>
    <w:p>
      <w:pPr>
        <w:sectPr>
          <w:type w:val="continuous"/>
          <w:pgSz w:w="11906" w:h="16838"/>
          <w:pgMar w:left="1180" w:right="1060" w:gutter="0" w:header="720" w:top="1560" w:footer="0" w:bottom="1760"/>
          <w:formProt w:val="false"/>
          <w:textDirection w:val="lrTb"/>
          <w:docGrid w:type="default" w:linePitch="100" w:charSpace="4096"/>
        </w:sectPr>
      </w:pPr>
    </w:p>
    <w:p>
      <w:pPr>
        <w:pStyle w:val="Normal"/>
        <w:rPr>
          <w:rFonts w:ascii="Arial" w:hAnsi="Arial" w:asciiTheme="minorBidi" w:hAnsiTheme="minorBidi"/>
          <w:sz w:val="20"/>
          <w:szCs w:val="20"/>
        </w:rPr>
      </w:pPr>
      <w:r>
        <w:rPr>
          <w:rFonts w:asciiTheme="minorBidi" w:hAnsiTheme="minorBidi" w:ascii="Arial" w:hAnsi="Arial"/>
          <w:sz w:val="20"/>
          <w:szCs w:val="20"/>
        </w:rPr>
      </w:r>
    </w:p>
    <w:p>
      <w:pPr>
        <w:pStyle w:val="Normal"/>
        <w:rPr>
          <w:rFonts w:ascii="Arial" w:hAnsi="Arial" w:asciiTheme="minorBidi" w:hAnsiTheme="minorBidi"/>
          <w:sz w:val="20"/>
          <w:szCs w:val="20"/>
        </w:rPr>
      </w:pPr>
      <w:r>
        <w:rPr>
          <w:rFonts w:asciiTheme="minorBidi" w:hAnsiTheme="minorBidi" w:ascii="Arial" w:hAnsi="Arial"/>
          <w:sz w:val="20"/>
          <w:szCs w:val="20"/>
        </w:rPr>
      </w:r>
    </w:p>
    <w:p>
      <w:pPr>
        <w:pStyle w:val="Normal"/>
        <w:rPr>
          <w:rFonts w:ascii="Arial" w:hAnsi="Arial" w:asciiTheme="minorBidi" w:hAnsiTheme="minorBidi"/>
          <w:sz w:val="20"/>
          <w:szCs w:val="20"/>
        </w:rPr>
      </w:pPr>
      <w:r>
        <w:rPr>
          <w:rFonts w:asciiTheme="minorBidi" w:hAnsiTheme="minorBidi" w:ascii="Arial" w:hAnsi="Arial"/>
          <w:sz w:val="20"/>
          <w:szCs w:val="20"/>
        </w:rPr>
      </w:r>
    </w:p>
    <w:sectPr>
      <w:type w:val="continuous"/>
      <w:pgSz w:w="11906" w:h="16838"/>
      <w:pgMar w:left="1180" w:right="1060" w:gutter="0" w:header="720" w:top="1560" w:footer="0" w:bottom="1760"/>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Calibri Light">
    <w:charset w:val="01"/>
    <w:family w:val="roman"/>
    <w:pitch w:val="variable"/>
  </w:font>
  <w:font w:name="Liberation Sans">
    <w:altName w:val="Arial"/>
    <w:charset w:val="01"/>
    <w:family w:val="swiss"/>
    <w:pitch w:val="variable"/>
  </w:font>
  <w:font w:name="Arial">
    <w:charset w:val="01"/>
    <w:family w:val="swiss"/>
    <w:pitch w:val="default"/>
  </w:font>
  <w:font w:name="Courier New">
    <w:charset w:val="01"/>
    <w:family w:val="modern"/>
    <w:pitch w:val="fixed"/>
  </w:font>
  <w:font w:name="Wingdings">
    <w:charset w:val="02"/>
    <w:family w:val="auto"/>
    <w:pitch w:val="default"/>
  </w:font>
  <w:font w:name="Symbol">
    <w:charset w:val="02"/>
    <w:family w:val="auto"/>
    <w:pitch w:val="default"/>
  </w:font>
  <w:font w:name="Wingdings 2">
    <w:charset w:val="02"/>
    <w:family w:val="auto"/>
    <w:pitch w:val="default"/>
  </w:font>
  <w:font w:name="OpenSymbol">
    <w:altName w:val="Arial Unicode MS"/>
    <w:charset w:val="01"/>
    <w:family w:val="auto"/>
    <w:pitch w:val="default"/>
  </w:font>
  <w:font w:name="Verdana">
    <w:charset w:val="01"/>
    <w:family w:val="roman"/>
    <w:pitch w:val="variable"/>
  </w:font>
  <w:font w:name="Noto Sans Symbols">
    <w:charset w:val="01"/>
    <w:family w:val="swiss"/>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66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222"/>
      <w:gridCol w:w="3222"/>
      <w:gridCol w:w="3222"/>
    </w:tblGrid>
    <w:tr>
      <w:trPr/>
      <w:tc>
        <w:tcPr>
          <w:tcW w:w="3222" w:type="dxa"/>
          <w:tcBorders/>
          <w:shd w:color="auto" w:fill="auto" w:val="clear"/>
        </w:tcPr>
        <w:p>
          <w:pPr>
            <w:pStyle w:val="Header"/>
            <w:ind w:left="-115"/>
            <w:rPr/>
          </w:pPr>
          <w:r>
            <w:rPr/>
          </w:r>
        </w:p>
      </w:tc>
      <w:tc>
        <w:tcPr>
          <w:tcW w:w="3222" w:type="dxa"/>
          <w:tcBorders/>
          <w:shd w:color="auto" w:fill="auto" w:val="clear"/>
        </w:tcPr>
        <w:p>
          <w:pPr>
            <w:pStyle w:val="Header"/>
            <w:jc w:val="center"/>
            <w:rPr/>
          </w:pPr>
          <w:r>
            <w:rPr/>
          </w:r>
        </w:p>
      </w:tc>
      <w:tc>
        <w:tcPr>
          <w:tcW w:w="3222" w:type="dxa"/>
          <w:tcBorders/>
          <w:shd w:color="auto" w:fill="auto" w:val="clear"/>
        </w:tcPr>
        <w:p>
          <w:pPr>
            <w:pStyle w:val="Header"/>
            <w:ind w:right="-115"/>
            <w:jc w:val="right"/>
            <w:rPr/>
          </w:pPr>
          <w:r>
            <w:rPr/>
          </w:r>
        </w:p>
      </w:tc>
    </w:tr>
  </w:tbl>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66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222"/>
      <w:gridCol w:w="3222"/>
      <w:gridCol w:w="3222"/>
    </w:tblGrid>
    <w:tr>
      <w:trPr/>
      <w:tc>
        <w:tcPr>
          <w:tcW w:w="3222" w:type="dxa"/>
          <w:tcBorders/>
          <w:shd w:color="auto" w:fill="auto" w:val="clear"/>
        </w:tcPr>
        <w:p>
          <w:pPr>
            <w:pStyle w:val="Header"/>
            <w:ind w:left="-115"/>
            <w:rPr/>
          </w:pPr>
          <w:r>
            <w:rPr/>
          </w:r>
        </w:p>
      </w:tc>
      <w:tc>
        <w:tcPr>
          <w:tcW w:w="3222" w:type="dxa"/>
          <w:tcBorders/>
          <w:shd w:color="auto" w:fill="auto" w:val="clear"/>
        </w:tcPr>
        <w:p>
          <w:pPr>
            <w:pStyle w:val="Header"/>
            <w:jc w:val="center"/>
            <w:rPr/>
          </w:pPr>
          <w:r>
            <w:rPr/>
          </w:r>
        </w:p>
      </w:tc>
      <w:tc>
        <w:tcPr>
          <w:tcW w:w="3222" w:type="dxa"/>
          <w:tcBorders/>
          <w:shd w:color="auto" w:fill="auto" w:val="clear"/>
        </w:tcPr>
        <w:p>
          <w:pPr>
            <w:pStyle w:val="Header"/>
            <w:ind w:right="-115"/>
            <w:jc w:val="right"/>
            <w:rPr/>
          </w:pPr>
          <w:r>
            <w:rPr/>
          </w:r>
        </w:p>
      </w:tc>
    </w:tr>
  </w:tbl>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o"/>
      <w:lvlJc w:val="left"/>
      <w:pPr>
        <w:tabs>
          <w:tab w:val="num" w:pos="0"/>
        </w:tabs>
        <w:ind w:left="839" w:hanging="360"/>
      </w:pPr>
      <w:rPr>
        <w:rFonts w:ascii="Arial" w:hAnsi="Arial" w:cs="Arial" w:hint="default"/>
        <w:color w:val="FF0000"/>
      </w:rPr>
    </w:lvl>
    <w:lvl w:ilvl="1">
      <w:start w:val="1"/>
      <w:numFmt w:val="bullet"/>
      <w:lvlText w:val="o"/>
      <w:lvlJc w:val="left"/>
      <w:pPr>
        <w:tabs>
          <w:tab w:val="num" w:pos="0"/>
        </w:tabs>
        <w:ind w:left="1559" w:hanging="360"/>
      </w:pPr>
      <w:rPr>
        <w:rFonts w:ascii="Courier New" w:hAnsi="Courier New" w:cs="Courier New" w:hint="default"/>
      </w:rPr>
    </w:lvl>
    <w:lvl w:ilvl="2">
      <w:start w:val="1"/>
      <w:numFmt w:val="bullet"/>
      <w:lvlText w:val=""/>
      <w:lvlJc w:val="left"/>
      <w:pPr>
        <w:tabs>
          <w:tab w:val="num" w:pos="0"/>
        </w:tabs>
        <w:ind w:left="2279" w:hanging="360"/>
      </w:pPr>
      <w:rPr>
        <w:rFonts w:ascii="Wingdings" w:hAnsi="Wingdings" w:cs="Wingdings" w:hint="default"/>
      </w:rPr>
    </w:lvl>
    <w:lvl w:ilvl="3">
      <w:start w:val="1"/>
      <w:numFmt w:val="bullet"/>
      <w:lvlText w:val=""/>
      <w:lvlJc w:val="left"/>
      <w:pPr>
        <w:tabs>
          <w:tab w:val="num" w:pos="0"/>
        </w:tabs>
        <w:ind w:left="2999" w:hanging="360"/>
      </w:pPr>
      <w:rPr>
        <w:rFonts w:ascii="Symbol" w:hAnsi="Symbol" w:cs="Symbol" w:hint="default"/>
      </w:rPr>
    </w:lvl>
    <w:lvl w:ilvl="4">
      <w:start w:val="1"/>
      <w:numFmt w:val="bullet"/>
      <w:lvlText w:val="o"/>
      <w:lvlJc w:val="left"/>
      <w:pPr>
        <w:tabs>
          <w:tab w:val="num" w:pos="0"/>
        </w:tabs>
        <w:ind w:left="3719" w:hanging="360"/>
      </w:pPr>
      <w:rPr>
        <w:rFonts w:ascii="Courier New" w:hAnsi="Courier New" w:cs="Courier New" w:hint="default"/>
      </w:rPr>
    </w:lvl>
    <w:lvl w:ilvl="5">
      <w:start w:val="1"/>
      <w:numFmt w:val="bullet"/>
      <w:lvlText w:val=""/>
      <w:lvlJc w:val="left"/>
      <w:pPr>
        <w:tabs>
          <w:tab w:val="num" w:pos="0"/>
        </w:tabs>
        <w:ind w:left="4439" w:hanging="360"/>
      </w:pPr>
      <w:rPr>
        <w:rFonts w:ascii="Wingdings" w:hAnsi="Wingdings" w:cs="Wingdings" w:hint="default"/>
      </w:rPr>
    </w:lvl>
    <w:lvl w:ilvl="6">
      <w:start w:val="1"/>
      <w:numFmt w:val="bullet"/>
      <w:lvlText w:val=""/>
      <w:lvlJc w:val="left"/>
      <w:pPr>
        <w:tabs>
          <w:tab w:val="num" w:pos="0"/>
        </w:tabs>
        <w:ind w:left="5159" w:hanging="360"/>
      </w:pPr>
      <w:rPr>
        <w:rFonts w:ascii="Symbol" w:hAnsi="Symbol" w:cs="Symbol" w:hint="default"/>
      </w:rPr>
    </w:lvl>
    <w:lvl w:ilvl="7">
      <w:start w:val="1"/>
      <w:numFmt w:val="bullet"/>
      <w:lvlText w:val="o"/>
      <w:lvlJc w:val="left"/>
      <w:pPr>
        <w:tabs>
          <w:tab w:val="num" w:pos="0"/>
        </w:tabs>
        <w:ind w:left="5879" w:hanging="360"/>
      </w:pPr>
      <w:rPr>
        <w:rFonts w:ascii="Courier New" w:hAnsi="Courier New" w:cs="Courier New" w:hint="default"/>
      </w:rPr>
    </w:lvl>
    <w:lvl w:ilvl="8">
      <w:start w:val="1"/>
      <w:numFmt w:val="bullet"/>
      <w:lvlText w:val=""/>
      <w:lvlJc w:val="left"/>
      <w:pPr>
        <w:tabs>
          <w:tab w:val="num" w:pos="0"/>
        </w:tabs>
        <w:ind w:left="6599" w:hanging="360"/>
      </w:pPr>
      <w:rPr>
        <w:rFonts w:ascii="Wingdings" w:hAnsi="Wingdings" w:cs="Wingdings" w:hint="default"/>
      </w:rPr>
    </w:lvl>
  </w:abstractNum>
  <w:abstractNum w:abstractNumId="2">
    <w:lvl w:ilvl="0">
      <w:start w:val="1"/>
      <w:numFmt w:val="bullet"/>
      <w:lvlText w:val=""/>
      <w:lvlJc w:val="left"/>
      <w:pPr>
        <w:tabs>
          <w:tab w:val="num" w:pos="0"/>
        </w:tabs>
        <w:ind w:left="774" w:hanging="360"/>
      </w:pPr>
      <w:rPr>
        <w:rFonts w:ascii="Symbol" w:hAnsi="Symbol" w:cs="Symbol" w:hint="default"/>
      </w:rPr>
    </w:lvl>
    <w:lvl w:ilvl="1">
      <w:start w:val="1"/>
      <w:numFmt w:val="bullet"/>
      <w:lvlText w:val="o"/>
      <w:lvlJc w:val="left"/>
      <w:pPr>
        <w:tabs>
          <w:tab w:val="num" w:pos="0"/>
        </w:tabs>
        <w:ind w:left="1494" w:hanging="360"/>
      </w:pPr>
      <w:rPr>
        <w:rFonts w:ascii="Courier New" w:hAnsi="Courier New" w:cs="Courier New" w:hint="default"/>
      </w:rPr>
    </w:lvl>
    <w:lvl w:ilvl="2">
      <w:start w:val="1"/>
      <w:numFmt w:val="bullet"/>
      <w:lvlText w:val=""/>
      <w:lvlJc w:val="left"/>
      <w:pPr>
        <w:tabs>
          <w:tab w:val="num" w:pos="0"/>
        </w:tabs>
        <w:ind w:left="2214" w:hanging="360"/>
      </w:pPr>
      <w:rPr>
        <w:rFonts w:ascii="Wingdings" w:hAnsi="Wingdings" w:cs="Wingdings" w:hint="default"/>
      </w:rPr>
    </w:lvl>
    <w:lvl w:ilvl="3">
      <w:start w:val="1"/>
      <w:numFmt w:val="bullet"/>
      <w:lvlText w:val=""/>
      <w:lvlJc w:val="left"/>
      <w:pPr>
        <w:tabs>
          <w:tab w:val="num" w:pos="0"/>
        </w:tabs>
        <w:ind w:left="2934" w:hanging="360"/>
      </w:pPr>
      <w:rPr>
        <w:rFonts w:ascii="Symbol" w:hAnsi="Symbol" w:cs="Symbol" w:hint="default"/>
      </w:rPr>
    </w:lvl>
    <w:lvl w:ilvl="4">
      <w:start w:val="1"/>
      <w:numFmt w:val="bullet"/>
      <w:lvlText w:val="o"/>
      <w:lvlJc w:val="left"/>
      <w:pPr>
        <w:tabs>
          <w:tab w:val="num" w:pos="0"/>
        </w:tabs>
        <w:ind w:left="3654" w:hanging="360"/>
      </w:pPr>
      <w:rPr>
        <w:rFonts w:ascii="Courier New" w:hAnsi="Courier New" w:cs="Courier New" w:hint="default"/>
      </w:rPr>
    </w:lvl>
    <w:lvl w:ilvl="5">
      <w:start w:val="1"/>
      <w:numFmt w:val="bullet"/>
      <w:lvlText w:val=""/>
      <w:lvlJc w:val="left"/>
      <w:pPr>
        <w:tabs>
          <w:tab w:val="num" w:pos="0"/>
        </w:tabs>
        <w:ind w:left="4374" w:hanging="360"/>
      </w:pPr>
      <w:rPr>
        <w:rFonts w:ascii="Wingdings" w:hAnsi="Wingdings" w:cs="Wingdings" w:hint="default"/>
      </w:rPr>
    </w:lvl>
    <w:lvl w:ilvl="6">
      <w:start w:val="1"/>
      <w:numFmt w:val="bullet"/>
      <w:lvlText w:val=""/>
      <w:lvlJc w:val="left"/>
      <w:pPr>
        <w:tabs>
          <w:tab w:val="num" w:pos="0"/>
        </w:tabs>
        <w:ind w:left="5094" w:hanging="360"/>
      </w:pPr>
      <w:rPr>
        <w:rFonts w:ascii="Symbol" w:hAnsi="Symbol" w:cs="Symbol" w:hint="default"/>
      </w:rPr>
    </w:lvl>
    <w:lvl w:ilvl="7">
      <w:start w:val="1"/>
      <w:numFmt w:val="bullet"/>
      <w:lvlText w:val="o"/>
      <w:lvlJc w:val="left"/>
      <w:pPr>
        <w:tabs>
          <w:tab w:val="num" w:pos="0"/>
        </w:tabs>
        <w:ind w:left="5814" w:hanging="360"/>
      </w:pPr>
      <w:rPr>
        <w:rFonts w:ascii="Courier New" w:hAnsi="Courier New" w:cs="Courier New" w:hint="default"/>
      </w:rPr>
    </w:lvl>
    <w:lvl w:ilvl="8">
      <w:start w:val="1"/>
      <w:numFmt w:val="bullet"/>
      <w:lvlText w:val=""/>
      <w:lvlJc w:val="left"/>
      <w:pPr>
        <w:tabs>
          <w:tab w:val="num" w:pos="0"/>
        </w:tabs>
        <w:ind w:left="6534"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4">
    <w:lvl w:ilvl="0">
      <w:start w:val="1"/>
      <w:numFmt w:val="decimal"/>
      <w:lvlText w:val="%1."/>
      <w:lvlJc w:val="left"/>
      <w:pPr>
        <w:tabs>
          <w:tab w:val="num" w:pos="0"/>
        </w:tabs>
        <w:ind w:left="720" w:hanging="360"/>
      </w:pPr>
      <w:rPr>
        <w:sz w:val="21"/>
        <w:u w:val="none"/>
        <w:szCs w:val="21"/>
        <w:rFonts w:ascii="Arial" w:hAnsi="Arial" w:eastAsia="Arial" w:cs="Arial"/>
      </w:rPr>
    </w:lvl>
    <w:lvl w:ilvl="1">
      <w:start w:val="1"/>
      <w:numFmt w:val="decimal"/>
      <w:lvlText w:val="%2."/>
      <w:lvlJc w:val="left"/>
      <w:pPr>
        <w:tabs>
          <w:tab w:val="num" w:pos="0"/>
        </w:tabs>
        <w:ind w:left="1440" w:hanging="360"/>
      </w:pPr>
      <w:rPr>
        <w:sz w:val="25"/>
        <w:u w:val="none"/>
        <w:szCs w:val="25"/>
        <w:rFonts w:ascii="Verdana" w:hAnsi="Verdana" w:eastAsia="Verdana" w:cs="Verdana"/>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5">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he-IL"/>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1" w:qFormat="1"/>
    <w:lsdException w:name="heading 1" w:uiPriority="1" w:qFormat="1"/>
    <w:lsdException w:name="heading 2" w:uiPriority="1"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1"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uiPriority w:val="1"/>
    <w:qFormat/>
    <w:rsid w:val="00c9116e"/>
    <w:pPr>
      <w:widowControl/>
      <w:bidi w:val="0"/>
      <w:spacing w:lineRule="auto" w:line="240" w:before="0" w:after="0"/>
      <w:jc w:val="left"/>
    </w:pPr>
    <w:rPr>
      <w:rFonts w:ascii="Calibri" w:hAnsi="Calibri" w:eastAsia="Calibri" w:cs="Arial" w:asciiTheme="minorHAnsi" w:cstheme="minorBidi" w:eastAsiaTheme="minorHAnsi" w:hAnsiTheme="minorHAnsi"/>
      <w:color w:val="auto"/>
      <w:kern w:val="0"/>
      <w:sz w:val="22"/>
      <w:szCs w:val="22"/>
      <w:lang w:val="en-US" w:eastAsia="en-US" w:bidi="ar-SA"/>
    </w:rPr>
  </w:style>
  <w:style w:type="paragraph" w:styleId="Heading1">
    <w:name w:val="Heading 1"/>
    <w:basedOn w:val="Normal"/>
    <w:link w:val="Heading1Char"/>
    <w:uiPriority w:val="1"/>
    <w:qFormat/>
    <w:rsid w:val="00c9116e"/>
    <w:pPr>
      <w:ind w:left="1385"/>
      <w:outlineLvl w:val="0"/>
    </w:pPr>
    <w:rPr>
      <w:rFonts w:ascii="Arial" w:hAnsi="Arial" w:eastAsia="Arial"/>
      <w:sz w:val="28"/>
      <w:szCs w:val="28"/>
    </w:rPr>
  </w:style>
  <w:style w:type="paragraph" w:styleId="Heading2">
    <w:name w:val="Heading 2"/>
    <w:basedOn w:val="BodyText"/>
    <w:link w:val="Heading2Char"/>
    <w:uiPriority w:val="1"/>
    <w:qFormat/>
    <w:rsid w:val="00c9116e"/>
    <w:pPr>
      <w:spacing w:before="0" w:after="140"/>
      <w:ind w:left="144" w:right="115"/>
      <w:outlineLvl w:val="1"/>
    </w:pPr>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1"/>
    <w:qFormat/>
    <w:rsid w:val="00c9116e"/>
    <w:rPr>
      <w:rFonts w:ascii="Arial" w:hAnsi="Arial" w:eastAsia="Arial"/>
      <w:sz w:val="28"/>
      <w:szCs w:val="28"/>
    </w:rPr>
  </w:style>
  <w:style w:type="character" w:styleId="Heading2Char" w:customStyle="1">
    <w:name w:val="Heading 2 Char"/>
    <w:basedOn w:val="DefaultParagraphFont"/>
    <w:link w:val="Heading2"/>
    <w:uiPriority w:val="1"/>
    <w:qFormat/>
    <w:rsid w:val="00c9116e"/>
    <w:rPr>
      <w:rFonts w:ascii="Arial" w:hAnsi="Arial" w:eastAsia="Arial"/>
      <w:sz w:val="20"/>
      <w:szCs w:val="20"/>
    </w:rPr>
  </w:style>
  <w:style w:type="character" w:styleId="TitleChar" w:customStyle="1">
    <w:name w:val="Title Char"/>
    <w:basedOn w:val="DefaultParagraphFont"/>
    <w:link w:val="Title"/>
    <w:uiPriority w:val="10"/>
    <w:qFormat/>
    <w:rsid w:val="00c9116e"/>
    <w:rPr>
      <w:i/>
      <w:color w:val="FF0000"/>
      <w:sz w:val="48"/>
      <w:szCs w:val="48"/>
    </w:rPr>
  </w:style>
  <w:style w:type="character" w:styleId="HeaderChar" w:customStyle="1">
    <w:name w:val="Header Char"/>
    <w:basedOn w:val="DefaultParagraphFont"/>
    <w:link w:val="Header"/>
    <w:uiPriority w:val="99"/>
    <w:qFormat/>
    <w:rsid w:val="00c9116e"/>
    <w:rPr/>
  </w:style>
  <w:style w:type="character" w:styleId="BodyTextChar" w:customStyle="1">
    <w:name w:val="Body Text Char"/>
    <w:basedOn w:val="DefaultParagraphFont"/>
    <w:uiPriority w:val="1"/>
    <w:qFormat/>
    <w:rsid w:val="00c9116e"/>
    <w:rPr>
      <w:rFonts w:ascii="Arial" w:hAnsi="Arial" w:eastAsia="Arial"/>
      <w:sz w:val="20"/>
      <w:szCs w:val="20"/>
    </w:rPr>
  </w:style>
  <w:style w:type="character" w:styleId="TitleChar1" w:customStyle="1">
    <w:name w:val="Title Char1"/>
    <w:basedOn w:val="DefaultParagraphFont"/>
    <w:uiPriority w:val="10"/>
    <w:qFormat/>
    <w:rsid w:val="00c9116e"/>
    <w:rPr>
      <w:rFonts w:ascii="Calibri Light" w:hAnsi="Calibri Light" w:eastAsia="" w:cs="Times New Roman" w:asciiTheme="majorHAnsi" w:cstheme="majorBidi" w:eastAsiaTheme="majorEastAsia" w:hAnsiTheme="majorHAnsi"/>
      <w:spacing w:val="-10"/>
      <w:kern w:val="2"/>
      <w:sz w:val="56"/>
      <w:szCs w:val="56"/>
    </w:rPr>
  </w:style>
  <w:style w:type="character" w:styleId="HeaderChar1" w:customStyle="1">
    <w:name w:val="Header Char1"/>
    <w:basedOn w:val="DefaultParagraphFont"/>
    <w:uiPriority w:val="99"/>
    <w:semiHidden/>
    <w:qFormat/>
    <w:rsid w:val="00c9116e"/>
    <w:rPr/>
  </w:style>
  <w:style w:type="character" w:styleId="Hyperlink">
    <w:name w:val="Hyperlink"/>
    <w:basedOn w:val="DefaultParagraphFont"/>
    <w:uiPriority w:val="99"/>
    <w:unhideWhenUsed/>
    <w:rsid w:val="00c9116e"/>
    <w:rPr>
      <w:color w:themeColor="hyperlink" w:val="0563C1"/>
      <w:u w:val="single"/>
    </w:rPr>
  </w:style>
  <w:style w:type="paragraph" w:styleId="Heading">
    <w:name w:val="Heading"/>
    <w:basedOn w:val="Normal"/>
    <w:next w:val="BodyText"/>
    <w:qFormat/>
    <w:pPr>
      <w:keepNext w:val="true"/>
      <w:spacing w:before="240" w:after="120"/>
    </w:pPr>
    <w:rPr>
      <w:rFonts w:ascii="Liberation Sans" w:hAnsi="Liberation Sans" w:eastAsia="Noto Sans CJK SC" w:cs="Lohit Devanagari"/>
      <w:sz w:val="28"/>
      <w:szCs w:val="28"/>
    </w:rPr>
  </w:style>
  <w:style w:type="paragraph" w:styleId="BodyText">
    <w:name w:val="Body Text"/>
    <w:basedOn w:val="Normal"/>
    <w:link w:val="BodyTextChar"/>
    <w:uiPriority w:val="1"/>
    <w:qFormat/>
    <w:rsid w:val="00c9116e"/>
    <w:pPr>
      <w:spacing w:before="70" w:after="0"/>
      <w:ind w:left="119"/>
    </w:pPr>
    <w:rPr>
      <w:rFonts w:ascii="Arial" w:hAnsi="Arial" w:eastAsia="Arial"/>
      <w:sz w:val="20"/>
      <w:szCs w:val="20"/>
    </w:rPr>
  </w:style>
  <w:style w:type="paragraph" w:styleId="List">
    <w:name w:val="List"/>
    <w:basedOn w:val="BodyText"/>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link w:val="TitleChar"/>
    <w:uiPriority w:val="10"/>
    <w:qFormat/>
    <w:rsid w:val="00c9116e"/>
    <w:pPr>
      <w:spacing w:before="3" w:after="0"/>
    </w:pPr>
    <w:rPr>
      <w:i/>
      <w:color w:val="FF0000"/>
      <w:sz w:val="48"/>
      <w:szCs w:val="48"/>
    </w:rPr>
  </w:style>
  <w:style w:type="paragraph" w:styleId="HeaderandFooter">
    <w:name w:val="Header and Footer"/>
    <w:basedOn w:val="Normal"/>
    <w:qFormat/>
    <w:pPr/>
    <w:rPr/>
  </w:style>
  <w:style w:type="paragraph" w:styleId="Header">
    <w:name w:val="Header"/>
    <w:basedOn w:val="Normal"/>
    <w:link w:val="HeaderChar"/>
    <w:uiPriority w:val="99"/>
    <w:unhideWhenUsed/>
    <w:rsid w:val="00c9116e"/>
    <w:pPr>
      <w:tabs>
        <w:tab w:val="clear" w:pos="720"/>
        <w:tab w:val="center" w:pos="4680" w:leader="none"/>
        <w:tab w:val="right" w:pos="9360" w:leader="none"/>
      </w:tabs>
    </w:pPr>
    <w:rPr/>
  </w:style>
  <w:style w:type="paragraph" w:styleId="Default" w:customStyle="1">
    <w:name w:val="Default"/>
    <w:qFormat/>
    <w:rsid w:val="00c9116e"/>
    <w:pPr>
      <w:widowControl/>
      <w:bidi w:val="0"/>
      <w:spacing w:lineRule="auto" w:line="240" w:before="0" w:after="0"/>
      <w:jc w:val="left"/>
    </w:pPr>
    <w:rPr>
      <w:rFonts w:ascii="Arial" w:hAnsi="Arial" w:cs="Arial" w:eastAsia="Calibri"/>
      <w:color w:val="000000"/>
      <w:kern w:val="0"/>
      <w:sz w:val="24"/>
      <w:szCs w:val="24"/>
      <w:lang w:val="en-US"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ccurtis@sdsu.edu" TargetMode="External"/><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header" Target="header3.xml"/><Relationship Id="rId6" Type="http://schemas.openxmlformats.org/officeDocument/2006/relationships/hyperlink" Target="http://bfa.sdsu.edu/hr/oerc/students/ferpa.aspx" TargetMode="External"/><Relationship Id="rId7" Type="http://schemas.openxmlformats.org/officeDocument/2006/relationships/hyperlink" Target="http://shs.sdsu.edu/index.asp" TargetMode="External"/><Relationship Id="rId8" Type="http://schemas.openxmlformats.org/officeDocument/2006/relationships/hyperlink" Target="http://go.sdsu.edu/student_affairs/sds/" TargetMode="External"/><Relationship Id="rId9" Type="http://schemas.openxmlformats.org/officeDocument/2006/relationships/hyperlink" Target="http://go.sdsu.edu/student_affairs/ecrt/Default.aspx" TargetMode="External"/><Relationship Id="rId10" Type="http://schemas.openxmlformats.org/officeDocument/2006/relationships/hyperlink" Target="mailto:ecrt@sdsu.edu" TargetMode="External"/><Relationship Id="rId11" Type="http://schemas.openxmlformats.org/officeDocument/2006/relationships/hyperlink" Target="http://writingcenter.sdsu.edu/" TargetMode="External"/><Relationship Id="rId12" Type="http://schemas.openxmlformats.org/officeDocument/2006/relationships/hyperlink" Target="https://mlc.sdsu.edu/" TargetMode="External"/><Relationship Id="rId13" Type="http://schemas.openxmlformats.org/officeDocument/2006/relationships/hyperlink" Target="http://go.sdsu.edu/student_affairs/academic_success.aspx" TargetMode="External"/><Relationship Id="rId14" Type="http://schemas.openxmlformats.org/officeDocument/2006/relationships/hyperlink" Target="http://go.sdsu.edu/student_affairs/cps/Default.aspx" TargetMode="External"/><Relationship Id="rId15" Type="http://schemas.openxmlformats.org/officeDocument/2006/relationships/hyperlink" Target="http://go.sdsu.edu/student_affairs/cps/therapist-consultation.aspx" TargetMode="External"/><Relationship Id="rId16" Type="http://schemas.openxmlformats.org/officeDocument/2006/relationships/hyperlink" Target="http://go.sdsu.edu/student_affairs/srr/cheating-plagiarism.aspx" TargetMode="External"/><Relationship Id="rId17" Type="http://schemas.openxmlformats.org/officeDocument/2006/relationships/hyperlink" Target="http://go.sdsu.edu/student_affairs/srr/conduct.aspx" TargetMode="External"/><Relationship Id="rId18" Type="http://schemas.openxmlformats.org/officeDocument/2006/relationships/numbering" Target="numbering.xml"/><Relationship Id="rId19" Type="http://schemas.openxmlformats.org/officeDocument/2006/relationships/fontTable" Target="fontTable.xml"/><Relationship Id="rId20" Type="http://schemas.openxmlformats.org/officeDocument/2006/relationships/settings" Target="settings.xml"/><Relationship Id="rId21"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11609</TotalTime>
  <Application>LibreOffice/24.2.5.2$Linux_X86_64 LibreOffice_project/420$Build-2</Application>
  <AppVersion>15.0000</AppVersion>
  <Pages>4</Pages>
  <Words>1382</Words>
  <Characters>8041</Characters>
  <CharactersWithSpaces>9384</CharactersWithSpaces>
  <Paragraphs>85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2022-01-13T23:26:00Z</dcterms:created>
  <dc:creator>Chris Curtis</dc:creator>
  <dc:description/>
  <dc:language>en-US</dc:language>
  <cp:lastModifiedBy/>
  <dcterms:modified xsi:type="dcterms:W3CDTF">2024-08-30T14:14:16Z</dcterms:modified>
  <cp:revision>206</cp:revision>
  <dc:subject/>
  <dc:title/>
</cp:coreProperties>
</file>

<file path=docProps/custom.xml><?xml version="1.0" encoding="utf-8"?>
<Properties xmlns="http://schemas.openxmlformats.org/officeDocument/2006/custom-properties" xmlns:vt="http://schemas.openxmlformats.org/officeDocument/2006/docPropsVTypes"/>
</file>