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00004" w14:textId="039D7911" w:rsidR="00553D7F" w:rsidRDefault="00553D7F" w:rsidP="00553D7F">
      <w:pPr>
        <w:spacing w:line="480" w:lineRule="auto"/>
        <w:jc w:val="center"/>
        <w:rPr>
          <w:rFonts w:ascii="Times New Roman" w:hAnsi="Times New Roman" w:cs="Times New Roman"/>
        </w:rPr>
      </w:pPr>
    </w:p>
    <w:p w14:paraId="4B3A2BF6" w14:textId="11B54B58" w:rsidR="00553D7F" w:rsidRDefault="00553D7F" w:rsidP="00553D7F">
      <w:pPr>
        <w:spacing w:line="480" w:lineRule="auto"/>
        <w:jc w:val="center"/>
        <w:rPr>
          <w:rFonts w:ascii="Times New Roman" w:hAnsi="Times New Roman" w:cs="Times New Roman"/>
        </w:rPr>
      </w:pPr>
    </w:p>
    <w:p w14:paraId="731833AD" w14:textId="02836358" w:rsidR="00553D7F" w:rsidRDefault="00553D7F" w:rsidP="00553D7F">
      <w:pPr>
        <w:spacing w:line="480" w:lineRule="auto"/>
        <w:jc w:val="center"/>
        <w:rPr>
          <w:rFonts w:ascii="Times New Roman" w:hAnsi="Times New Roman" w:cs="Times New Roman"/>
        </w:rPr>
      </w:pPr>
    </w:p>
    <w:p w14:paraId="0586E53D" w14:textId="23150678" w:rsidR="00553D7F" w:rsidRDefault="00553D7F" w:rsidP="00553D7F">
      <w:pPr>
        <w:spacing w:line="480" w:lineRule="auto"/>
        <w:jc w:val="center"/>
        <w:rPr>
          <w:rFonts w:ascii="Times New Roman" w:hAnsi="Times New Roman" w:cs="Times New Roman"/>
        </w:rPr>
      </w:pPr>
    </w:p>
    <w:p w14:paraId="78A5E1A1" w14:textId="0298C21E" w:rsidR="00553D7F" w:rsidRDefault="00553D7F" w:rsidP="00553D7F">
      <w:pPr>
        <w:spacing w:line="480" w:lineRule="auto"/>
        <w:jc w:val="center"/>
        <w:rPr>
          <w:rFonts w:ascii="Times New Roman" w:hAnsi="Times New Roman" w:cs="Times New Roman"/>
          <w:sz w:val="28"/>
          <w:szCs w:val="28"/>
        </w:rPr>
      </w:pPr>
      <w:r w:rsidRPr="00553D7F">
        <w:rPr>
          <w:rFonts w:ascii="Times New Roman" w:hAnsi="Times New Roman" w:cs="Times New Roman"/>
          <w:sz w:val="28"/>
          <w:szCs w:val="28"/>
        </w:rPr>
        <w:t xml:space="preserve">Correlations between </w:t>
      </w:r>
      <w:r>
        <w:rPr>
          <w:rFonts w:ascii="Times New Roman" w:hAnsi="Times New Roman" w:cs="Times New Roman"/>
          <w:sz w:val="28"/>
          <w:szCs w:val="28"/>
        </w:rPr>
        <w:t>Genome Size and Speciation Rates in Gymnosperm</w:t>
      </w:r>
    </w:p>
    <w:p w14:paraId="395BB631" w14:textId="38CF112F" w:rsidR="00553D7F" w:rsidRDefault="00553D7F" w:rsidP="00553D7F">
      <w:pPr>
        <w:spacing w:line="480" w:lineRule="auto"/>
        <w:jc w:val="center"/>
        <w:rPr>
          <w:rFonts w:ascii="Times New Roman" w:hAnsi="Times New Roman" w:cs="Times New Roman"/>
        </w:rPr>
      </w:pPr>
      <w:r>
        <w:rPr>
          <w:rFonts w:ascii="Times New Roman" w:hAnsi="Times New Roman" w:cs="Times New Roman"/>
        </w:rPr>
        <w:t xml:space="preserve">Alexander Cole </w:t>
      </w:r>
      <w:proofErr w:type="spellStart"/>
      <w:r>
        <w:rPr>
          <w:rFonts w:ascii="Times New Roman" w:hAnsi="Times New Roman" w:cs="Times New Roman"/>
        </w:rPr>
        <w:t>Stiltner</w:t>
      </w:r>
      <w:proofErr w:type="spellEnd"/>
      <w:r>
        <w:rPr>
          <w:rFonts w:ascii="Times New Roman" w:hAnsi="Times New Roman" w:cs="Times New Roman"/>
        </w:rPr>
        <w:t xml:space="preserve"> </w:t>
      </w:r>
    </w:p>
    <w:p w14:paraId="7AD31608" w14:textId="3DE2B411" w:rsidR="00553D7F" w:rsidRDefault="00553D7F" w:rsidP="00553D7F">
      <w:pPr>
        <w:spacing w:line="480" w:lineRule="auto"/>
        <w:jc w:val="center"/>
        <w:rPr>
          <w:rFonts w:ascii="Times New Roman" w:hAnsi="Times New Roman" w:cs="Times New Roman"/>
        </w:rPr>
      </w:pPr>
      <w:r>
        <w:rPr>
          <w:rFonts w:ascii="Times New Roman" w:hAnsi="Times New Roman" w:cs="Times New Roman"/>
        </w:rPr>
        <w:t xml:space="preserve">WVU Tech </w:t>
      </w:r>
    </w:p>
    <w:p w14:paraId="3D22B9AE" w14:textId="390F369C" w:rsidR="00553D7F" w:rsidRDefault="00553D7F" w:rsidP="00553D7F">
      <w:pPr>
        <w:spacing w:line="480" w:lineRule="auto"/>
        <w:jc w:val="center"/>
        <w:rPr>
          <w:rFonts w:ascii="Times New Roman" w:hAnsi="Times New Roman" w:cs="Times New Roman"/>
        </w:rPr>
      </w:pPr>
      <w:r>
        <w:rPr>
          <w:rFonts w:ascii="Times New Roman" w:hAnsi="Times New Roman" w:cs="Times New Roman"/>
        </w:rPr>
        <w:t xml:space="preserve">Dr. Johnathan Mitchell </w:t>
      </w:r>
    </w:p>
    <w:p w14:paraId="17AECDF3" w14:textId="7AB7C7A3" w:rsidR="00553D7F" w:rsidRDefault="00553D7F" w:rsidP="00553D7F">
      <w:pPr>
        <w:spacing w:line="480" w:lineRule="auto"/>
        <w:jc w:val="center"/>
        <w:rPr>
          <w:rFonts w:ascii="Times New Roman" w:hAnsi="Times New Roman" w:cs="Times New Roman"/>
        </w:rPr>
      </w:pPr>
      <w:r>
        <w:rPr>
          <w:rFonts w:ascii="Times New Roman" w:hAnsi="Times New Roman" w:cs="Times New Roman"/>
        </w:rPr>
        <w:t xml:space="preserve">BIOL – 461 </w:t>
      </w:r>
    </w:p>
    <w:p w14:paraId="7772B33E" w14:textId="77777777" w:rsidR="00553D7F" w:rsidRDefault="00553D7F">
      <w:pPr>
        <w:rPr>
          <w:rFonts w:ascii="Times New Roman" w:hAnsi="Times New Roman" w:cs="Times New Roman"/>
        </w:rPr>
      </w:pPr>
      <w:r>
        <w:rPr>
          <w:rFonts w:ascii="Times New Roman" w:hAnsi="Times New Roman" w:cs="Times New Roman"/>
        </w:rPr>
        <w:br w:type="page"/>
      </w:r>
    </w:p>
    <w:p w14:paraId="149A3389" w14:textId="5C4125C6" w:rsidR="00553D7F" w:rsidRDefault="00553D7F" w:rsidP="00553D7F">
      <w:pPr>
        <w:spacing w:line="480" w:lineRule="auto"/>
        <w:jc w:val="center"/>
        <w:rPr>
          <w:rFonts w:ascii="Times New Roman" w:hAnsi="Times New Roman" w:cs="Times New Roman"/>
          <w:b/>
          <w:bCs/>
        </w:rPr>
      </w:pPr>
      <w:r>
        <w:rPr>
          <w:rFonts w:ascii="Times New Roman" w:hAnsi="Times New Roman" w:cs="Times New Roman"/>
          <w:b/>
          <w:bCs/>
        </w:rPr>
        <w:lastRenderedPageBreak/>
        <w:t xml:space="preserve">Abstract </w:t>
      </w:r>
    </w:p>
    <w:p w14:paraId="4A530382" w14:textId="3B834535" w:rsidR="00553D7F" w:rsidRDefault="00E855CE" w:rsidP="00553D7F">
      <w:pPr>
        <w:spacing w:line="480" w:lineRule="auto"/>
        <w:rPr>
          <w:rFonts w:ascii="Times New Roman" w:hAnsi="Times New Roman" w:cs="Times New Roman"/>
        </w:rPr>
      </w:pPr>
      <w:r>
        <w:rPr>
          <w:rFonts w:ascii="Times New Roman" w:hAnsi="Times New Roman" w:cs="Times New Roman"/>
        </w:rPr>
        <w:tab/>
        <w:t xml:space="preserve">The purpose of the paper is to investigate if genome size has a correlation between the speciation rates through mutations and </w:t>
      </w:r>
      <w:proofErr w:type="gramStart"/>
      <w:r>
        <w:rPr>
          <w:rFonts w:ascii="Times New Roman" w:hAnsi="Times New Roman" w:cs="Times New Roman"/>
        </w:rPr>
        <w:t>look into</w:t>
      </w:r>
      <w:proofErr w:type="gramEnd"/>
      <w:r>
        <w:rPr>
          <w:rFonts w:ascii="Times New Roman" w:hAnsi="Times New Roman" w:cs="Times New Roman"/>
        </w:rPr>
        <w:t xml:space="preserve"> understanding more about the purpose and function of noncoding DNA. Using data created by Gregory Stull from his study on gene duplication </w:t>
      </w:r>
      <w:r w:rsidR="00066BD0">
        <w:rPr>
          <w:rFonts w:ascii="Times New Roman" w:hAnsi="Times New Roman" w:cs="Times New Roman"/>
        </w:rPr>
        <w:t>i</w:t>
      </w:r>
      <w:r>
        <w:rPr>
          <w:rFonts w:ascii="Times New Roman" w:hAnsi="Times New Roman" w:cs="Times New Roman"/>
        </w:rPr>
        <w:t>n gymnosperms, a phylogeny tree of the gymnosperm was constructed and used to calculate the speciation rates of each species</w:t>
      </w:r>
      <w:r w:rsidR="00066BD0">
        <w:rPr>
          <w:rFonts w:ascii="Times New Roman" w:hAnsi="Times New Roman" w:cs="Times New Roman"/>
        </w:rPr>
        <w:t xml:space="preserve"> </w:t>
      </w:r>
      <w:r w:rsidR="00066BD0">
        <w:rPr>
          <w:rFonts w:ascii="Times New Roman" w:hAnsi="Times New Roman" w:cs="Times New Roman"/>
        </w:rPr>
        <w:fldChar w:fldCharType="begin"/>
      </w:r>
      <w:r w:rsidR="00066BD0">
        <w:rPr>
          <w:rFonts w:ascii="Times New Roman" w:hAnsi="Times New Roman" w:cs="Times New Roman"/>
        </w:rPr>
        <w:instrText xml:space="preserve"> ADDIN ZOTERO_ITEM CSL_CITATION {"citationID":"EX2Nkoiz","properties":{"formattedCitation":"({\\i{}Gene Duplications and Genomic Conflict Underlie Major Pulses of Phenotypic Evolution in Gymnosperms}, 2021)","plainCitation":"(Gene Duplications and Genomic Conflict Underlie Major Pulses of Phenotypic Evolution in Gymnosperms, 2021)","noteIndex":0},"citationItems":[{"id":210,"uris":["http://zotero.org/users/7080729/items/C5M9NQPT"],"itemData":{"id":210,"type":"article-journal","abstract":"Data deposit for Stull et al. 2021. Gene duplications and genomic conflict underlie major pulses of phenotypic evolution in gymnosperms.","DOI":"10.6084/m9.figshare.14547354.v1","language":"en","note":"publisher: figshare\ntype: dataset","source":"figshare.com","title":"Gene duplications and genomic conflict underlie major pulses of phenotypic evolution in gymnosperms","URL":"https://figshare.com/articles/dataset/Gene_duplications_and_genomic_conflict_underlie_major_pulses_of_phenotypic_evolution_in_gymnosperms/14547354/1","accessed":{"date-parts":[["2022",4,28]]},"issued":{"date-parts":[["2021",6,29]]}}}],"schema":"https://github.com/citation-style-language/schema/raw/master/csl-citation.json"} </w:instrText>
      </w:r>
      <w:r w:rsidR="00066BD0">
        <w:rPr>
          <w:rFonts w:ascii="Times New Roman" w:hAnsi="Times New Roman" w:cs="Times New Roman"/>
        </w:rPr>
        <w:fldChar w:fldCharType="separate"/>
      </w:r>
      <w:r w:rsidR="00066BD0" w:rsidRPr="00066BD0">
        <w:rPr>
          <w:rFonts w:ascii="Times New Roman" w:hAnsi="Times New Roman" w:cs="Times New Roman"/>
        </w:rPr>
        <w:t>(</w:t>
      </w:r>
      <w:r w:rsidR="00066BD0" w:rsidRPr="00066BD0">
        <w:rPr>
          <w:rFonts w:ascii="Times New Roman" w:hAnsi="Times New Roman" w:cs="Times New Roman"/>
          <w:i/>
          <w:iCs/>
        </w:rPr>
        <w:t>Gene Duplications and Genomic Conflict Underlie Major Pulses of Phenotypic Evolution in Gymnosperms</w:t>
      </w:r>
      <w:r w:rsidR="00066BD0" w:rsidRPr="00066BD0">
        <w:rPr>
          <w:rFonts w:ascii="Times New Roman" w:hAnsi="Times New Roman" w:cs="Times New Roman"/>
        </w:rPr>
        <w:t>, 2021)</w:t>
      </w:r>
      <w:r w:rsidR="00066BD0">
        <w:rPr>
          <w:rFonts w:ascii="Times New Roman" w:hAnsi="Times New Roman" w:cs="Times New Roman"/>
        </w:rPr>
        <w:fldChar w:fldCharType="end"/>
      </w:r>
      <w:r>
        <w:rPr>
          <w:rFonts w:ascii="Times New Roman" w:hAnsi="Times New Roman" w:cs="Times New Roman"/>
        </w:rPr>
        <w:t xml:space="preserve">. The speciation rates were used along with the C-values of the species to find correlation between speciation rate and genome size. The results from the Pearson’s correlation method show that there was little to no correlation between the genome size of the species and their speciation rates. </w:t>
      </w:r>
    </w:p>
    <w:p w14:paraId="494AED21" w14:textId="77777777" w:rsidR="00553D7F" w:rsidRDefault="00553D7F">
      <w:pPr>
        <w:rPr>
          <w:rFonts w:ascii="Times New Roman" w:hAnsi="Times New Roman" w:cs="Times New Roman"/>
        </w:rPr>
      </w:pPr>
      <w:r>
        <w:rPr>
          <w:rFonts w:ascii="Times New Roman" w:hAnsi="Times New Roman" w:cs="Times New Roman"/>
        </w:rPr>
        <w:br w:type="page"/>
      </w:r>
    </w:p>
    <w:p w14:paraId="21E50FF7" w14:textId="00DCA446" w:rsidR="00553D7F" w:rsidRDefault="00553D7F" w:rsidP="00553D7F">
      <w:pPr>
        <w:spacing w:line="480" w:lineRule="auto"/>
        <w:rPr>
          <w:rFonts w:ascii="Times New Roman" w:hAnsi="Times New Roman" w:cs="Times New Roman"/>
          <w:b/>
          <w:bCs/>
        </w:rPr>
      </w:pPr>
      <w:r>
        <w:rPr>
          <w:rFonts w:ascii="Times New Roman" w:hAnsi="Times New Roman" w:cs="Times New Roman"/>
          <w:b/>
          <w:bCs/>
        </w:rPr>
        <w:lastRenderedPageBreak/>
        <w:t>Introduction</w:t>
      </w:r>
    </w:p>
    <w:p w14:paraId="2B96C38F" w14:textId="3EA4228B" w:rsidR="00553D7F" w:rsidRDefault="00553D7F" w:rsidP="00553D7F">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An organism’s genome refers to the unit in which the entire set of DNA is found in the cell of the organism, and the organisms DNA holds the instructions of how the organisms needs to develop and function. How all organisms know how to become the organism that they are is through the instruction of DNA. How DNA gets its information on how to develop an organism is from the DNA being pasted down form the parent organism or parent organisms to the offspring. The DNA code that is made for the offspring is never exactly identical to the DNA form the parent or parents. Changes in the sequence can lead to mutations in the organisms and what all that has been described leads to the basic principles of evolution and how </w:t>
      </w:r>
      <w:r w:rsidR="00066BD0">
        <w:rPr>
          <w:rFonts w:ascii="Times New Roman" w:hAnsi="Times New Roman" w:cs="Times New Roman"/>
        </w:rPr>
        <w:t>we understand it</w:t>
      </w:r>
      <w:r>
        <w:rPr>
          <w:rFonts w:ascii="Times New Roman" w:hAnsi="Times New Roman" w:cs="Times New Roman"/>
        </w:rPr>
        <w:t xml:space="preserve">. </w:t>
      </w:r>
    </w:p>
    <w:p w14:paraId="21615C8F" w14:textId="0C1964B5" w:rsidR="00553D7F" w:rsidRDefault="00553D7F" w:rsidP="00553D7F">
      <w:pPr>
        <w:spacing w:line="480" w:lineRule="auto"/>
        <w:rPr>
          <w:rFonts w:ascii="Times New Roman" w:hAnsi="Times New Roman" w:cs="Times New Roman"/>
        </w:rPr>
      </w:pPr>
      <w:r>
        <w:rPr>
          <w:rFonts w:ascii="Times New Roman" w:hAnsi="Times New Roman" w:cs="Times New Roman"/>
        </w:rPr>
        <w:tab/>
        <w:t xml:space="preserve">Speciation is an evolutionary process </w:t>
      </w:r>
      <w:r w:rsidR="0021084F">
        <w:rPr>
          <w:rFonts w:ascii="Times New Roman" w:hAnsi="Times New Roman" w:cs="Times New Roman"/>
        </w:rPr>
        <w:t xml:space="preserve">in </w:t>
      </w:r>
      <w:r>
        <w:rPr>
          <w:rFonts w:ascii="Times New Roman" w:hAnsi="Times New Roman" w:cs="Times New Roman"/>
        </w:rPr>
        <w:t>w</w:t>
      </w:r>
      <w:r w:rsidR="0021084F">
        <w:rPr>
          <w:rFonts w:ascii="Times New Roman" w:hAnsi="Times New Roman" w:cs="Times New Roman"/>
        </w:rPr>
        <w:t xml:space="preserve">hich </w:t>
      </w:r>
      <w:r>
        <w:rPr>
          <w:rFonts w:ascii="Times New Roman" w:hAnsi="Times New Roman" w:cs="Times New Roman"/>
        </w:rPr>
        <w:t xml:space="preserve">new species come into being. In this paper, species is defined as being a group of living organisms consisting of individuals that are capable of exchanging genes or interbreeding, along with the species having a principal taxonomic unit that is ranked below genus and denoted by the Latin binomial. How Speciation is formed is by some form of barrier or conjoint effort from multiple barriers that leads to a population of species to become two group that cannot exchange genes with one another. The barrier that causes the split can be caused by </w:t>
      </w:r>
      <w:r w:rsidR="007B7F81">
        <w:rPr>
          <w:rFonts w:ascii="Times New Roman" w:hAnsi="Times New Roman" w:cs="Times New Roman"/>
        </w:rPr>
        <w:t>evolutionary</w:t>
      </w:r>
      <w:r>
        <w:rPr>
          <w:rFonts w:ascii="Times New Roman" w:hAnsi="Times New Roman" w:cs="Times New Roman"/>
        </w:rPr>
        <w:t xml:space="preserve"> forces </w:t>
      </w:r>
      <w:r w:rsidR="007B7F81">
        <w:rPr>
          <w:rFonts w:ascii="Times New Roman" w:hAnsi="Times New Roman" w:cs="Times New Roman"/>
        </w:rPr>
        <w:t>which are genetic drift, selection, mutation, and migration</w:t>
      </w:r>
      <w:r>
        <w:rPr>
          <w:rFonts w:ascii="Times New Roman" w:hAnsi="Times New Roman" w:cs="Times New Roman"/>
        </w:rPr>
        <w:t>.</w:t>
      </w:r>
      <w:r w:rsidR="00E45303">
        <w:rPr>
          <w:rFonts w:ascii="Times New Roman" w:hAnsi="Times New Roman" w:cs="Times New Roman"/>
        </w:rPr>
        <w:t xml:space="preserve"> </w:t>
      </w:r>
    </w:p>
    <w:p w14:paraId="147237C0" w14:textId="13FA8874" w:rsidR="00553D7F" w:rsidRDefault="00402C13" w:rsidP="00553D7F">
      <w:pPr>
        <w:spacing w:line="480" w:lineRule="auto"/>
        <w:rPr>
          <w:rFonts w:ascii="Times New Roman" w:hAnsi="Times New Roman" w:cs="Times New Roman"/>
        </w:rPr>
      </w:pPr>
      <w:r>
        <w:rPr>
          <w:rFonts w:ascii="Times New Roman" w:hAnsi="Times New Roman" w:cs="Times New Roman"/>
        </w:rPr>
        <w:tab/>
        <w:t xml:space="preserve">One of these forces that I want to test if there is a correlation with speciation rates </w:t>
      </w:r>
      <w:r w:rsidR="00066BD0">
        <w:rPr>
          <w:rFonts w:ascii="Times New Roman" w:hAnsi="Times New Roman" w:cs="Times New Roman"/>
        </w:rPr>
        <w:t xml:space="preserve">and </w:t>
      </w:r>
      <w:r>
        <w:rPr>
          <w:rFonts w:ascii="Times New Roman" w:hAnsi="Times New Roman" w:cs="Times New Roman"/>
        </w:rPr>
        <w:t xml:space="preserve">genome size. The genome size makes up the whole DNA sequence, however, in most organisms, a small percentage of that DNA makes up the coding DNA. The coding DNA is the sequences that code for proteins and control most of the development of the organism. Human’s coding DNA for example only make up about 8.2% of the whole genome </w:t>
      </w:r>
      <w:r>
        <w:rPr>
          <w:rFonts w:ascii="Times New Roman" w:hAnsi="Times New Roman" w:cs="Times New Roman"/>
        </w:rPr>
        <w:fldChar w:fldCharType="begin"/>
      </w:r>
      <w:r>
        <w:rPr>
          <w:rFonts w:ascii="Times New Roman" w:hAnsi="Times New Roman" w:cs="Times New Roman"/>
        </w:rPr>
        <w:instrText xml:space="preserve"> ADDIN ZOTERO_ITEM CSL_CITATION {"citationID":"tkU6um74","properties":{"formattedCitation":"({\\i{}8.2% of Our DNA Is \\uc0\\u8216{}Functional\\uc0\\u8217{} | University of Oxford}, n.d.)","plainCitation":"(8.2% of Our DNA Is ‘Functional’ | University of Oxford, n.d.)","noteIndex":0},"citationItems":[{"id":208,"uris":["http://zotero.org/users/7080729/items/68JS3G65"],"itemData":{"id":208,"type":"webpage","abstract":"Only 8.2% of human DNA is likely to be doing something important – is 'functional' – say Oxford University researchers.","language":"en","title":"8.2% of our DNA is ‘functional’ | University of Oxford","URL":"https://www.ox.ac.uk/news/2014-07-25-82-our-dna-%E2%80%98functional%E2%80%99","accessed":{"date-parts":[["2022",4,28]]}}}],"schema":"https://github.com/citation-style-language/schema/raw/master/csl-citation.json"} </w:instrText>
      </w:r>
      <w:r>
        <w:rPr>
          <w:rFonts w:ascii="Times New Roman" w:hAnsi="Times New Roman" w:cs="Times New Roman"/>
        </w:rPr>
        <w:fldChar w:fldCharType="separate"/>
      </w:r>
      <w:r w:rsidRPr="00402C13">
        <w:rPr>
          <w:rFonts w:ascii="Times New Roman" w:hAnsi="Times New Roman" w:cs="Times New Roman"/>
        </w:rPr>
        <w:t>(</w:t>
      </w:r>
      <w:r w:rsidRPr="00402C13">
        <w:rPr>
          <w:rFonts w:ascii="Times New Roman" w:hAnsi="Times New Roman" w:cs="Times New Roman"/>
          <w:i/>
          <w:iCs/>
        </w:rPr>
        <w:t xml:space="preserve">8.2% of Our DNA Is </w:t>
      </w:r>
      <w:r w:rsidRPr="00402C13">
        <w:rPr>
          <w:rFonts w:ascii="Times New Roman" w:hAnsi="Times New Roman" w:cs="Times New Roman"/>
          <w:i/>
          <w:iCs/>
        </w:rPr>
        <w:lastRenderedPageBreak/>
        <w:t>‘Functional’ | University of Oxford</w:t>
      </w:r>
      <w:r w:rsidRPr="00402C13">
        <w:rPr>
          <w:rFonts w:ascii="Times New Roman" w:hAnsi="Times New Roman" w:cs="Times New Roman"/>
        </w:rPr>
        <w:t>, n.d.)</w:t>
      </w:r>
      <w:r>
        <w:rPr>
          <w:rFonts w:ascii="Times New Roman" w:hAnsi="Times New Roman" w:cs="Times New Roman"/>
        </w:rPr>
        <w:fldChar w:fldCharType="end"/>
      </w:r>
      <w:r>
        <w:rPr>
          <w:rFonts w:ascii="Times New Roman" w:hAnsi="Times New Roman" w:cs="Times New Roman"/>
        </w:rPr>
        <w:t xml:space="preserve">. The rest of the DNA is referred to as “junk DNA” or “noncoding DNA” because it was assumed that this DNA had little to no purpose. I wanted to test to see if </w:t>
      </w:r>
      <w:r w:rsidR="00F4681C">
        <w:rPr>
          <w:rFonts w:ascii="Times New Roman" w:hAnsi="Times New Roman" w:cs="Times New Roman"/>
        </w:rPr>
        <w:t>larger genome size could have an increase on the rate of speciation in different species of Gymnosperm. This claim is based on the idea that the larger the DNA sequence is, the higher the chance of mut</w:t>
      </w:r>
      <w:r w:rsidR="007B7F81">
        <w:rPr>
          <w:rFonts w:ascii="Times New Roman" w:hAnsi="Times New Roman" w:cs="Times New Roman"/>
        </w:rPr>
        <w:t>ations</w:t>
      </w:r>
      <w:r w:rsidR="00F4681C">
        <w:rPr>
          <w:rFonts w:ascii="Times New Roman" w:hAnsi="Times New Roman" w:cs="Times New Roman"/>
        </w:rPr>
        <w:t xml:space="preserve"> to occur and cause the species to evolve into new species. </w:t>
      </w:r>
    </w:p>
    <w:p w14:paraId="2EBD7A60" w14:textId="77777777" w:rsidR="00F4681C" w:rsidRDefault="00F4681C" w:rsidP="00553D7F">
      <w:pPr>
        <w:spacing w:line="480" w:lineRule="auto"/>
        <w:rPr>
          <w:rFonts w:ascii="Times New Roman" w:hAnsi="Times New Roman" w:cs="Times New Roman"/>
        </w:rPr>
      </w:pPr>
    </w:p>
    <w:p w14:paraId="0D9AC1C2" w14:textId="14DE4B23" w:rsidR="00553D7F" w:rsidRDefault="00553D7F" w:rsidP="00553D7F">
      <w:pPr>
        <w:spacing w:line="480" w:lineRule="auto"/>
        <w:rPr>
          <w:rFonts w:ascii="Times New Roman" w:hAnsi="Times New Roman" w:cs="Times New Roman"/>
          <w:b/>
          <w:bCs/>
        </w:rPr>
      </w:pPr>
      <w:r>
        <w:rPr>
          <w:rFonts w:ascii="Times New Roman" w:hAnsi="Times New Roman" w:cs="Times New Roman"/>
          <w:b/>
          <w:bCs/>
        </w:rPr>
        <w:t xml:space="preserve">Methods </w:t>
      </w:r>
    </w:p>
    <w:p w14:paraId="47937407" w14:textId="62511111" w:rsidR="005D2C53" w:rsidRDefault="00125C9B" w:rsidP="00553D7F">
      <w:pPr>
        <w:spacing w:line="480" w:lineRule="auto"/>
        <w:rPr>
          <w:rFonts w:ascii="Times New Roman" w:hAnsi="Times New Roman" w:cs="Times New Roman"/>
        </w:rPr>
      </w:pPr>
      <w:r>
        <w:rPr>
          <w:rFonts w:ascii="Times New Roman" w:hAnsi="Times New Roman" w:cs="Times New Roman"/>
        </w:rPr>
        <w:tab/>
        <w:t xml:space="preserve">To test the correlation between genome size and rate of speciation, the data that was used was </w:t>
      </w:r>
      <w:r w:rsidR="008868C6">
        <w:rPr>
          <w:rFonts w:ascii="Times New Roman" w:hAnsi="Times New Roman" w:cs="Times New Roman"/>
        </w:rPr>
        <w:t xml:space="preserve">collected and reported by Gregory Stull </w:t>
      </w:r>
      <w:r w:rsidR="008868C6">
        <w:rPr>
          <w:rFonts w:ascii="Times New Roman" w:hAnsi="Times New Roman" w:cs="Times New Roman"/>
        </w:rPr>
        <w:fldChar w:fldCharType="begin"/>
      </w:r>
      <w:r w:rsidR="008868C6">
        <w:rPr>
          <w:rFonts w:ascii="Times New Roman" w:hAnsi="Times New Roman" w:cs="Times New Roman"/>
        </w:rPr>
        <w:instrText xml:space="preserve"> ADDIN ZOTERO_ITEM CSL_CITATION {"citationID":"zPF565IX","properties":{"formattedCitation":"({\\i{}Gene Duplications and Genomic Conflict Underlie Major Pulses of Phenotypic Evolution in Gymnosperms}, 2021)","plainCitation":"(Gene Duplications and Genomic Conflict Underlie Major Pulses of Phenotypic Evolution in Gymnosperms, 2021)","noteIndex":0},"citationItems":[{"id":210,"uris":["http://zotero.org/users/7080729/items/C5M9NQPT"],"itemData":{"id":210,"type":"article-journal","abstract":"Data deposit for Stull et al. 2021. Gene duplications and genomic conflict underlie major pulses of phenotypic evolution in gymnosperms.","DOI":"10.6084/m9.figshare.14547354.v1","language":"en","note":"publisher: figshare\ntype: dataset","source":"figshare.com","title":"Gene duplications and genomic conflict underlie major pulses of phenotypic evolution in gymnosperms","URL":"https://figshare.com/articles/dataset/Gene_duplications_and_genomic_conflict_underlie_major_pulses_of_phenotypic_evolution_in_gymnosperms/14547354/1","accessed":{"date-parts":[["2022",4,28]]},"issued":{"date-parts":[["2021",6,29]]}}}],"schema":"https://github.com/citation-style-language/schema/raw/master/csl-citation.json"} </w:instrText>
      </w:r>
      <w:r w:rsidR="008868C6">
        <w:rPr>
          <w:rFonts w:ascii="Times New Roman" w:hAnsi="Times New Roman" w:cs="Times New Roman"/>
        </w:rPr>
        <w:fldChar w:fldCharType="separate"/>
      </w:r>
      <w:r w:rsidR="008868C6" w:rsidRPr="008868C6">
        <w:rPr>
          <w:rFonts w:ascii="Times New Roman" w:hAnsi="Times New Roman" w:cs="Times New Roman"/>
        </w:rPr>
        <w:t>(</w:t>
      </w:r>
      <w:r w:rsidR="008868C6" w:rsidRPr="008868C6">
        <w:rPr>
          <w:rFonts w:ascii="Times New Roman" w:hAnsi="Times New Roman" w:cs="Times New Roman"/>
          <w:i/>
          <w:iCs/>
        </w:rPr>
        <w:t>Gene Duplications and Genomic Conflict Underlie Major Pulses of Phenotypic Evolution in Gymnosperms</w:t>
      </w:r>
      <w:r w:rsidR="008868C6" w:rsidRPr="008868C6">
        <w:rPr>
          <w:rFonts w:ascii="Times New Roman" w:hAnsi="Times New Roman" w:cs="Times New Roman"/>
        </w:rPr>
        <w:t>, 2021)</w:t>
      </w:r>
      <w:r w:rsidR="008868C6">
        <w:rPr>
          <w:rFonts w:ascii="Times New Roman" w:hAnsi="Times New Roman" w:cs="Times New Roman"/>
        </w:rPr>
        <w:fldChar w:fldCharType="end"/>
      </w:r>
      <w:r w:rsidR="008868C6">
        <w:rPr>
          <w:rFonts w:ascii="Times New Roman" w:hAnsi="Times New Roman" w:cs="Times New Roman"/>
        </w:rPr>
        <w:t>. Stull’s data include a Phylogeny Tree of 1,055 different species of Gymnosperm and collected the C-value for 192 of the different species of Gymnosperm. The C-value is what represents the genome size of an organism and is a unit of mass. The mass for the genome size of a Gymnosperm is measured in picograms (</w:t>
      </w:r>
      <w:proofErr w:type="spellStart"/>
      <w:r w:rsidR="008868C6">
        <w:rPr>
          <w:rFonts w:ascii="Times New Roman" w:hAnsi="Times New Roman" w:cs="Times New Roman"/>
        </w:rPr>
        <w:t>pg</w:t>
      </w:r>
      <w:proofErr w:type="spellEnd"/>
      <w:r w:rsidR="008868C6">
        <w:rPr>
          <w:rFonts w:ascii="Times New Roman" w:hAnsi="Times New Roman" w:cs="Times New Roman"/>
        </w:rPr>
        <w:t xml:space="preserve">). The data was transferred into </w:t>
      </w:r>
      <w:r w:rsidR="008868C6" w:rsidRPr="008868C6">
        <w:rPr>
          <w:rFonts w:ascii="Times New Roman" w:hAnsi="Times New Roman" w:cs="Times New Roman"/>
          <w:i/>
          <w:iCs/>
        </w:rPr>
        <w:t>R studio</w:t>
      </w:r>
      <w:r w:rsidR="008868C6">
        <w:rPr>
          <w:rFonts w:ascii="Times New Roman" w:hAnsi="Times New Roman" w:cs="Times New Roman"/>
        </w:rPr>
        <w:t xml:space="preserve"> to plot the phylogeny tree. Using the </w:t>
      </w:r>
      <w:r w:rsidR="005D2C53">
        <w:rPr>
          <w:rFonts w:ascii="Times New Roman" w:hAnsi="Times New Roman" w:cs="Times New Roman"/>
        </w:rPr>
        <w:t>R</w:t>
      </w:r>
      <w:r w:rsidR="008868C6">
        <w:rPr>
          <w:rFonts w:ascii="Times New Roman" w:hAnsi="Times New Roman" w:cs="Times New Roman"/>
        </w:rPr>
        <w:t xml:space="preserve"> package </w:t>
      </w:r>
      <w:proofErr w:type="spellStart"/>
      <w:r w:rsidR="008868C6">
        <w:rPr>
          <w:rFonts w:ascii="Times New Roman" w:hAnsi="Times New Roman" w:cs="Times New Roman"/>
          <w:i/>
          <w:iCs/>
        </w:rPr>
        <w:t>speciesRaster</w:t>
      </w:r>
      <w:proofErr w:type="spellEnd"/>
      <w:r w:rsidR="008868C6">
        <w:rPr>
          <w:rFonts w:ascii="Times New Roman" w:hAnsi="Times New Roman" w:cs="Times New Roman"/>
          <w:i/>
          <w:iCs/>
        </w:rPr>
        <w:t xml:space="preserve">, </w:t>
      </w:r>
      <w:r w:rsidR="008868C6">
        <w:rPr>
          <w:rFonts w:ascii="Times New Roman" w:hAnsi="Times New Roman" w:cs="Times New Roman"/>
        </w:rPr>
        <w:t xml:space="preserve">the </w:t>
      </w:r>
      <w:proofErr w:type="spellStart"/>
      <w:r w:rsidR="008868C6">
        <w:rPr>
          <w:rFonts w:ascii="Times New Roman" w:hAnsi="Times New Roman" w:cs="Times New Roman"/>
        </w:rPr>
        <w:t>DRstat</w:t>
      </w:r>
      <w:proofErr w:type="spellEnd"/>
      <w:r w:rsidR="008868C6">
        <w:rPr>
          <w:rFonts w:ascii="Times New Roman" w:hAnsi="Times New Roman" w:cs="Times New Roman"/>
        </w:rPr>
        <w:t xml:space="preserve"> command was used with the data from the phylogeny tree. The </w:t>
      </w:r>
      <w:proofErr w:type="spellStart"/>
      <w:r w:rsidR="008868C6">
        <w:rPr>
          <w:rFonts w:ascii="Times New Roman" w:hAnsi="Times New Roman" w:cs="Times New Roman"/>
        </w:rPr>
        <w:t>DRstat</w:t>
      </w:r>
      <w:proofErr w:type="spellEnd"/>
      <w:r w:rsidR="008868C6">
        <w:rPr>
          <w:rFonts w:ascii="Times New Roman" w:hAnsi="Times New Roman" w:cs="Times New Roman"/>
        </w:rPr>
        <w:t xml:space="preserve"> command is a code that uses the data that was used to make the phylogeny tree and calculate an estimate for speciation rates for each tip on the phylogeny tree. Each tip represents a different species of Gymnosperm. </w:t>
      </w:r>
    </w:p>
    <w:p w14:paraId="4803C396" w14:textId="1E9922F3" w:rsidR="008868C6" w:rsidRDefault="008868C6" w:rsidP="00553D7F">
      <w:pPr>
        <w:spacing w:line="480" w:lineRule="auto"/>
        <w:rPr>
          <w:rFonts w:ascii="Times New Roman" w:hAnsi="Times New Roman" w:cs="Times New Roman"/>
        </w:rPr>
      </w:pPr>
      <w:r>
        <w:rPr>
          <w:rFonts w:ascii="Times New Roman" w:hAnsi="Times New Roman" w:cs="Times New Roman"/>
        </w:rPr>
        <w:tab/>
        <w:t xml:space="preserve">Finally, the estimate of speciation rate and C-values for 192 species of Gymnosperm were transferred into </w:t>
      </w:r>
      <w:r>
        <w:rPr>
          <w:rFonts w:ascii="Times New Roman" w:hAnsi="Times New Roman" w:cs="Times New Roman"/>
          <w:i/>
          <w:iCs/>
        </w:rPr>
        <w:t xml:space="preserve">Microsoft Excel, </w:t>
      </w:r>
      <w:r>
        <w:rPr>
          <w:rFonts w:ascii="Times New Roman" w:hAnsi="Times New Roman" w:cs="Times New Roman"/>
        </w:rPr>
        <w:t xml:space="preserve">where graphs representing the estimate of speciation rates, C-values, and comparison of the two were made.  With this data, the Pearson’s Correlation Test was used to determine the relationship between the estimate of speciation rate and C-values of the species. </w:t>
      </w:r>
    </w:p>
    <w:p w14:paraId="1A2B059C" w14:textId="7F82F015" w:rsidR="008868C6" w:rsidRDefault="008868C6" w:rsidP="00553D7F">
      <w:pPr>
        <w:spacing w:line="480" w:lineRule="auto"/>
        <w:rPr>
          <w:rFonts w:ascii="Times New Roman" w:hAnsi="Times New Roman" w:cs="Times New Roman"/>
        </w:rPr>
      </w:pPr>
    </w:p>
    <w:p w14:paraId="5D416198" w14:textId="77777777" w:rsidR="008868C6" w:rsidRPr="008868C6" w:rsidRDefault="008868C6" w:rsidP="00553D7F">
      <w:pPr>
        <w:spacing w:line="480" w:lineRule="auto"/>
        <w:rPr>
          <w:rFonts w:ascii="Times New Roman" w:hAnsi="Times New Roman" w:cs="Times New Roman"/>
        </w:rPr>
      </w:pPr>
    </w:p>
    <w:p w14:paraId="37260007" w14:textId="5CF7AE36" w:rsidR="005D2C53" w:rsidRDefault="00553D7F" w:rsidP="00553D7F">
      <w:pPr>
        <w:spacing w:line="480" w:lineRule="auto"/>
        <w:rPr>
          <w:rFonts w:ascii="Times New Roman" w:hAnsi="Times New Roman" w:cs="Times New Roman"/>
          <w:b/>
          <w:bCs/>
        </w:rPr>
      </w:pPr>
      <w:r>
        <w:rPr>
          <w:rFonts w:ascii="Times New Roman" w:hAnsi="Times New Roman" w:cs="Times New Roman"/>
          <w:b/>
          <w:bCs/>
        </w:rPr>
        <w:t xml:space="preserve">Results </w:t>
      </w:r>
    </w:p>
    <w:p w14:paraId="1A3A53C9" w14:textId="54276210" w:rsidR="00553D7F" w:rsidRDefault="005D2C53" w:rsidP="00553D7F">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17F2A656" wp14:editId="34E392D0">
            <wp:extent cx="5054700" cy="6469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079454" cy="6501063"/>
                    </a:xfrm>
                    <a:prstGeom prst="rect">
                      <a:avLst/>
                    </a:prstGeom>
                  </pic:spPr>
                </pic:pic>
              </a:graphicData>
            </a:graphic>
          </wp:inline>
        </w:drawing>
      </w:r>
    </w:p>
    <w:p w14:paraId="0ACD34BA" w14:textId="77777777" w:rsidR="005D2C53" w:rsidRDefault="005D2C53" w:rsidP="00553D7F">
      <w:pPr>
        <w:spacing w:line="480" w:lineRule="auto"/>
        <w:rPr>
          <w:rFonts w:ascii="Times New Roman" w:hAnsi="Times New Roman" w:cs="Times New Roman"/>
        </w:rPr>
      </w:pPr>
      <w:r>
        <w:rPr>
          <w:rFonts w:ascii="Times New Roman" w:hAnsi="Times New Roman" w:cs="Times New Roman"/>
          <w:b/>
          <w:bCs/>
        </w:rPr>
        <w:t xml:space="preserve">Figure 1: </w:t>
      </w:r>
      <w:r>
        <w:rPr>
          <w:rFonts w:ascii="Times New Roman" w:hAnsi="Times New Roman" w:cs="Times New Roman"/>
        </w:rPr>
        <w:t xml:space="preserve">The phylogeny tree of the Gymnosperm that was constructed in </w:t>
      </w:r>
      <w:r>
        <w:rPr>
          <w:rFonts w:ascii="Times New Roman" w:hAnsi="Times New Roman" w:cs="Times New Roman"/>
          <w:i/>
          <w:iCs/>
        </w:rPr>
        <w:t xml:space="preserve">R Studio </w:t>
      </w:r>
      <w:r>
        <w:rPr>
          <w:rFonts w:ascii="Times New Roman" w:hAnsi="Times New Roman" w:cs="Times New Roman"/>
        </w:rPr>
        <w:t xml:space="preserve">and used to calculate the estimates of speciation rates. </w:t>
      </w:r>
    </w:p>
    <w:p w14:paraId="05E9D948" w14:textId="34786BD2" w:rsidR="005D2C53" w:rsidRDefault="005D2C53" w:rsidP="00553D7F">
      <w:pPr>
        <w:spacing w:line="480" w:lineRule="auto"/>
        <w:rPr>
          <w:rFonts w:ascii="Times New Roman" w:hAnsi="Times New Roman" w:cs="Times New Roman"/>
        </w:rPr>
      </w:pPr>
      <w:r>
        <w:rPr>
          <w:noProof/>
        </w:rPr>
        <w:lastRenderedPageBreak/>
        <mc:AlternateContent>
          <mc:Choice Requires="cx1">
            <w:drawing>
              <wp:inline distT="0" distB="0" distL="0" distR="0" wp14:anchorId="1C1D1E7F" wp14:editId="28D543AF">
                <wp:extent cx="6652260" cy="3406140"/>
                <wp:effectExtent l="0" t="0" r="2540" b="10160"/>
                <wp:docPr id="2" name="Chart 2">
                  <a:extLst xmlns:a="http://schemas.openxmlformats.org/drawingml/2006/main">
                    <a:ext uri="{FF2B5EF4-FFF2-40B4-BE49-F238E27FC236}">
                      <a16:creationId xmlns:a16="http://schemas.microsoft.com/office/drawing/2014/main" id="{1FE7B101-5945-2B4B-9F79-B1DE3E2701C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
                  </a:graphicData>
                </a:graphic>
              </wp:inline>
            </w:drawing>
          </mc:Choice>
          <mc:Fallback>
            <w:drawing>
              <wp:inline distT="0" distB="0" distL="0" distR="0" wp14:anchorId="1C1D1E7F" wp14:editId="28D543AF">
                <wp:extent cx="6652260" cy="3406140"/>
                <wp:effectExtent l="0" t="0" r="2540" b="10160"/>
                <wp:docPr id="2" name="Chart 2">
                  <a:extLst xmlns:a="http://schemas.openxmlformats.org/drawingml/2006/main">
                    <a:ext uri="{FF2B5EF4-FFF2-40B4-BE49-F238E27FC236}">
                      <a16:creationId xmlns:a16="http://schemas.microsoft.com/office/drawing/2014/main" id="{1FE7B101-5945-2B4B-9F79-B1DE3E2701C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Chart 2">
                          <a:extLst>
                            <a:ext uri="{FF2B5EF4-FFF2-40B4-BE49-F238E27FC236}">
                              <a16:creationId xmlns:a16="http://schemas.microsoft.com/office/drawing/2014/main" id="{1FE7B101-5945-2B4B-9F79-B1DE3E2701CF}"/>
                            </a:ext>
                          </a:extLst>
                        </pic:cNvPr>
                        <pic:cNvPicPr>
                          <a:picLocks noGrp="1" noRot="1" noChangeAspect="1" noMove="1" noResize="1" noEditPoints="1" noAdjustHandles="1" noChangeArrowheads="1" noChangeShapeType="1"/>
                        </pic:cNvPicPr>
                      </pic:nvPicPr>
                      <pic:blipFill>
                        <a:blip r:embed="rId6"/>
                        <a:stretch>
                          <a:fillRect/>
                        </a:stretch>
                      </pic:blipFill>
                      <pic:spPr>
                        <a:xfrm>
                          <a:off x="0" y="0"/>
                          <a:ext cx="6652260" cy="3406140"/>
                        </a:xfrm>
                        <a:prstGeom prst="rect">
                          <a:avLst/>
                        </a:prstGeom>
                      </pic:spPr>
                    </pic:pic>
                  </a:graphicData>
                </a:graphic>
              </wp:inline>
            </w:drawing>
          </mc:Fallback>
        </mc:AlternateContent>
      </w:r>
    </w:p>
    <w:p w14:paraId="67591644" w14:textId="784FDFE2" w:rsidR="005D2C53" w:rsidRDefault="005D2C53" w:rsidP="00553D7F">
      <w:pPr>
        <w:spacing w:line="480" w:lineRule="auto"/>
        <w:rPr>
          <w:rFonts w:ascii="Times New Roman" w:hAnsi="Times New Roman" w:cs="Times New Roman"/>
        </w:rPr>
      </w:pPr>
      <w:r>
        <w:rPr>
          <w:rFonts w:ascii="Times New Roman" w:hAnsi="Times New Roman" w:cs="Times New Roman"/>
          <w:b/>
          <w:bCs/>
        </w:rPr>
        <w:t xml:space="preserve">Figure 2: </w:t>
      </w:r>
      <w:r>
        <w:rPr>
          <w:rFonts w:ascii="Times New Roman" w:hAnsi="Times New Roman" w:cs="Times New Roman"/>
        </w:rPr>
        <w:t>This Bar graph shows the C-values (</w:t>
      </w:r>
      <w:proofErr w:type="spellStart"/>
      <w:r>
        <w:rPr>
          <w:rFonts w:ascii="Times New Roman" w:hAnsi="Times New Roman" w:cs="Times New Roman"/>
        </w:rPr>
        <w:t>pg</w:t>
      </w:r>
      <w:proofErr w:type="spellEnd"/>
      <w:r>
        <w:rPr>
          <w:rFonts w:ascii="Times New Roman" w:hAnsi="Times New Roman" w:cs="Times New Roman"/>
        </w:rPr>
        <w:t xml:space="preserve">) of each of the Gymnosperm that represents the range of genome size in all the different </w:t>
      </w:r>
      <w:proofErr w:type="spellStart"/>
      <w:r>
        <w:rPr>
          <w:rFonts w:ascii="Times New Roman" w:hAnsi="Times New Roman" w:cs="Times New Roman"/>
        </w:rPr>
        <w:t>spieces</w:t>
      </w:r>
      <w:proofErr w:type="spellEnd"/>
      <w:r>
        <w:rPr>
          <w:rFonts w:ascii="Times New Roman" w:hAnsi="Times New Roman" w:cs="Times New Roman"/>
        </w:rPr>
        <w:t xml:space="preserve">. </w:t>
      </w:r>
    </w:p>
    <w:p w14:paraId="2B4CDE75" w14:textId="4CA51489" w:rsidR="009D128A" w:rsidRDefault="009D128A" w:rsidP="00553D7F">
      <w:pPr>
        <w:spacing w:line="480" w:lineRule="auto"/>
        <w:rPr>
          <w:rFonts w:ascii="Times New Roman" w:hAnsi="Times New Roman" w:cs="Times New Roman"/>
        </w:rPr>
      </w:pPr>
      <w:r>
        <w:rPr>
          <w:noProof/>
        </w:rPr>
        <mc:AlternateContent>
          <mc:Choice Requires="cx1">
            <w:drawing>
              <wp:inline distT="0" distB="0" distL="0" distR="0" wp14:anchorId="74119DAA" wp14:editId="7390DE9F">
                <wp:extent cx="6355080" cy="3188970"/>
                <wp:effectExtent l="0" t="0" r="7620" b="11430"/>
                <wp:docPr id="3" name="Chart 3">
                  <a:extLst xmlns:a="http://schemas.openxmlformats.org/drawingml/2006/main">
                    <a:ext uri="{FF2B5EF4-FFF2-40B4-BE49-F238E27FC236}">
                      <a16:creationId xmlns:a16="http://schemas.microsoft.com/office/drawing/2014/main" id="{33E11740-6F24-A94A-9436-A0E85EDF0FA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
                  </a:graphicData>
                </a:graphic>
              </wp:inline>
            </w:drawing>
          </mc:Choice>
          <mc:Fallback>
            <w:drawing>
              <wp:inline distT="0" distB="0" distL="0" distR="0" wp14:anchorId="74119DAA" wp14:editId="7390DE9F">
                <wp:extent cx="6355080" cy="3188970"/>
                <wp:effectExtent l="0" t="0" r="7620" b="11430"/>
                <wp:docPr id="3" name="Chart 3">
                  <a:extLst xmlns:a="http://schemas.openxmlformats.org/drawingml/2006/main">
                    <a:ext uri="{FF2B5EF4-FFF2-40B4-BE49-F238E27FC236}">
                      <a16:creationId xmlns:a16="http://schemas.microsoft.com/office/drawing/2014/main" id="{33E11740-6F24-A94A-9436-A0E85EDF0FA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a:extLst>
                            <a:ext uri="{FF2B5EF4-FFF2-40B4-BE49-F238E27FC236}">
                              <a16:creationId xmlns:a16="http://schemas.microsoft.com/office/drawing/2014/main" id="{33E11740-6F24-A94A-9436-A0E85EDF0FAC}"/>
                            </a:ext>
                          </a:extLst>
                        </pic:cNvPr>
                        <pic:cNvPicPr>
                          <a:picLocks noGrp="1" noRot="1" noChangeAspect="1" noMove="1" noResize="1" noEditPoints="1" noAdjustHandles="1" noChangeArrowheads="1" noChangeShapeType="1"/>
                        </pic:cNvPicPr>
                      </pic:nvPicPr>
                      <pic:blipFill>
                        <a:blip r:embed="rId8"/>
                        <a:stretch>
                          <a:fillRect/>
                        </a:stretch>
                      </pic:blipFill>
                      <pic:spPr>
                        <a:xfrm>
                          <a:off x="0" y="0"/>
                          <a:ext cx="6355080" cy="3188970"/>
                        </a:xfrm>
                        <a:prstGeom prst="rect">
                          <a:avLst/>
                        </a:prstGeom>
                      </pic:spPr>
                    </pic:pic>
                  </a:graphicData>
                </a:graphic>
              </wp:inline>
            </w:drawing>
          </mc:Fallback>
        </mc:AlternateContent>
      </w:r>
    </w:p>
    <w:p w14:paraId="58493124" w14:textId="69715666" w:rsidR="009D128A" w:rsidRPr="009D128A" w:rsidRDefault="009D128A" w:rsidP="00553D7F">
      <w:pPr>
        <w:spacing w:line="480" w:lineRule="auto"/>
        <w:rPr>
          <w:rFonts w:ascii="Times New Roman" w:hAnsi="Times New Roman" w:cs="Times New Roman"/>
        </w:rPr>
      </w:pPr>
      <w:r>
        <w:rPr>
          <w:rFonts w:ascii="Times New Roman" w:hAnsi="Times New Roman" w:cs="Times New Roman"/>
          <w:b/>
          <w:bCs/>
        </w:rPr>
        <w:t xml:space="preserve">Figure 3: </w:t>
      </w:r>
      <w:r>
        <w:rPr>
          <w:rFonts w:ascii="Times New Roman" w:hAnsi="Times New Roman" w:cs="Times New Roman"/>
        </w:rPr>
        <w:t xml:space="preserve">This bar graph represents the estimated rates of speciation for all the different species of Gymnosperm. </w:t>
      </w:r>
    </w:p>
    <w:p w14:paraId="44A73060" w14:textId="60112A6B" w:rsidR="005D2C53" w:rsidRDefault="009D128A" w:rsidP="00553D7F">
      <w:pPr>
        <w:spacing w:line="480" w:lineRule="auto"/>
        <w:rPr>
          <w:rFonts w:ascii="Times New Roman" w:hAnsi="Times New Roman" w:cs="Times New Roman"/>
        </w:rPr>
      </w:pPr>
      <w:r>
        <w:rPr>
          <w:noProof/>
        </w:rPr>
        <w:lastRenderedPageBreak/>
        <w:drawing>
          <wp:inline distT="0" distB="0" distL="0" distR="0" wp14:anchorId="3EDCA1E4" wp14:editId="2038E278">
            <wp:extent cx="5943600" cy="2601595"/>
            <wp:effectExtent l="0" t="0" r="12700" b="14605"/>
            <wp:docPr id="4" name="Chart 4">
              <a:extLst xmlns:a="http://schemas.openxmlformats.org/drawingml/2006/main">
                <a:ext uri="{FF2B5EF4-FFF2-40B4-BE49-F238E27FC236}">
                  <a16:creationId xmlns:a16="http://schemas.microsoft.com/office/drawing/2014/main" id="{2A418B9D-BB29-FF49-830B-A1997775FA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D888625" w14:textId="77777777" w:rsidR="009D128A" w:rsidRDefault="009D128A" w:rsidP="00553D7F">
      <w:pPr>
        <w:spacing w:line="480" w:lineRule="auto"/>
        <w:rPr>
          <w:rFonts w:ascii="Times New Roman" w:hAnsi="Times New Roman" w:cs="Times New Roman"/>
        </w:rPr>
      </w:pPr>
      <w:r>
        <w:rPr>
          <w:rFonts w:ascii="Times New Roman" w:hAnsi="Times New Roman" w:cs="Times New Roman"/>
          <w:b/>
          <w:bCs/>
        </w:rPr>
        <w:t xml:space="preserve">Figure 4: </w:t>
      </w:r>
      <w:r>
        <w:rPr>
          <w:rFonts w:ascii="Times New Roman" w:hAnsi="Times New Roman" w:cs="Times New Roman"/>
        </w:rPr>
        <w:t>The scatter plot shows the relationship between the C-values and estimated rate of speciation for each species of Gymnosperm.</w:t>
      </w:r>
    </w:p>
    <w:p w14:paraId="1064403C" w14:textId="146B422E" w:rsidR="009D128A" w:rsidRPr="009D128A" w:rsidRDefault="009D128A" w:rsidP="00553D7F">
      <w:pPr>
        <w:spacing w:line="48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After the data was graphed, the correlation was calculated with the Pearson’s correlation coefficient. The Pearson’s method was the selected method of calculating the correlation because it measures the strength of the linear relationship between two variables. The Pearson’s coefficient ranges between 10 and -10 and the closer the number is to 0, the less the values correlate with one another, and a positive value represents a positive relationship, and a negative value represents a negative relationship.</w:t>
      </w:r>
      <w:r w:rsidR="00066BD0">
        <w:rPr>
          <w:rFonts w:ascii="Times New Roman" w:hAnsi="Times New Roman" w:cs="Times New Roman"/>
        </w:rPr>
        <w:t xml:space="preserve"> The Pearson’s method resulted in the Pearson’s coefficient being -0.257056883. </w:t>
      </w:r>
      <w:r>
        <w:rPr>
          <w:rFonts w:ascii="Times New Roman" w:hAnsi="Times New Roman" w:cs="Times New Roman"/>
        </w:rPr>
        <w:t xml:space="preserve"> In conclusion, the Pearson’s value being relatively close to 0, we can determine that the genome size of the Gymnosperm has little to no correlation on the speciation rate. </w:t>
      </w:r>
    </w:p>
    <w:p w14:paraId="15BEAE18" w14:textId="1BEEC886" w:rsidR="00553D7F" w:rsidRDefault="00553D7F" w:rsidP="00553D7F">
      <w:pPr>
        <w:spacing w:line="480" w:lineRule="auto"/>
        <w:rPr>
          <w:rFonts w:ascii="Times New Roman" w:hAnsi="Times New Roman" w:cs="Times New Roman"/>
          <w:b/>
          <w:bCs/>
        </w:rPr>
      </w:pPr>
      <w:r>
        <w:rPr>
          <w:rFonts w:ascii="Times New Roman" w:hAnsi="Times New Roman" w:cs="Times New Roman"/>
          <w:b/>
          <w:bCs/>
        </w:rPr>
        <w:t xml:space="preserve">Discussion </w:t>
      </w:r>
    </w:p>
    <w:p w14:paraId="656267EF" w14:textId="51A8665A" w:rsidR="00553D7F" w:rsidRDefault="0029736E" w:rsidP="00553D7F">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Based on the data and tests that was conducted, we can see that there was not supporting evidence to prove a correlation between the genome size and rate of speciation. It could be argued that the Pearson’s method would not an accurate method to determine correlation because </w:t>
      </w:r>
      <w:r>
        <w:rPr>
          <w:rFonts w:ascii="Times New Roman" w:hAnsi="Times New Roman" w:cs="Times New Roman"/>
        </w:rPr>
        <w:lastRenderedPageBreak/>
        <w:t xml:space="preserve">the Pearson’s method tests a linear relationship between the two and Speciation is caused by many different forces acting upon it. I still believed that the Pearson’s method was the correct method spite this argument because the goal was to find evidence of a correlation that is specifically between genome size and speciation. </w:t>
      </w:r>
    </w:p>
    <w:p w14:paraId="7DD2D9B6" w14:textId="13829B1C" w:rsidR="0029736E" w:rsidRPr="0029736E" w:rsidRDefault="0029736E" w:rsidP="00553D7F">
      <w:pPr>
        <w:spacing w:line="480" w:lineRule="auto"/>
        <w:rPr>
          <w:rFonts w:ascii="Times New Roman" w:hAnsi="Times New Roman" w:cs="Times New Roman"/>
        </w:rPr>
      </w:pPr>
      <w:r>
        <w:rPr>
          <w:rFonts w:ascii="Times New Roman" w:hAnsi="Times New Roman" w:cs="Times New Roman"/>
        </w:rPr>
        <w:tab/>
      </w:r>
      <w:r w:rsidR="007B7F81">
        <w:rPr>
          <w:rFonts w:ascii="Times New Roman" w:hAnsi="Times New Roman" w:cs="Times New Roman"/>
        </w:rPr>
        <w:t xml:space="preserve">Another question that comes from the results is some of the purposes for the noncoding DNA. For the purposes of noncoding DNA, tests and studies have shown that the “junk DNA” does have a purpose in the control of gene activity and help determine when certain gens are turned on or off. They have that role along with some regions being important for protein assembly </w:t>
      </w:r>
      <w:r w:rsidR="007B7F81">
        <w:rPr>
          <w:rFonts w:ascii="Times New Roman" w:hAnsi="Times New Roman" w:cs="Times New Roman"/>
        </w:rPr>
        <w:fldChar w:fldCharType="begin"/>
      </w:r>
      <w:r w:rsidR="007B7F81">
        <w:rPr>
          <w:rFonts w:ascii="Times New Roman" w:hAnsi="Times New Roman" w:cs="Times New Roman"/>
        </w:rPr>
        <w:instrText xml:space="preserve"> ADDIN ZOTERO_ITEM CSL_CITATION {"citationID":"1dkOzPPt","properties":{"formattedCitation":"(Shabalina &amp; Spiridonov, 2004)","plainCitation":"(Shabalina &amp; Spiridonov, 2004)","noteIndex":0},"citationItems":[{"id":212,"uris":["http://zotero.org/users/7080729/items/RGZDWLBS"],"itemData":{"id":212,"type":"article-journal","abstract":"For decades, researchers have focused most of their attention on protein-coding genes and proteins. With the completion of the human and mouse genomes and the accumulation of data on the mammalian transcriptome, the focus now shifts to non-coding DNA sequences, RNA-coding genes and their transcripts. Many non-coding transcribed sequences are proving to have important regulatory roles, but the functions of the majority remain mysterious.","container-title":"Genome Biology","DOI":"10.1186/gb-2004-5-4-105","ISSN":"1474-760X","issue":"4","journalAbbreviation":"Genome Biol","language":"en","page":"105","source":"Springer Link","title":"The mammalian transcriptome and the function of non-coding DNA sequences","volume":"5","author":[{"family":"Shabalina","given":"Svetlana A."},{"family":"Spiridonov","given":"Nikolay A."}],"issued":{"date-parts":[["2004",3,25]]}}}],"schema":"https://github.com/citation-style-language/schema/raw/master/csl-citation.json"} </w:instrText>
      </w:r>
      <w:r w:rsidR="007B7F81">
        <w:rPr>
          <w:rFonts w:ascii="Times New Roman" w:hAnsi="Times New Roman" w:cs="Times New Roman"/>
        </w:rPr>
        <w:fldChar w:fldCharType="separate"/>
      </w:r>
      <w:r w:rsidR="007B7F81">
        <w:rPr>
          <w:rFonts w:ascii="Times New Roman" w:hAnsi="Times New Roman" w:cs="Times New Roman"/>
          <w:noProof/>
        </w:rPr>
        <w:t>(Shabalina &amp; Spiridonov, 2004)</w:t>
      </w:r>
      <w:r w:rsidR="007B7F81">
        <w:rPr>
          <w:rFonts w:ascii="Times New Roman" w:hAnsi="Times New Roman" w:cs="Times New Roman"/>
        </w:rPr>
        <w:fldChar w:fldCharType="end"/>
      </w:r>
      <w:r w:rsidR="007B7F81">
        <w:rPr>
          <w:rFonts w:ascii="Times New Roman" w:hAnsi="Times New Roman" w:cs="Times New Roman"/>
        </w:rPr>
        <w:t xml:space="preserve">. </w:t>
      </w:r>
    </w:p>
    <w:p w14:paraId="5151EA6B" w14:textId="28A0DAB9" w:rsidR="00553D7F" w:rsidRPr="00066BD0" w:rsidRDefault="00066BD0" w:rsidP="00553D7F">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All in all, the results give incite on how a specific genome size does not has enough effect on mutation to cause a correlation between it and speciation rates. This concludes that further test can be done to determine what other forces such as genetic drift, selection, and migration have a larger or smaller impact than mutation along with other factors that can affect mutation rates. </w:t>
      </w:r>
    </w:p>
    <w:p w14:paraId="66345639" w14:textId="77777777" w:rsidR="00553D7F" w:rsidRDefault="00553D7F" w:rsidP="00553D7F">
      <w:pPr>
        <w:spacing w:line="480" w:lineRule="auto"/>
        <w:rPr>
          <w:rFonts w:ascii="Times New Roman" w:hAnsi="Times New Roman" w:cs="Times New Roman"/>
          <w:b/>
          <w:bCs/>
        </w:rPr>
      </w:pPr>
    </w:p>
    <w:p w14:paraId="6C72E633" w14:textId="77777777" w:rsidR="00553D7F" w:rsidRPr="00553D7F" w:rsidRDefault="00553D7F" w:rsidP="00553D7F">
      <w:pPr>
        <w:spacing w:line="480" w:lineRule="auto"/>
        <w:rPr>
          <w:rFonts w:ascii="Times New Roman" w:hAnsi="Times New Roman" w:cs="Times New Roman"/>
          <w:b/>
          <w:bCs/>
        </w:rPr>
      </w:pPr>
    </w:p>
    <w:sectPr w:rsidR="00553D7F" w:rsidRPr="00553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621"/>
    <w:rsid w:val="00066BD0"/>
    <w:rsid w:val="00125C9B"/>
    <w:rsid w:val="0021084F"/>
    <w:rsid w:val="0029736E"/>
    <w:rsid w:val="00326621"/>
    <w:rsid w:val="00402C13"/>
    <w:rsid w:val="00553D7F"/>
    <w:rsid w:val="00553E4B"/>
    <w:rsid w:val="005D2C53"/>
    <w:rsid w:val="007B7F81"/>
    <w:rsid w:val="008868C6"/>
    <w:rsid w:val="009D128A"/>
    <w:rsid w:val="00BE3532"/>
    <w:rsid w:val="00E45303"/>
    <w:rsid w:val="00E855CE"/>
    <w:rsid w:val="00F46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C4F268"/>
  <w15:chartTrackingRefBased/>
  <w15:docId w15:val="{DFDF19BA-7823-5849-8EE2-D3C1332D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microsoft.com/office/2014/relationships/chartEx" Target="charts/chartEx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microsoft.com/office/2014/relationships/chartEx" Target="charts/chartEx1.xml"/><Relationship Id="rId10"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acdcstiltner/Desktop/Evolution/Tasks/Project/Project_results.xlsx"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acdcstiltner/Desktop/Evolution/Tasks/Project/Project_results.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acdcstiltner/Desktop/Evolution/Tasks/Project/Project_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C-value</a:t>
            </a:r>
            <a:r>
              <a:rPr lang="en-US" baseline="0"/>
              <a:t> vs Rate of </a:t>
            </a:r>
            <a:r>
              <a:rPr lang="en-US" sz="1400" b="0" i="0" u="none" strike="noStrike" baseline="0">
                <a:effectLst/>
              </a:rPr>
              <a:t>Speciation</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Sheet2!$C$1</c:f>
              <c:strCache>
                <c:ptCount val="1"/>
                <c:pt idx="0">
                  <c:v>Rate of Speciation</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Sheet2!$B$2:$B$193</c:f>
              <c:numCache>
                <c:formatCode>General</c:formatCode>
                <c:ptCount val="192"/>
                <c:pt idx="0">
                  <c:v>17.29</c:v>
                </c:pt>
                <c:pt idx="1">
                  <c:v>16.399999999999999</c:v>
                </c:pt>
                <c:pt idx="2">
                  <c:v>18.100000000000001</c:v>
                </c:pt>
                <c:pt idx="3">
                  <c:v>18.559999999999999</c:v>
                </c:pt>
                <c:pt idx="4">
                  <c:v>18.05</c:v>
                </c:pt>
                <c:pt idx="5">
                  <c:v>17.2</c:v>
                </c:pt>
                <c:pt idx="6">
                  <c:v>19.850000000000001</c:v>
                </c:pt>
                <c:pt idx="7">
                  <c:v>18.25</c:v>
                </c:pt>
                <c:pt idx="8">
                  <c:v>17.600000000000001</c:v>
                </c:pt>
                <c:pt idx="9">
                  <c:v>19.05</c:v>
                </c:pt>
                <c:pt idx="10">
                  <c:v>17.2</c:v>
                </c:pt>
                <c:pt idx="11">
                  <c:v>15.8</c:v>
                </c:pt>
                <c:pt idx="12">
                  <c:v>10.65</c:v>
                </c:pt>
                <c:pt idx="13">
                  <c:v>30.2</c:v>
                </c:pt>
                <c:pt idx="14">
                  <c:v>10.1</c:v>
                </c:pt>
                <c:pt idx="15">
                  <c:v>10.1</c:v>
                </c:pt>
                <c:pt idx="16">
                  <c:v>10.050000000000001</c:v>
                </c:pt>
                <c:pt idx="17">
                  <c:v>8.25</c:v>
                </c:pt>
                <c:pt idx="18">
                  <c:v>9</c:v>
                </c:pt>
                <c:pt idx="19">
                  <c:v>10.4</c:v>
                </c:pt>
                <c:pt idx="20">
                  <c:v>15.25</c:v>
                </c:pt>
                <c:pt idx="21">
                  <c:v>17</c:v>
                </c:pt>
                <c:pt idx="22">
                  <c:v>18.46</c:v>
                </c:pt>
                <c:pt idx="23">
                  <c:v>24.75</c:v>
                </c:pt>
                <c:pt idx="24">
                  <c:v>16.2</c:v>
                </c:pt>
                <c:pt idx="25">
                  <c:v>15.9</c:v>
                </c:pt>
                <c:pt idx="26">
                  <c:v>16.3</c:v>
                </c:pt>
                <c:pt idx="27">
                  <c:v>16</c:v>
                </c:pt>
                <c:pt idx="28">
                  <c:v>16.25</c:v>
                </c:pt>
                <c:pt idx="29">
                  <c:v>8.5500000000000007</c:v>
                </c:pt>
                <c:pt idx="30">
                  <c:v>11.53</c:v>
                </c:pt>
                <c:pt idx="31">
                  <c:v>9.3000000000000007</c:v>
                </c:pt>
                <c:pt idx="32">
                  <c:v>10.210000000000001</c:v>
                </c:pt>
                <c:pt idx="33">
                  <c:v>10.4</c:v>
                </c:pt>
                <c:pt idx="34">
                  <c:v>11.3</c:v>
                </c:pt>
                <c:pt idx="35">
                  <c:v>10.76</c:v>
                </c:pt>
                <c:pt idx="36">
                  <c:v>11.85</c:v>
                </c:pt>
                <c:pt idx="37">
                  <c:v>10.75</c:v>
                </c:pt>
                <c:pt idx="38">
                  <c:v>14.2</c:v>
                </c:pt>
                <c:pt idx="39">
                  <c:v>17.5</c:v>
                </c:pt>
                <c:pt idx="40">
                  <c:v>12.53</c:v>
                </c:pt>
                <c:pt idx="41">
                  <c:v>3.98</c:v>
                </c:pt>
                <c:pt idx="42">
                  <c:v>3.87</c:v>
                </c:pt>
                <c:pt idx="43">
                  <c:v>2.25</c:v>
                </c:pt>
                <c:pt idx="44">
                  <c:v>11.2</c:v>
                </c:pt>
                <c:pt idx="45">
                  <c:v>24.1</c:v>
                </c:pt>
                <c:pt idx="46">
                  <c:v>9.51</c:v>
                </c:pt>
                <c:pt idx="47">
                  <c:v>11.23</c:v>
                </c:pt>
                <c:pt idx="48">
                  <c:v>29.87</c:v>
                </c:pt>
                <c:pt idx="49">
                  <c:v>11.75</c:v>
                </c:pt>
                <c:pt idx="50">
                  <c:v>9.91</c:v>
                </c:pt>
                <c:pt idx="51">
                  <c:v>12.36</c:v>
                </c:pt>
                <c:pt idx="52">
                  <c:v>22.25</c:v>
                </c:pt>
                <c:pt idx="53">
                  <c:v>12.15</c:v>
                </c:pt>
                <c:pt idx="54">
                  <c:v>19.809999999999999</c:v>
                </c:pt>
                <c:pt idx="55">
                  <c:v>11.3</c:v>
                </c:pt>
                <c:pt idx="56">
                  <c:v>12.05</c:v>
                </c:pt>
                <c:pt idx="57">
                  <c:v>11.95</c:v>
                </c:pt>
                <c:pt idx="58">
                  <c:v>24.2</c:v>
                </c:pt>
                <c:pt idx="59">
                  <c:v>11.45</c:v>
                </c:pt>
                <c:pt idx="60">
                  <c:v>12.85</c:v>
                </c:pt>
                <c:pt idx="61">
                  <c:v>13.4</c:v>
                </c:pt>
                <c:pt idx="62">
                  <c:v>13.2</c:v>
                </c:pt>
                <c:pt idx="63">
                  <c:v>12.23</c:v>
                </c:pt>
                <c:pt idx="64">
                  <c:v>12.3</c:v>
                </c:pt>
                <c:pt idx="65">
                  <c:v>19.5</c:v>
                </c:pt>
                <c:pt idx="66">
                  <c:v>20</c:v>
                </c:pt>
                <c:pt idx="67">
                  <c:v>11.04</c:v>
                </c:pt>
                <c:pt idx="68">
                  <c:v>10.17</c:v>
                </c:pt>
                <c:pt idx="69">
                  <c:v>12.75</c:v>
                </c:pt>
                <c:pt idx="70">
                  <c:v>12</c:v>
                </c:pt>
                <c:pt idx="71">
                  <c:v>20.010000000000002</c:v>
                </c:pt>
                <c:pt idx="72">
                  <c:v>19.45</c:v>
                </c:pt>
                <c:pt idx="73">
                  <c:v>16.149999999999999</c:v>
                </c:pt>
                <c:pt idx="74">
                  <c:v>17.45</c:v>
                </c:pt>
                <c:pt idx="75">
                  <c:v>16.899999999999999</c:v>
                </c:pt>
                <c:pt idx="76">
                  <c:v>18.600000000000001</c:v>
                </c:pt>
                <c:pt idx="77">
                  <c:v>18.149999999999999</c:v>
                </c:pt>
                <c:pt idx="78">
                  <c:v>27.2</c:v>
                </c:pt>
                <c:pt idx="79">
                  <c:v>29.12</c:v>
                </c:pt>
                <c:pt idx="80">
                  <c:v>26.17</c:v>
                </c:pt>
                <c:pt idx="81">
                  <c:v>32.32</c:v>
                </c:pt>
                <c:pt idx="82">
                  <c:v>25.05</c:v>
                </c:pt>
                <c:pt idx="83">
                  <c:v>36</c:v>
                </c:pt>
                <c:pt idx="84">
                  <c:v>29.94</c:v>
                </c:pt>
                <c:pt idx="85">
                  <c:v>21.67</c:v>
                </c:pt>
                <c:pt idx="86">
                  <c:v>29.6</c:v>
                </c:pt>
                <c:pt idx="87">
                  <c:v>32.15</c:v>
                </c:pt>
                <c:pt idx="88">
                  <c:v>22.65</c:v>
                </c:pt>
                <c:pt idx="89">
                  <c:v>29.95</c:v>
                </c:pt>
                <c:pt idx="90">
                  <c:v>31.6</c:v>
                </c:pt>
                <c:pt idx="91">
                  <c:v>32.270000000000003</c:v>
                </c:pt>
                <c:pt idx="92">
                  <c:v>22.1</c:v>
                </c:pt>
                <c:pt idx="93">
                  <c:v>26.4</c:v>
                </c:pt>
                <c:pt idx="94">
                  <c:v>27.68</c:v>
                </c:pt>
                <c:pt idx="95">
                  <c:v>26.54</c:v>
                </c:pt>
                <c:pt idx="96">
                  <c:v>22.75</c:v>
                </c:pt>
                <c:pt idx="97">
                  <c:v>32.93</c:v>
                </c:pt>
                <c:pt idx="98">
                  <c:v>22.61</c:v>
                </c:pt>
                <c:pt idx="99">
                  <c:v>26.56</c:v>
                </c:pt>
                <c:pt idx="100">
                  <c:v>31.2</c:v>
                </c:pt>
                <c:pt idx="101">
                  <c:v>35.85</c:v>
                </c:pt>
                <c:pt idx="102">
                  <c:v>20.9</c:v>
                </c:pt>
                <c:pt idx="103">
                  <c:v>20.68</c:v>
                </c:pt>
                <c:pt idx="104">
                  <c:v>24.55</c:v>
                </c:pt>
                <c:pt idx="105">
                  <c:v>33.49</c:v>
                </c:pt>
                <c:pt idx="106">
                  <c:v>24.6</c:v>
                </c:pt>
                <c:pt idx="107">
                  <c:v>21.78</c:v>
                </c:pt>
                <c:pt idx="108">
                  <c:v>27.7</c:v>
                </c:pt>
                <c:pt idx="109">
                  <c:v>25.7</c:v>
                </c:pt>
                <c:pt idx="110">
                  <c:v>28.2</c:v>
                </c:pt>
                <c:pt idx="111">
                  <c:v>29.55</c:v>
                </c:pt>
                <c:pt idx="112">
                  <c:v>24.83</c:v>
                </c:pt>
                <c:pt idx="113">
                  <c:v>26.25</c:v>
                </c:pt>
                <c:pt idx="114">
                  <c:v>25.7</c:v>
                </c:pt>
                <c:pt idx="115">
                  <c:v>31.9</c:v>
                </c:pt>
                <c:pt idx="116">
                  <c:v>30.9</c:v>
                </c:pt>
                <c:pt idx="117">
                  <c:v>30.2</c:v>
                </c:pt>
                <c:pt idx="118">
                  <c:v>26.7</c:v>
                </c:pt>
                <c:pt idx="119">
                  <c:v>30.65</c:v>
                </c:pt>
                <c:pt idx="120">
                  <c:v>20.149999999999999</c:v>
                </c:pt>
                <c:pt idx="121">
                  <c:v>25.37</c:v>
                </c:pt>
                <c:pt idx="122">
                  <c:v>32.200000000000003</c:v>
                </c:pt>
                <c:pt idx="123">
                  <c:v>23.62</c:v>
                </c:pt>
                <c:pt idx="124">
                  <c:v>21.74</c:v>
                </c:pt>
                <c:pt idx="125">
                  <c:v>24.05</c:v>
                </c:pt>
                <c:pt idx="126">
                  <c:v>28.1</c:v>
                </c:pt>
                <c:pt idx="127">
                  <c:v>21.92</c:v>
                </c:pt>
                <c:pt idx="128">
                  <c:v>27.47</c:v>
                </c:pt>
                <c:pt idx="129">
                  <c:v>28.9</c:v>
                </c:pt>
                <c:pt idx="130">
                  <c:v>31.98</c:v>
                </c:pt>
                <c:pt idx="131">
                  <c:v>28.4</c:v>
                </c:pt>
                <c:pt idx="132">
                  <c:v>24.2</c:v>
                </c:pt>
                <c:pt idx="133">
                  <c:v>22.34</c:v>
                </c:pt>
                <c:pt idx="134">
                  <c:v>21.35</c:v>
                </c:pt>
                <c:pt idx="135">
                  <c:v>27.4</c:v>
                </c:pt>
                <c:pt idx="136">
                  <c:v>24.25</c:v>
                </c:pt>
                <c:pt idx="137">
                  <c:v>29.85</c:v>
                </c:pt>
                <c:pt idx="138">
                  <c:v>23.8</c:v>
                </c:pt>
                <c:pt idx="139">
                  <c:v>24.15</c:v>
                </c:pt>
                <c:pt idx="140">
                  <c:v>30.85</c:v>
                </c:pt>
                <c:pt idx="141">
                  <c:v>32.82</c:v>
                </c:pt>
                <c:pt idx="142">
                  <c:v>29.6</c:v>
                </c:pt>
                <c:pt idx="143">
                  <c:v>21.5</c:v>
                </c:pt>
                <c:pt idx="144">
                  <c:v>29.55</c:v>
                </c:pt>
                <c:pt idx="145">
                  <c:v>35.36</c:v>
                </c:pt>
                <c:pt idx="146">
                  <c:v>25.65</c:v>
                </c:pt>
                <c:pt idx="147">
                  <c:v>22.98</c:v>
                </c:pt>
                <c:pt idx="148">
                  <c:v>25.7</c:v>
                </c:pt>
                <c:pt idx="149">
                  <c:v>22.1</c:v>
                </c:pt>
                <c:pt idx="150">
                  <c:v>24.3</c:v>
                </c:pt>
                <c:pt idx="151">
                  <c:v>20.49</c:v>
                </c:pt>
                <c:pt idx="152">
                  <c:v>25.4</c:v>
                </c:pt>
                <c:pt idx="153">
                  <c:v>29.05</c:v>
                </c:pt>
                <c:pt idx="154">
                  <c:v>30.47</c:v>
                </c:pt>
                <c:pt idx="155">
                  <c:v>20.350000000000001</c:v>
                </c:pt>
                <c:pt idx="156">
                  <c:v>26.3</c:v>
                </c:pt>
                <c:pt idx="157">
                  <c:v>26.75</c:v>
                </c:pt>
                <c:pt idx="158">
                  <c:v>10.46</c:v>
                </c:pt>
                <c:pt idx="159">
                  <c:v>17.3</c:v>
                </c:pt>
                <c:pt idx="160">
                  <c:v>19.05</c:v>
                </c:pt>
                <c:pt idx="161">
                  <c:v>20.8</c:v>
                </c:pt>
                <c:pt idx="162">
                  <c:v>32.14</c:v>
                </c:pt>
                <c:pt idx="163">
                  <c:v>9.93</c:v>
                </c:pt>
                <c:pt idx="164">
                  <c:v>11.05</c:v>
                </c:pt>
                <c:pt idx="165">
                  <c:v>11.45</c:v>
                </c:pt>
                <c:pt idx="166">
                  <c:v>11.6</c:v>
                </c:pt>
                <c:pt idx="167">
                  <c:v>7.75</c:v>
                </c:pt>
                <c:pt idx="168">
                  <c:v>11.45</c:v>
                </c:pt>
                <c:pt idx="169">
                  <c:v>11.15</c:v>
                </c:pt>
                <c:pt idx="170">
                  <c:v>11.85</c:v>
                </c:pt>
                <c:pt idx="171">
                  <c:v>12.85</c:v>
                </c:pt>
                <c:pt idx="172">
                  <c:v>11.95</c:v>
                </c:pt>
                <c:pt idx="173">
                  <c:v>12.36</c:v>
                </c:pt>
                <c:pt idx="174">
                  <c:v>12.84</c:v>
                </c:pt>
                <c:pt idx="175">
                  <c:v>13.43</c:v>
                </c:pt>
                <c:pt idx="176">
                  <c:v>12.1</c:v>
                </c:pt>
                <c:pt idx="177">
                  <c:v>13.97</c:v>
                </c:pt>
                <c:pt idx="178">
                  <c:v>22.05</c:v>
                </c:pt>
                <c:pt idx="179">
                  <c:v>22.3</c:v>
                </c:pt>
                <c:pt idx="180">
                  <c:v>21.6</c:v>
                </c:pt>
                <c:pt idx="181">
                  <c:v>18.600000000000001</c:v>
                </c:pt>
                <c:pt idx="182">
                  <c:v>20.95</c:v>
                </c:pt>
                <c:pt idx="183">
                  <c:v>20.85</c:v>
                </c:pt>
                <c:pt idx="184">
                  <c:v>17.2</c:v>
                </c:pt>
                <c:pt idx="185">
                  <c:v>18.149999999999999</c:v>
                </c:pt>
                <c:pt idx="186">
                  <c:v>16.899999999999999</c:v>
                </c:pt>
                <c:pt idx="187">
                  <c:v>7.2</c:v>
                </c:pt>
                <c:pt idx="188">
                  <c:v>10.75</c:v>
                </c:pt>
                <c:pt idx="189">
                  <c:v>10.4</c:v>
                </c:pt>
                <c:pt idx="190">
                  <c:v>10.88</c:v>
                </c:pt>
                <c:pt idx="191">
                  <c:v>11.4</c:v>
                </c:pt>
              </c:numCache>
            </c:numRef>
          </c:xVal>
          <c:yVal>
            <c:numRef>
              <c:f>Sheet2!$C$2:$C$193</c:f>
              <c:numCache>
                <c:formatCode>General</c:formatCode>
                <c:ptCount val="192"/>
                <c:pt idx="0">
                  <c:v>4.6383926999999998E-2</c:v>
                </c:pt>
                <c:pt idx="1">
                  <c:v>9.3808263000000003E-2</c:v>
                </c:pt>
                <c:pt idx="2">
                  <c:v>0.12609408899999999</c:v>
                </c:pt>
                <c:pt idx="3">
                  <c:v>0.51647510600000002</c:v>
                </c:pt>
                <c:pt idx="4">
                  <c:v>6.5261866000000002E-2</c:v>
                </c:pt>
                <c:pt idx="5">
                  <c:v>0.32772181900000003</c:v>
                </c:pt>
                <c:pt idx="6">
                  <c:v>0.58016421200000001</c:v>
                </c:pt>
                <c:pt idx="7">
                  <c:v>0.20021678500000001</c:v>
                </c:pt>
                <c:pt idx="8">
                  <c:v>0.25895820800000002</c:v>
                </c:pt>
                <c:pt idx="9">
                  <c:v>7.7738919000000004E-2</c:v>
                </c:pt>
                <c:pt idx="10">
                  <c:v>9.0050329999999998E-2</c:v>
                </c:pt>
                <c:pt idx="11">
                  <c:v>0.10600815600000001</c:v>
                </c:pt>
                <c:pt idx="12">
                  <c:v>8.8712327999999993E-2</c:v>
                </c:pt>
                <c:pt idx="13">
                  <c:v>5.2964719E-2</c:v>
                </c:pt>
                <c:pt idx="14">
                  <c:v>1.0339797E-2</c:v>
                </c:pt>
                <c:pt idx="15">
                  <c:v>2.0290869999999999E-2</c:v>
                </c:pt>
                <c:pt idx="16">
                  <c:v>4.0512075000000002E-2</c:v>
                </c:pt>
                <c:pt idx="17">
                  <c:v>0.19709069900000001</c:v>
                </c:pt>
                <c:pt idx="18">
                  <c:v>0.17762857600000001</c:v>
                </c:pt>
                <c:pt idx="19">
                  <c:v>0.108358943</c:v>
                </c:pt>
                <c:pt idx="20">
                  <c:v>2.2764782000000001E-2</c:v>
                </c:pt>
                <c:pt idx="21">
                  <c:v>4.3695972E-2</c:v>
                </c:pt>
                <c:pt idx="22">
                  <c:v>2.0753225E-2</c:v>
                </c:pt>
                <c:pt idx="23">
                  <c:v>4.3052469999999999E-3</c:v>
                </c:pt>
                <c:pt idx="24">
                  <c:v>1.5050624E-2</c:v>
                </c:pt>
                <c:pt idx="25">
                  <c:v>6.4897720000000004E-3</c:v>
                </c:pt>
                <c:pt idx="26">
                  <c:v>9.8750460000000002E-3</c:v>
                </c:pt>
                <c:pt idx="27">
                  <c:v>1.5050624E-2</c:v>
                </c:pt>
                <c:pt idx="28">
                  <c:v>1.5050624E-2</c:v>
                </c:pt>
                <c:pt idx="29">
                  <c:v>1.8992365000000001E-2</c:v>
                </c:pt>
                <c:pt idx="30">
                  <c:v>1.5801801000000001E-2</c:v>
                </c:pt>
                <c:pt idx="31">
                  <c:v>1.5801801000000001E-2</c:v>
                </c:pt>
                <c:pt idx="32">
                  <c:v>1.8992365000000001E-2</c:v>
                </c:pt>
                <c:pt idx="33">
                  <c:v>1.1982265000000001E-2</c:v>
                </c:pt>
                <c:pt idx="34">
                  <c:v>8.9387621E-2</c:v>
                </c:pt>
                <c:pt idx="35">
                  <c:v>5.5681845000000001E-2</c:v>
                </c:pt>
                <c:pt idx="36">
                  <c:v>0.153873183</c:v>
                </c:pt>
                <c:pt idx="37">
                  <c:v>0.52346414900000005</c:v>
                </c:pt>
                <c:pt idx="38">
                  <c:v>0.143757419</c:v>
                </c:pt>
                <c:pt idx="39">
                  <c:v>2.1025077E-2</c:v>
                </c:pt>
                <c:pt idx="40">
                  <c:v>1.7262023000000001E-2</c:v>
                </c:pt>
                <c:pt idx="41">
                  <c:v>5.8373147E-2</c:v>
                </c:pt>
                <c:pt idx="42">
                  <c:v>5.8373147E-2</c:v>
                </c:pt>
                <c:pt idx="43">
                  <c:v>0.271491221</c:v>
                </c:pt>
                <c:pt idx="44">
                  <c:v>5.7723293000000002E-2</c:v>
                </c:pt>
                <c:pt idx="45">
                  <c:v>0.25049036200000002</c:v>
                </c:pt>
                <c:pt idx="46">
                  <c:v>2.2285367E-2</c:v>
                </c:pt>
                <c:pt idx="47">
                  <c:v>8.5261106000000003E-2</c:v>
                </c:pt>
                <c:pt idx="48">
                  <c:v>6.0379692999999998E-2</c:v>
                </c:pt>
                <c:pt idx="49">
                  <c:v>5.6735371999999999E-2</c:v>
                </c:pt>
                <c:pt idx="50">
                  <c:v>5.7723293000000002E-2</c:v>
                </c:pt>
                <c:pt idx="51">
                  <c:v>4.8150881999999999E-2</c:v>
                </c:pt>
                <c:pt idx="52">
                  <c:v>0.14735108799999999</c:v>
                </c:pt>
                <c:pt idx="53">
                  <c:v>3.7368288999999999E-2</c:v>
                </c:pt>
                <c:pt idx="54">
                  <c:v>9.8405363999999995E-2</c:v>
                </c:pt>
                <c:pt idx="55">
                  <c:v>0.260105576</c:v>
                </c:pt>
                <c:pt idx="56">
                  <c:v>0.33094278900000001</c:v>
                </c:pt>
                <c:pt idx="57">
                  <c:v>0.170829543</c:v>
                </c:pt>
                <c:pt idx="58">
                  <c:v>1.3811916E-2</c:v>
                </c:pt>
                <c:pt idx="59">
                  <c:v>1.3152175E-2</c:v>
                </c:pt>
                <c:pt idx="60">
                  <c:v>3.0293532000000001E-2</c:v>
                </c:pt>
                <c:pt idx="61">
                  <c:v>2.2611079999999999E-2</c:v>
                </c:pt>
                <c:pt idx="62">
                  <c:v>3.5380190999999998E-2</c:v>
                </c:pt>
                <c:pt idx="63">
                  <c:v>3.5380190999999998E-2</c:v>
                </c:pt>
                <c:pt idx="64">
                  <c:v>2.9318462E-2</c:v>
                </c:pt>
                <c:pt idx="65">
                  <c:v>2.2029469999999999E-2</c:v>
                </c:pt>
                <c:pt idx="66">
                  <c:v>3.8334694000000002E-2</c:v>
                </c:pt>
                <c:pt idx="67">
                  <c:v>7.2075949999999998E-3</c:v>
                </c:pt>
                <c:pt idx="68">
                  <c:v>3.3841393999999997E-2</c:v>
                </c:pt>
                <c:pt idx="69">
                  <c:v>1.7930174E-2</c:v>
                </c:pt>
                <c:pt idx="70">
                  <c:v>1.4269202E-2</c:v>
                </c:pt>
                <c:pt idx="71">
                  <c:v>5.9683517999999998E-2</c:v>
                </c:pt>
                <c:pt idx="72">
                  <c:v>4.1179690999999997E-2</c:v>
                </c:pt>
                <c:pt idx="73">
                  <c:v>3.7774370000000002E-2</c:v>
                </c:pt>
                <c:pt idx="74">
                  <c:v>6.3615685000000005E-2</c:v>
                </c:pt>
                <c:pt idx="75">
                  <c:v>6.3615685000000005E-2</c:v>
                </c:pt>
                <c:pt idx="76">
                  <c:v>0.116396557</c:v>
                </c:pt>
                <c:pt idx="77">
                  <c:v>2.0698109999999999E-2</c:v>
                </c:pt>
                <c:pt idx="78">
                  <c:v>5.6374048000000003E-2</c:v>
                </c:pt>
                <c:pt idx="79">
                  <c:v>1.110505E-2</c:v>
                </c:pt>
                <c:pt idx="80">
                  <c:v>5.1547425000000001E-2</c:v>
                </c:pt>
                <c:pt idx="81">
                  <c:v>5.3528447999999999E-2</c:v>
                </c:pt>
                <c:pt idx="82">
                  <c:v>1.7726878000000001E-2</c:v>
                </c:pt>
                <c:pt idx="83">
                  <c:v>5.6407943000000002E-2</c:v>
                </c:pt>
                <c:pt idx="84">
                  <c:v>1.7284232E-2</c:v>
                </c:pt>
                <c:pt idx="85">
                  <c:v>1.1613111000000001E-2</c:v>
                </c:pt>
                <c:pt idx="86">
                  <c:v>1.1238048E-2</c:v>
                </c:pt>
                <c:pt idx="87">
                  <c:v>1.3204693E-2</c:v>
                </c:pt>
                <c:pt idx="88">
                  <c:v>1.4358238000000001E-2</c:v>
                </c:pt>
                <c:pt idx="89">
                  <c:v>4.7107715000000001E-2</c:v>
                </c:pt>
                <c:pt idx="90">
                  <c:v>7.3971444999999997E-2</c:v>
                </c:pt>
                <c:pt idx="91">
                  <c:v>2.4260251E-2</c:v>
                </c:pt>
                <c:pt idx="92">
                  <c:v>1.0431677E-2</c:v>
                </c:pt>
                <c:pt idx="93">
                  <c:v>5.4684823E-2</c:v>
                </c:pt>
                <c:pt idx="94">
                  <c:v>7.2659328999999995E-2</c:v>
                </c:pt>
                <c:pt idx="95">
                  <c:v>3.3207904000000003E-2</c:v>
                </c:pt>
                <c:pt idx="96">
                  <c:v>2.5181703E-2</c:v>
                </c:pt>
                <c:pt idx="97">
                  <c:v>2.6634112000000001E-2</c:v>
                </c:pt>
                <c:pt idx="98">
                  <c:v>1.6432993999999999E-2</c:v>
                </c:pt>
                <c:pt idx="99">
                  <c:v>6.2464520000000003E-2</c:v>
                </c:pt>
                <c:pt idx="100">
                  <c:v>3.2819656000000003E-2</c:v>
                </c:pt>
                <c:pt idx="101">
                  <c:v>1.1238048E-2</c:v>
                </c:pt>
                <c:pt idx="102">
                  <c:v>1.7726878000000001E-2</c:v>
                </c:pt>
                <c:pt idx="103">
                  <c:v>5.5172671999999999E-2</c:v>
                </c:pt>
                <c:pt idx="104">
                  <c:v>1.1613111000000001E-2</c:v>
                </c:pt>
                <c:pt idx="105">
                  <c:v>7.1880169999999997E-3</c:v>
                </c:pt>
                <c:pt idx="106">
                  <c:v>1.196266E-2</c:v>
                </c:pt>
                <c:pt idx="107">
                  <c:v>3.0427801000000001E-2</c:v>
                </c:pt>
                <c:pt idx="108">
                  <c:v>5.5956879000000001E-2</c:v>
                </c:pt>
                <c:pt idx="109">
                  <c:v>1.1885903E-2</c:v>
                </c:pt>
                <c:pt idx="110">
                  <c:v>5.2088366999999997E-2</c:v>
                </c:pt>
                <c:pt idx="111">
                  <c:v>5.2689141000000002E-2</c:v>
                </c:pt>
                <c:pt idx="112">
                  <c:v>9.9595029999999998E-3</c:v>
                </c:pt>
                <c:pt idx="113">
                  <c:v>1.7284232E-2</c:v>
                </c:pt>
                <c:pt idx="114">
                  <c:v>1.3178988000000001E-2</c:v>
                </c:pt>
                <c:pt idx="115">
                  <c:v>2.1309847E-2</c:v>
                </c:pt>
                <c:pt idx="116">
                  <c:v>1.1743345000000001E-2</c:v>
                </c:pt>
                <c:pt idx="117">
                  <c:v>1.4652449999999999E-2</c:v>
                </c:pt>
                <c:pt idx="118">
                  <c:v>1.3369643E-2</c:v>
                </c:pt>
                <c:pt idx="119">
                  <c:v>3.9238919999999997E-2</c:v>
                </c:pt>
                <c:pt idx="120">
                  <c:v>1.7039499E-2</c:v>
                </c:pt>
                <c:pt idx="121">
                  <c:v>1.1221504E-2</c:v>
                </c:pt>
                <c:pt idx="122">
                  <c:v>8.7385970000000007E-3</c:v>
                </c:pt>
                <c:pt idx="123">
                  <c:v>1.4243479E-2</c:v>
                </c:pt>
                <c:pt idx="124">
                  <c:v>7.4580817999999993E-2</c:v>
                </c:pt>
                <c:pt idx="125">
                  <c:v>1.7228820999999998E-2</c:v>
                </c:pt>
                <c:pt idx="126">
                  <c:v>2.9516358999999999E-2</c:v>
                </c:pt>
                <c:pt idx="127">
                  <c:v>9.9595029999999998E-3</c:v>
                </c:pt>
                <c:pt idx="128">
                  <c:v>1.2858484999999999E-2</c:v>
                </c:pt>
                <c:pt idx="129">
                  <c:v>1.3106773E-2</c:v>
                </c:pt>
                <c:pt idx="130">
                  <c:v>2.1309847E-2</c:v>
                </c:pt>
                <c:pt idx="131">
                  <c:v>1.3106773E-2</c:v>
                </c:pt>
                <c:pt idx="132">
                  <c:v>2.2984522E-2</c:v>
                </c:pt>
                <c:pt idx="133">
                  <c:v>5.5736852000000003E-2</c:v>
                </c:pt>
                <c:pt idx="134">
                  <c:v>0.13611451999999999</c:v>
                </c:pt>
                <c:pt idx="135">
                  <c:v>3.0102159999999999E-2</c:v>
                </c:pt>
                <c:pt idx="136">
                  <c:v>1.4102139E-2</c:v>
                </c:pt>
                <c:pt idx="137">
                  <c:v>7.3971444999999997E-2</c:v>
                </c:pt>
                <c:pt idx="138">
                  <c:v>1.4243479E-2</c:v>
                </c:pt>
                <c:pt idx="139">
                  <c:v>2.6095732999999999E-2</c:v>
                </c:pt>
                <c:pt idx="140">
                  <c:v>1.3204693E-2</c:v>
                </c:pt>
                <c:pt idx="141">
                  <c:v>1.7741442E-2</c:v>
                </c:pt>
                <c:pt idx="142">
                  <c:v>3.4429372E-2</c:v>
                </c:pt>
                <c:pt idx="143">
                  <c:v>1.6878069999999998E-2</c:v>
                </c:pt>
                <c:pt idx="144">
                  <c:v>5.2088366999999997E-2</c:v>
                </c:pt>
                <c:pt idx="145">
                  <c:v>5.6407943000000002E-2</c:v>
                </c:pt>
                <c:pt idx="146">
                  <c:v>2.4260251E-2</c:v>
                </c:pt>
                <c:pt idx="147">
                  <c:v>1.0132113999999999E-2</c:v>
                </c:pt>
                <c:pt idx="148">
                  <c:v>4.8311352000000002E-2</c:v>
                </c:pt>
                <c:pt idx="149">
                  <c:v>3.6374235999999997E-2</c:v>
                </c:pt>
                <c:pt idx="150">
                  <c:v>3.0671405999999998E-2</c:v>
                </c:pt>
                <c:pt idx="151">
                  <c:v>8.9355130000000008E-3</c:v>
                </c:pt>
                <c:pt idx="152">
                  <c:v>3.0671405999999998E-2</c:v>
                </c:pt>
                <c:pt idx="153">
                  <c:v>3.4429372E-2</c:v>
                </c:pt>
                <c:pt idx="154">
                  <c:v>1.0139367E-2</c:v>
                </c:pt>
                <c:pt idx="155">
                  <c:v>7.9622389999999994E-3</c:v>
                </c:pt>
                <c:pt idx="156">
                  <c:v>3.5891407E-2</c:v>
                </c:pt>
                <c:pt idx="157">
                  <c:v>5.5956879000000001E-2</c:v>
                </c:pt>
                <c:pt idx="158">
                  <c:v>1.6966261999999999E-2</c:v>
                </c:pt>
                <c:pt idx="159">
                  <c:v>1.3330302E-2</c:v>
                </c:pt>
                <c:pt idx="160">
                  <c:v>1.3116479E-2</c:v>
                </c:pt>
                <c:pt idx="161">
                  <c:v>3.3248370000000002E-3</c:v>
                </c:pt>
                <c:pt idx="162">
                  <c:v>8.975439E-3</c:v>
                </c:pt>
                <c:pt idx="163">
                  <c:v>1.5136281999999999E-2</c:v>
                </c:pt>
                <c:pt idx="164">
                  <c:v>0.14254103400000001</c:v>
                </c:pt>
                <c:pt idx="165">
                  <c:v>1.2004958E-2</c:v>
                </c:pt>
                <c:pt idx="166">
                  <c:v>0.14609524700000001</c:v>
                </c:pt>
                <c:pt idx="167">
                  <c:v>0.14679065199999999</c:v>
                </c:pt>
                <c:pt idx="168">
                  <c:v>0.14609524700000001</c:v>
                </c:pt>
                <c:pt idx="169">
                  <c:v>0.24115165099999999</c:v>
                </c:pt>
                <c:pt idx="170">
                  <c:v>3.5957535999999998E-2</c:v>
                </c:pt>
                <c:pt idx="171">
                  <c:v>2.2357994999999999E-2</c:v>
                </c:pt>
                <c:pt idx="172">
                  <c:v>3.5037329999999998E-2</c:v>
                </c:pt>
                <c:pt idx="173">
                  <c:v>0.117538738</c:v>
                </c:pt>
                <c:pt idx="174">
                  <c:v>1.9266017999999999E-2</c:v>
                </c:pt>
                <c:pt idx="175">
                  <c:v>0.117538738</c:v>
                </c:pt>
                <c:pt idx="176">
                  <c:v>5.9609416999999998E-2</c:v>
                </c:pt>
                <c:pt idx="177">
                  <c:v>1.0156877999999999E-2</c:v>
                </c:pt>
                <c:pt idx="178">
                  <c:v>3.7107965999999999E-2</c:v>
                </c:pt>
                <c:pt idx="179">
                  <c:v>1.6088984000000001E-2</c:v>
                </c:pt>
                <c:pt idx="180">
                  <c:v>2.5148427000000001E-2</c:v>
                </c:pt>
                <c:pt idx="181">
                  <c:v>1.588264E-2</c:v>
                </c:pt>
                <c:pt idx="182">
                  <c:v>1.6355528000000001E-2</c:v>
                </c:pt>
                <c:pt idx="183">
                  <c:v>4.4799642000000001E-2</c:v>
                </c:pt>
                <c:pt idx="184">
                  <c:v>2.3269209999999999E-2</c:v>
                </c:pt>
                <c:pt idx="185">
                  <c:v>2.3269209999999999E-2</c:v>
                </c:pt>
                <c:pt idx="186">
                  <c:v>4.4799642000000001E-2</c:v>
                </c:pt>
                <c:pt idx="187">
                  <c:v>4.3910110000000002E-3</c:v>
                </c:pt>
                <c:pt idx="188">
                  <c:v>0.13234057299999999</c:v>
                </c:pt>
                <c:pt idx="189">
                  <c:v>0.13234057299999999</c:v>
                </c:pt>
                <c:pt idx="190">
                  <c:v>7.4781298999999996E-2</c:v>
                </c:pt>
                <c:pt idx="191">
                  <c:v>2.7482738999999999E-2</c:v>
                </c:pt>
              </c:numCache>
            </c:numRef>
          </c:yVal>
          <c:smooth val="0"/>
          <c:extLst>
            <c:ext xmlns:c16="http://schemas.microsoft.com/office/drawing/2014/chart" uri="{C3380CC4-5D6E-409C-BE32-E72D297353CC}">
              <c16:uniqueId val="{00000000-88DE-3A4B-BF68-1D3EA1AB82CF}"/>
            </c:ext>
          </c:extLst>
        </c:ser>
        <c:dLbls>
          <c:showLegendKey val="0"/>
          <c:showVal val="0"/>
          <c:showCatName val="0"/>
          <c:showSerName val="0"/>
          <c:showPercent val="0"/>
          <c:showBubbleSize val="0"/>
        </c:dLbls>
        <c:axId val="1758578176"/>
        <c:axId val="1758579824"/>
      </c:scatterChart>
      <c:valAx>
        <c:axId val="175857817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C-Value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579824"/>
        <c:crosses val="autoZero"/>
        <c:crossBetween val="midCat"/>
      </c:valAx>
      <c:valAx>
        <c:axId val="1758579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Rate of Diversification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5781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Sheet2!$A$2:$A$193</cx:f>
        <cx:lvl ptCount="192">
          <cx:pt idx="0">Abies_alba</cx:pt>
          <cx:pt idx="1">Abies_balsamea</cx:pt>
          <cx:pt idx="2">Abies_cephalonica</cx:pt>
          <cx:pt idx="3">Abies_cilicica</cx:pt>
          <cx:pt idx="4">Abies_concolor</cx:pt>
          <cx:pt idx="5">Abies_fraseri</cx:pt>
          <cx:pt idx="6">Abies_homolepis</cx:pt>
          <cx:pt idx="7">Abies_koreana</cx:pt>
          <cx:pt idx="8">Abies_nordmanniana</cx:pt>
          <cx:pt idx="9">Abies_pinsapo</cx:pt>
          <cx:pt idx="10">Abies_procera</cx:pt>
          <cx:pt idx="11">Abies_sibirica</cx:pt>
          <cx:pt idx="12">Actinostrobus_pyramidalis</cx:pt>
          <cx:pt idx="13">Amentotaxus_yunnanensis</cx:pt>
          <cx:pt idx="14">Athrotaxis_cupressoides</cx:pt>
          <cx:pt idx="15">Athrotaxis_laxifolia</cx:pt>
          <cx:pt idx="16">Athrotaxis_selaginoides</cx:pt>
          <cx:pt idx="17">Callitris_glauca</cx:pt>
          <cx:pt idx="18">Callitris_rhomboidea</cx:pt>
          <cx:pt idx="19">Callitris_verrucosa</cx:pt>
          <cx:pt idx="20">Calocedrus_decurrens</cx:pt>
          <cx:pt idx="21">Calocedrus_formosana</cx:pt>
          <cx:pt idx="22">Calocedrus_macrolepis</cx:pt>
          <cx:pt idx="23">Cathaya_argyrophylla</cx:pt>
          <cx:pt idx="24">Cedrus_atlantica</cx:pt>
          <cx:pt idx="25">Cedrus_brevifolia</cx:pt>
          <cx:pt idx="26">Cedrus_deodara</cx:pt>
          <cx:pt idx="27">Cedrus_libani</cx:pt>
          <cx:pt idx="28">Cedrus_libani</cx:pt>
          <cx:pt idx="29">Chamaecyparis_formosensis</cx:pt>
          <cx:pt idx="30">Chamaecyparis_lawsoniana</cx:pt>
          <cx:pt idx="31">Chamaecyparis_obtusa</cx:pt>
          <cx:pt idx="32">Chamaecyparis_pisifera</cx:pt>
          <cx:pt idx="33">Chamaecyparis_thyoides</cx:pt>
          <cx:pt idx="34">Cupressus_arizonica</cx:pt>
          <cx:pt idx="35">Cupressus_funebris</cx:pt>
          <cx:pt idx="36">Cupressus_guadalupensis</cx:pt>
          <cx:pt idx="37">Cupressus_lusitanica</cx:pt>
          <cx:pt idx="38">Cupressus_macrocarpa</cx:pt>
          <cx:pt idx="39">Fitzroya_cupressoides</cx:pt>
          <cx:pt idx="40">Fokienia_hodginsii</cx:pt>
          <cx:pt idx="41">Gnetum_costatum</cx:pt>
          <cx:pt idx="42">Gnetum_gnemon</cx:pt>
          <cx:pt idx="43">Gnetum_ula</cx:pt>
          <cx:pt idx="44">Juniperus_cedrus</cx:pt>
          <cx:pt idx="45">Juniperus_chinensis</cx:pt>
          <cx:pt idx="46">Juniperus_drupacea</cx:pt>
          <cx:pt idx="47">Juniperus_excelsa</cx:pt>
          <cx:pt idx="48">Juniperus_foetidissima</cx:pt>
          <cx:pt idx="49">Juniperus_horizontalis</cx:pt>
          <cx:pt idx="50">Juniperus_oxycedrus</cx:pt>
          <cx:pt idx="51">Juniperus_phoenicea</cx:pt>
          <cx:pt idx="52">Juniperus_pingii</cx:pt>
          <cx:pt idx="53">Juniperus_rigida</cx:pt>
          <cx:pt idx="54">Juniperus_sabina</cx:pt>
          <cx:pt idx="55">Juniperus_scopulorum</cx:pt>
          <cx:pt idx="56">Juniperus_squamata</cx:pt>
          <cx:pt idx="57">Juniperus_virginiana</cx:pt>
          <cx:pt idx="58">Keteleeria_evelyniana</cx:pt>
          <cx:pt idx="59">Larix_decidua</cx:pt>
          <cx:pt idx="60">Larix_gmelinii</cx:pt>
          <cx:pt idx="61">Larix_griffithii</cx:pt>
          <cx:pt idx="62">Larix_kaempferi</cx:pt>
          <cx:pt idx="63">Larix_laricina</cx:pt>
          <cx:pt idx="64">Larix_sibirica</cx:pt>
          <cx:pt idx="65">Libocedrus_bidwillii</cx:pt>
          <cx:pt idx="66">Libocedrus_plumosa</cx:pt>
          <cx:pt idx="67">Metasequoia_glyptostroboides</cx:pt>
          <cx:pt idx="68">Microbiota_decussata</cx:pt>
          <cx:pt idx="69">Neocallitropsis_pancheri</cx:pt>
          <cx:pt idx="70">Papuacedrus_var. papuana</cx:pt>
          <cx:pt idx="71">Picea_abies</cx:pt>
          <cx:pt idx="72">Picea_engelmannii</cx:pt>
          <cx:pt idx="73">Picea_glauca</cx:pt>
          <cx:pt idx="74">Picea_mariana</cx:pt>
          <cx:pt idx="75">Picea_omorika</cx:pt>
          <cx:pt idx="76">Picea_orientalis</cx:pt>
          <cx:pt idx="77">Picea_pungens</cx:pt>
          <cx:pt idx="78">Pinus_albicaulis</cx:pt>
          <cx:pt idx="79">Pinus_aristata</cx:pt>
          <cx:pt idx="80">Pinus_arizonica</cx:pt>
          <cx:pt idx="81">Pinus_armandii</cx:pt>
          <cx:pt idx="82">Pinus_attenuata</cx:pt>
          <cx:pt idx="83">Pinus_ayacahuite</cx:pt>
          <cx:pt idx="84">Pinus_balfouriana</cx:pt>
          <cx:pt idx="85">Pinus_brutia</cx:pt>
          <cx:pt idx="86">Pinus_bungeana</cx:pt>
          <cx:pt idx="87">Pinus_canariensis</cx:pt>
          <cx:pt idx="88">Pinus_caribaea</cx:pt>
          <cx:pt idx="89">Pinus_cembra</cx:pt>
          <cx:pt idx="90">Pinus_cembroides</cx:pt>
          <cx:pt idx="91">Pinus_chiapensis</cx:pt>
          <cx:pt idx="92">Pinus_clausa</cx:pt>
          <cx:pt idx="93">Pinus_culminicola</cx:pt>
          <cx:pt idx="94">Pinus_devoniana</cx:pt>
          <cx:pt idx="95">Pinus_durangensis</cx:pt>
          <cx:pt idx="96">Pinus_echinata</cx:pt>
          <cx:pt idx="97">Pinus_edulis</cx:pt>
          <cx:pt idx="98">Pinus_elliottii</cx:pt>
          <cx:pt idx="99">Pinus_engelmannii</cx:pt>
          <cx:pt idx="100">Pinus_flexilis</cx:pt>
          <cx:pt idx="101">Pinus_gerardiana</cx:pt>
          <cx:pt idx="102">Pinus_glabra</cx:pt>
          <cx:pt idx="103">Pinus_greggii</cx:pt>
          <cx:pt idx="104">Pinus_halepensis</cx:pt>
          <cx:pt idx="105">Pinus_heldreichii</cx:pt>
          <cx:pt idx="106">Pinus_herrerae</cx:pt>
          <cx:pt idx="107">Pinus_jaliscana</cx:pt>
          <cx:pt idx="108">Pinus_jeffreyi</cx:pt>
          <cx:pt idx="109">Pinus_kesiya</cx:pt>
          <cx:pt idx="110">Pinus_koraiensis</cx:pt>
          <cx:pt idx="111">Pinus_lambertiana</cx:pt>
          <cx:pt idx="112">Pinus_leiophylla</cx:pt>
          <cx:pt idx="113">Pinus_longaeva</cx:pt>
          <cx:pt idx="114">Pinus_massoniana</cx:pt>
          <cx:pt idx="115">Pinus_maximartinezii</cx:pt>
          <cx:pt idx="116">Pinus_merkusii</cx:pt>
          <cx:pt idx="117">Pinus_monophylla</cx:pt>
          <cx:pt idx="118">Pinus_montezumae</cx:pt>
          <cx:pt idx="119">Pinus_monticola</cx:pt>
          <cx:pt idx="120">Pinus_mugo</cx:pt>
          <cx:pt idx="121">Pinus_muricata</cx:pt>
          <cx:pt idx="122">Pinus_nelsonii</cx:pt>
          <cx:pt idx="123">Pinus_nigra</cx:pt>
          <cx:pt idx="124">Pinus_oocarpa</cx:pt>
          <cx:pt idx="125">Pinus_palustris</cx:pt>
          <cx:pt idx="126">Pinus_parviflora</cx:pt>
          <cx:pt idx="127">Pinus_patula</cx:pt>
          <cx:pt idx="128">Pinus_peuce</cx:pt>
          <cx:pt idx="129">Pinus_pinaster</cx:pt>
          <cx:pt idx="130">Pinus_pinceana</cx:pt>
          <cx:pt idx="131">Pinus_pinea</cx:pt>
          <cx:pt idx="132">Pinus_ponderosa</cx:pt>
          <cx:pt idx="133">Pinus_pringlei</cx:pt>
          <cx:pt idx="134">Pinus_pseudostrobus</cx:pt>
          <cx:pt idx="135">Pinus_pumila</cx:pt>
          <cx:pt idx="136">Pinus_radiata</cx:pt>
          <cx:pt idx="137">Pinus_remota</cx:pt>
          <cx:pt idx="138">Pinus_resinosa</cx:pt>
          <cx:pt idx="139">Pinus_rigida</cx:pt>
          <cx:pt idx="140">Pinus_roxburghii</cx:pt>
          <cx:pt idx="141">Pinus_rzedowskii</cx:pt>
          <cx:pt idx="142">Pinus_sabiniana</cx:pt>
          <cx:pt idx="143">Pinus_serotina</cx:pt>
          <cx:pt idx="144">Pinus_sibirica</cx:pt>
          <cx:pt idx="145">Pinus_strobiformis</cx:pt>
          <cx:pt idx="146">Pinus_strobus</cx:pt>
          <cx:pt idx="147">Pinus_sylvestris</cx:pt>
          <cx:pt idx="148">Pinus_tabulaeformis</cx:pt>
          <cx:pt idx="149">Pinus_taeda</cx:pt>
          <cx:pt idx="150">Pinus_taiwanensis</cx:pt>
          <cx:pt idx="151">Pinus_tecunumanii</cx:pt>
          <cx:pt idx="152">Pinus_thunbergii</cx:pt>
          <cx:pt idx="153">Pinus_torreyana</cx:pt>
          <cx:pt idx="154">Pinus_tropicalis</cx:pt>
          <cx:pt idx="155">Pinus_virginiana</cx:pt>
          <cx:pt idx="156">Pinus_wallichiana</cx:pt>
          <cx:pt idx="157">Pinus_washoensis</cx:pt>
          <cx:pt idx="158">Platycladus_orientalis</cx:pt>
          <cx:pt idx="159">Pseudotaxus_chienii</cx:pt>
          <cx:pt idx="160">Pseudotsuga_menziesii</cx:pt>
          <cx:pt idx="161">Sciadopitys_verticillata</cx:pt>
          <cx:pt idx="162">Sequoia_sempervirens</cx:pt>
          <cx:pt idx="163">Sequoiadendron_giganteum</cx:pt>
          <cx:pt idx="164">Taxus_baccata</cx:pt>
          <cx:pt idx="165">Taxus_brevifolia</cx:pt>
          <cx:pt idx="166">Taxus_canadensis</cx:pt>
          <cx:pt idx="167">Taxus_chinensis</cx:pt>
          <cx:pt idx="168">Taxus_cuspidata</cx:pt>
          <cx:pt idx="169">Taxus_sumatrana</cx:pt>
          <cx:pt idx="170">Taxus_wallichiana</cx:pt>
          <cx:pt idx="171">Tetraclinis_articulata</cx:pt>
          <cx:pt idx="172">Thuja_koraiensis</cx:pt>
          <cx:pt idx="173">Thuja_occidentalis</cx:pt>
          <cx:pt idx="174">Thuja_plicata</cx:pt>
          <cx:pt idx="175">Thuja_standishii</cx:pt>
          <cx:pt idx="176">Thuja_sutchuensis</cx:pt>
          <cx:pt idx="177">Thujopsis_dolabrata</cx:pt>
          <cx:pt idx="178">Torreya_californica</cx:pt>
          <cx:pt idx="179">Torreya_nucifera</cx:pt>
          <cx:pt idx="180">Torreya_taxifolia</cx:pt>
          <cx:pt idx="181">Tsuga_canadensis</cx:pt>
          <cx:pt idx="182">Tsuga_caroliniana</cx:pt>
          <cx:pt idx="183">Tsuga_chinensis</cx:pt>
          <cx:pt idx="184">Tsuga_heterophylla</cx:pt>
          <cx:pt idx="185">Tsuga_mertensiana</cx:pt>
          <cx:pt idx="186">Tsuga_sieboldii</cx:pt>
          <cx:pt idx="187">Welwitschia_mirabilis</cx:pt>
          <cx:pt idx="188">Widdringtonia_cedarbergensis</cx:pt>
          <cx:pt idx="189">Widdringtonia_nodiflora</cx:pt>
          <cx:pt idx="190">Widdringtonia_schwarzii</cx:pt>
          <cx:pt idx="191">Xanthocyparis_nootkatensis</cx:pt>
        </cx:lvl>
      </cx:strDim>
      <cx:numDim type="val">
        <cx:f>Sheet2!$B$2:$B$193</cx:f>
        <cx:lvl ptCount="192" formatCode="General">
          <cx:pt idx="0">17.289999999999999</cx:pt>
          <cx:pt idx="1">16.399999999999999</cx:pt>
          <cx:pt idx="2">18.100000000000001</cx:pt>
          <cx:pt idx="3">18.559999999999999</cx:pt>
          <cx:pt idx="4">18.050000000000001</cx:pt>
          <cx:pt idx="5">17.199999999999999</cx:pt>
          <cx:pt idx="6">19.850000000000001</cx:pt>
          <cx:pt idx="7">18.25</cx:pt>
          <cx:pt idx="8">17.600000000000001</cx:pt>
          <cx:pt idx="9">19.050000000000001</cx:pt>
          <cx:pt idx="10">17.199999999999999</cx:pt>
          <cx:pt idx="11">15.800000000000001</cx:pt>
          <cx:pt idx="12">10.65</cx:pt>
          <cx:pt idx="13">30.199999999999999</cx:pt>
          <cx:pt idx="14">10.1</cx:pt>
          <cx:pt idx="15">10.1</cx:pt>
          <cx:pt idx="16">10.050000000000001</cx:pt>
          <cx:pt idx="17">8.25</cx:pt>
          <cx:pt idx="18">9</cx:pt>
          <cx:pt idx="19">10.4</cx:pt>
          <cx:pt idx="20">15.25</cx:pt>
          <cx:pt idx="21">17</cx:pt>
          <cx:pt idx="22">18.460000000000001</cx:pt>
          <cx:pt idx="23">24.75</cx:pt>
          <cx:pt idx="24">16.199999999999999</cx:pt>
          <cx:pt idx="25">15.9</cx:pt>
          <cx:pt idx="26">16.300000000000001</cx:pt>
          <cx:pt idx="27">16</cx:pt>
          <cx:pt idx="28">16.25</cx:pt>
          <cx:pt idx="29">8.5500000000000007</cx:pt>
          <cx:pt idx="30">11.529999999999999</cx:pt>
          <cx:pt idx="31">9.3000000000000007</cx:pt>
          <cx:pt idx="32">10.210000000000001</cx:pt>
          <cx:pt idx="33">10.4</cx:pt>
          <cx:pt idx="34">11.300000000000001</cx:pt>
          <cx:pt idx="35">10.76</cx:pt>
          <cx:pt idx="36">11.85</cx:pt>
          <cx:pt idx="37">10.75</cx:pt>
          <cx:pt idx="38">14.199999999999999</cx:pt>
          <cx:pt idx="39">17.5</cx:pt>
          <cx:pt idx="40">12.529999999999999</cx:pt>
          <cx:pt idx="41">3.98</cx:pt>
          <cx:pt idx="42">3.8700000000000001</cx:pt>
          <cx:pt idx="43">2.25</cx:pt>
          <cx:pt idx="44">11.199999999999999</cx:pt>
          <cx:pt idx="45">24.100000000000001</cx:pt>
          <cx:pt idx="46">9.5099999999999998</cx:pt>
          <cx:pt idx="47">11.23</cx:pt>
          <cx:pt idx="48">29.870000000000001</cx:pt>
          <cx:pt idx="49">11.75</cx:pt>
          <cx:pt idx="50">9.9100000000000001</cx:pt>
          <cx:pt idx="51">12.359999999999999</cx:pt>
          <cx:pt idx="52">22.25</cx:pt>
          <cx:pt idx="53">12.15</cx:pt>
          <cx:pt idx="54">19.809999999999999</cx:pt>
          <cx:pt idx="55">11.300000000000001</cx:pt>
          <cx:pt idx="56">12.050000000000001</cx:pt>
          <cx:pt idx="57">11.949999999999999</cx:pt>
          <cx:pt idx="58">24.199999999999999</cx:pt>
          <cx:pt idx="59">11.449999999999999</cx:pt>
          <cx:pt idx="60">12.85</cx:pt>
          <cx:pt idx="61">13.4</cx:pt>
          <cx:pt idx="62">13.199999999999999</cx:pt>
          <cx:pt idx="63">12.23</cx:pt>
          <cx:pt idx="64">12.300000000000001</cx:pt>
          <cx:pt idx="65">19.5</cx:pt>
          <cx:pt idx="66">20</cx:pt>
          <cx:pt idx="67">11.039999999999999</cx:pt>
          <cx:pt idx="68">10.17</cx:pt>
          <cx:pt idx="69">12.75</cx:pt>
          <cx:pt idx="70">12</cx:pt>
          <cx:pt idx="71">20.010000000000002</cx:pt>
          <cx:pt idx="72">19.449999999999999</cx:pt>
          <cx:pt idx="73">16.149999999999999</cx:pt>
          <cx:pt idx="74">17.449999999999999</cx:pt>
          <cx:pt idx="75">16.899999999999999</cx:pt>
          <cx:pt idx="76">18.600000000000001</cx:pt>
          <cx:pt idx="77">18.149999999999999</cx:pt>
          <cx:pt idx="78">27.199999999999999</cx:pt>
          <cx:pt idx="79">29.120000000000001</cx:pt>
          <cx:pt idx="80">26.170000000000002</cx:pt>
          <cx:pt idx="81">32.32</cx:pt>
          <cx:pt idx="82">25.050000000000001</cx:pt>
          <cx:pt idx="83">36</cx:pt>
          <cx:pt idx="84">29.940000000000001</cx:pt>
          <cx:pt idx="85">21.670000000000002</cx:pt>
          <cx:pt idx="86">29.600000000000001</cx:pt>
          <cx:pt idx="87">32.149999999999999</cx:pt>
          <cx:pt idx="88">22.649999999999999</cx:pt>
          <cx:pt idx="89">29.949999999999999</cx:pt>
          <cx:pt idx="90">31.600000000000001</cx:pt>
          <cx:pt idx="91">32.270000000000003</cx:pt>
          <cx:pt idx="92">22.100000000000001</cx:pt>
          <cx:pt idx="93">26.399999999999999</cx:pt>
          <cx:pt idx="94">27.68</cx:pt>
          <cx:pt idx="95">26.539999999999999</cx:pt>
          <cx:pt idx="96">22.75</cx:pt>
          <cx:pt idx="97">32.93</cx:pt>
          <cx:pt idx="98">22.609999999999999</cx:pt>
          <cx:pt idx="99">26.559999999999999</cx:pt>
          <cx:pt idx="100">31.199999999999999</cx:pt>
          <cx:pt idx="101">35.850000000000001</cx:pt>
          <cx:pt idx="102">20.899999999999999</cx:pt>
          <cx:pt idx="103">20.68</cx:pt>
          <cx:pt idx="104">24.550000000000001</cx:pt>
          <cx:pt idx="105">33.490000000000002</cx:pt>
          <cx:pt idx="106">24.600000000000001</cx:pt>
          <cx:pt idx="107">21.780000000000001</cx:pt>
          <cx:pt idx="108">27.699999999999999</cx:pt>
          <cx:pt idx="109">25.699999999999999</cx:pt>
          <cx:pt idx="110">28.199999999999999</cx:pt>
          <cx:pt idx="111">29.550000000000001</cx:pt>
          <cx:pt idx="112">24.829999999999998</cx:pt>
          <cx:pt idx="113">26.25</cx:pt>
          <cx:pt idx="114">25.699999999999999</cx:pt>
          <cx:pt idx="115">31.899999999999999</cx:pt>
          <cx:pt idx="116">30.899999999999999</cx:pt>
          <cx:pt idx="117">30.199999999999999</cx:pt>
          <cx:pt idx="118">26.699999999999999</cx:pt>
          <cx:pt idx="119">30.649999999999999</cx:pt>
          <cx:pt idx="120">20.149999999999999</cx:pt>
          <cx:pt idx="121">25.370000000000001</cx:pt>
          <cx:pt idx="122">32.200000000000003</cx:pt>
          <cx:pt idx="123">23.620000000000001</cx:pt>
          <cx:pt idx="124">21.739999999999998</cx:pt>
          <cx:pt idx="125">24.050000000000001</cx:pt>
          <cx:pt idx="126">28.100000000000001</cx:pt>
          <cx:pt idx="127">21.920000000000002</cx:pt>
          <cx:pt idx="128">27.469999999999999</cx:pt>
          <cx:pt idx="129">28.899999999999999</cx:pt>
          <cx:pt idx="130">31.98</cx:pt>
          <cx:pt idx="131">28.399999999999999</cx:pt>
          <cx:pt idx="132">24.199999999999999</cx:pt>
          <cx:pt idx="133">22.34</cx:pt>
          <cx:pt idx="134">21.350000000000001</cx:pt>
          <cx:pt idx="135">27.399999999999999</cx:pt>
          <cx:pt idx="136">24.25</cx:pt>
          <cx:pt idx="137">29.850000000000001</cx:pt>
          <cx:pt idx="138">23.800000000000001</cx:pt>
          <cx:pt idx="139">24.149999999999999</cx:pt>
          <cx:pt idx="140">30.850000000000001</cx:pt>
          <cx:pt idx="141">32.82</cx:pt>
          <cx:pt idx="142">29.600000000000001</cx:pt>
          <cx:pt idx="143">21.5</cx:pt>
          <cx:pt idx="144">29.550000000000001</cx:pt>
          <cx:pt idx="145">35.359999999999999</cx:pt>
          <cx:pt idx="146">25.649999999999999</cx:pt>
          <cx:pt idx="147">22.98</cx:pt>
          <cx:pt idx="148">25.699999999999999</cx:pt>
          <cx:pt idx="149">22.100000000000001</cx:pt>
          <cx:pt idx="150">24.300000000000001</cx:pt>
          <cx:pt idx="151">20.489999999999998</cx:pt>
          <cx:pt idx="152">25.399999999999999</cx:pt>
          <cx:pt idx="153">29.050000000000001</cx:pt>
          <cx:pt idx="154">30.469999999999999</cx:pt>
          <cx:pt idx="155">20.350000000000001</cx:pt>
          <cx:pt idx="156">26.300000000000001</cx:pt>
          <cx:pt idx="157">26.75</cx:pt>
          <cx:pt idx="158">10.460000000000001</cx:pt>
          <cx:pt idx="159">17.300000000000001</cx:pt>
          <cx:pt idx="160">19.050000000000001</cx:pt>
          <cx:pt idx="161">20.800000000000001</cx:pt>
          <cx:pt idx="162">32.140000000000001</cx:pt>
          <cx:pt idx="163">9.9299999999999997</cx:pt>
          <cx:pt idx="164">11.050000000000001</cx:pt>
          <cx:pt idx="165">11.449999999999999</cx:pt>
          <cx:pt idx="166">11.6</cx:pt>
          <cx:pt idx="167">7.75</cx:pt>
          <cx:pt idx="168">11.449999999999999</cx:pt>
          <cx:pt idx="169">11.15</cx:pt>
          <cx:pt idx="170">11.85</cx:pt>
          <cx:pt idx="171">12.85</cx:pt>
          <cx:pt idx="172">11.949999999999999</cx:pt>
          <cx:pt idx="173">12.359999999999999</cx:pt>
          <cx:pt idx="174">12.84</cx:pt>
          <cx:pt idx="175">13.43</cx:pt>
          <cx:pt idx="176">12.1</cx:pt>
          <cx:pt idx="177">13.970000000000001</cx:pt>
          <cx:pt idx="178">22.050000000000001</cx:pt>
          <cx:pt idx="179">22.300000000000001</cx:pt>
          <cx:pt idx="180">21.600000000000001</cx:pt>
          <cx:pt idx="181">18.600000000000001</cx:pt>
          <cx:pt idx="182">20.949999999999999</cx:pt>
          <cx:pt idx="183">20.850000000000001</cx:pt>
          <cx:pt idx="184">17.199999999999999</cx:pt>
          <cx:pt idx="185">18.149999999999999</cx:pt>
          <cx:pt idx="186">16.899999999999999</cx:pt>
          <cx:pt idx="187">7.2000000000000002</cx:pt>
          <cx:pt idx="188">10.75</cx:pt>
          <cx:pt idx="189">10.4</cx:pt>
          <cx:pt idx="190">10.880000000000001</cx:pt>
          <cx:pt idx="191">11.4</cx:pt>
        </cx:lvl>
      </cx:numDim>
    </cx:data>
  </cx:chartData>
  <cx:chart>
    <cx:title pos="t" align="ctr" overlay="0">
      <cx:tx>
        <cx:txData>
          <cx:v>C-Value of Gymnosperm </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C-Value of Gymnosperm </a:t>
          </a:r>
        </a:p>
      </cx:txPr>
    </cx:title>
    <cx:plotArea>
      <cx:plotAreaRegion>
        <cx:series layoutId="clusteredColumn" uniqueId="{C3D61C03-06B2-D04F-BB68-5A8633890628}" formatIdx="0">
          <cx:tx>
            <cx:txData>
              <cx:f>Sheet2!$B$1</cx:f>
              <cx:v>C-Value</cx:v>
            </cx:txData>
          </cx:tx>
          <cx:dataId val="0"/>
          <cx:layoutPr>
            <cx:aggregation/>
          </cx:layoutPr>
        </cx:series>
      </cx:plotAreaRegion>
      <cx:axis id="0">
        <cx:catScaling gapWidth="0"/>
        <cx:tickLabels/>
      </cx:axis>
      <cx:axis id="1">
        <cx:valScaling/>
        <cx:title>
          <cx:tx>
            <cx:txData>
              <cx:v>C-Value (pg)</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C-Value (pg)</a:t>
              </a:r>
            </a:p>
          </cx:txPr>
        </cx:title>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Sheet2!$Q$2:$Q$193</cx:f>
        <cx:lvl ptCount="192">
          <cx:pt idx="0">Abies_alba</cx:pt>
          <cx:pt idx="1">Abies_balsamea</cx:pt>
          <cx:pt idx="2">Abies_cephalonica</cx:pt>
          <cx:pt idx="3">Abies_cilicica</cx:pt>
          <cx:pt idx="4">Abies_concolor</cx:pt>
          <cx:pt idx="5">Abies_fraseri</cx:pt>
          <cx:pt idx="6">Abies_homolepis</cx:pt>
          <cx:pt idx="7">Abies_koreana</cx:pt>
          <cx:pt idx="8">Abies_nordmanniana</cx:pt>
          <cx:pt idx="9">Abies_pinsapo</cx:pt>
          <cx:pt idx="10">Abies_procera</cx:pt>
          <cx:pt idx="11">Abies_sibirica</cx:pt>
          <cx:pt idx="12">Actinostrobus_pyramidalis</cx:pt>
          <cx:pt idx="13">Amentotaxus_yunnanensis</cx:pt>
          <cx:pt idx="14">Athrotaxis_cupressoides</cx:pt>
          <cx:pt idx="15">Athrotaxis_laxifolia</cx:pt>
          <cx:pt idx="16">Athrotaxis_selaginoides</cx:pt>
          <cx:pt idx="17">Callitris_glauca</cx:pt>
          <cx:pt idx="18">Callitris_rhomboidea</cx:pt>
          <cx:pt idx="19">Callitris_verrucosa</cx:pt>
          <cx:pt idx="20">Calocedrus_decurrens</cx:pt>
          <cx:pt idx="21">Calocedrus_formosana</cx:pt>
          <cx:pt idx="22">Calocedrus_macrolepis</cx:pt>
          <cx:pt idx="23">Cathaya_argyrophylla</cx:pt>
          <cx:pt idx="24">Cedrus_atlantica</cx:pt>
          <cx:pt idx="25">Cedrus_brevifolia</cx:pt>
          <cx:pt idx="26">Cedrus_deodara</cx:pt>
          <cx:pt idx="27">Cedrus_libani</cx:pt>
          <cx:pt idx="28">Cedrus_libani</cx:pt>
          <cx:pt idx="29">Chamaecyparis_formosensis</cx:pt>
          <cx:pt idx="30">Chamaecyparis_lawsoniana</cx:pt>
          <cx:pt idx="31">Chamaecyparis_obtusa</cx:pt>
          <cx:pt idx="32">Chamaecyparis_pisifera</cx:pt>
          <cx:pt idx="33">Chamaecyparis_thyoides</cx:pt>
          <cx:pt idx="34">Cupressus_arizonica</cx:pt>
          <cx:pt idx="35">Cupressus_funebris</cx:pt>
          <cx:pt idx="36">Cupressus_guadalupensis</cx:pt>
          <cx:pt idx="37">Cupressus_lusitanica</cx:pt>
          <cx:pt idx="38">Cupressus_macrocarpa</cx:pt>
          <cx:pt idx="39">Fitzroya_cupressoides</cx:pt>
          <cx:pt idx="40">Fokienia_hodginsii</cx:pt>
          <cx:pt idx="41">Gnetum_costatum</cx:pt>
          <cx:pt idx="42">Gnetum_gnemon</cx:pt>
          <cx:pt idx="43">Gnetum_ula</cx:pt>
          <cx:pt idx="44">Juniperus_cedrus</cx:pt>
          <cx:pt idx="45">Juniperus_chinensis</cx:pt>
          <cx:pt idx="46">Juniperus_drupacea</cx:pt>
          <cx:pt idx="47">Juniperus_excelsa</cx:pt>
          <cx:pt idx="48">Juniperus_foetidissima</cx:pt>
          <cx:pt idx="49">Juniperus_horizontalis</cx:pt>
          <cx:pt idx="50">Juniperus_oxycedrus</cx:pt>
          <cx:pt idx="51">Juniperus_phoenicea</cx:pt>
          <cx:pt idx="52">Juniperus_pingii</cx:pt>
          <cx:pt idx="53">Juniperus_rigida</cx:pt>
          <cx:pt idx="54">Juniperus_sabina</cx:pt>
          <cx:pt idx="55">Juniperus_scopulorum</cx:pt>
          <cx:pt idx="56">Juniperus_squamata</cx:pt>
          <cx:pt idx="57">Juniperus_virginiana</cx:pt>
          <cx:pt idx="58">Keteleeria_evelyniana</cx:pt>
          <cx:pt idx="59">Larix_decidua</cx:pt>
          <cx:pt idx="60">Larix_gmelinii</cx:pt>
          <cx:pt idx="61">Larix_griffithii</cx:pt>
          <cx:pt idx="62">Larix_kaempferi</cx:pt>
          <cx:pt idx="63">Larix_laricina</cx:pt>
          <cx:pt idx="64">Larix_sibirica</cx:pt>
          <cx:pt idx="65">Libocedrus_bidwillii</cx:pt>
          <cx:pt idx="66">Libocedrus_plumosa</cx:pt>
          <cx:pt idx="67">Metasequoia_glyptostroboides</cx:pt>
          <cx:pt idx="68">Microbiota_decussata</cx:pt>
          <cx:pt idx="69">Neocallitropsis_pancheri</cx:pt>
          <cx:pt idx="70">Papuacedrus_var. papuana</cx:pt>
          <cx:pt idx="71">Picea_abies</cx:pt>
          <cx:pt idx="72">Picea_engelmannii</cx:pt>
          <cx:pt idx="73">Picea_glauca</cx:pt>
          <cx:pt idx="74">Picea_mariana</cx:pt>
          <cx:pt idx="75">Picea_omorika</cx:pt>
          <cx:pt idx="76">Picea_orientalis</cx:pt>
          <cx:pt idx="77">Picea_pungens</cx:pt>
          <cx:pt idx="78">Pinus_albicaulis</cx:pt>
          <cx:pt idx="79">Pinus_aristata</cx:pt>
          <cx:pt idx="80">Pinus_arizonica</cx:pt>
          <cx:pt idx="81">Pinus_armandii</cx:pt>
          <cx:pt idx="82">Pinus_attenuata</cx:pt>
          <cx:pt idx="83">Pinus_ayacahuite</cx:pt>
          <cx:pt idx="84">Pinus_balfouriana</cx:pt>
          <cx:pt idx="85">Pinus_brutia</cx:pt>
          <cx:pt idx="86">Pinus_bungeana</cx:pt>
          <cx:pt idx="87">Pinus_canariensis</cx:pt>
          <cx:pt idx="88">Pinus_caribaea</cx:pt>
          <cx:pt idx="89">Pinus_cembra</cx:pt>
          <cx:pt idx="90">Pinus_cembroides</cx:pt>
          <cx:pt idx="91">Pinus_chiapensis</cx:pt>
          <cx:pt idx="92">Pinus_clausa</cx:pt>
          <cx:pt idx="93">Pinus_culminicola</cx:pt>
          <cx:pt idx="94">Pinus_devoniana</cx:pt>
          <cx:pt idx="95">Pinus_durangensis</cx:pt>
          <cx:pt idx="96">Pinus_echinata</cx:pt>
          <cx:pt idx="97">Pinus_edulis</cx:pt>
          <cx:pt idx="98">Pinus_elliottii</cx:pt>
          <cx:pt idx="99">Pinus_engelmannii</cx:pt>
          <cx:pt idx="100">Pinus_flexilis</cx:pt>
          <cx:pt idx="101">Pinus_gerardiana</cx:pt>
          <cx:pt idx="102">Pinus_glabra</cx:pt>
          <cx:pt idx="103">Pinus_greggii</cx:pt>
          <cx:pt idx="104">Pinus_halepensis</cx:pt>
          <cx:pt idx="105">Pinus_heldreichii</cx:pt>
          <cx:pt idx="106">Pinus_herrerae</cx:pt>
          <cx:pt idx="107">Pinus_jaliscana</cx:pt>
          <cx:pt idx="108">Pinus_jeffreyi</cx:pt>
          <cx:pt idx="109">Pinus_kesiya</cx:pt>
          <cx:pt idx="110">Pinus_koraiensis</cx:pt>
          <cx:pt idx="111">Pinus_lambertiana</cx:pt>
          <cx:pt idx="112">Pinus_leiophylla</cx:pt>
          <cx:pt idx="113">Pinus_longaeva</cx:pt>
          <cx:pt idx="114">Pinus_massoniana</cx:pt>
          <cx:pt idx="115">Pinus_maximartinezii</cx:pt>
          <cx:pt idx="116">Pinus_merkusii</cx:pt>
          <cx:pt idx="117">Pinus_monophylla</cx:pt>
          <cx:pt idx="118">Pinus_montezumae</cx:pt>
          <cx:pt idx="119">Pinus_monticola</cx:pt>
          <cx:pt idx="120">Pinus_mugo</cx:pt>
          <cx:pt idx="121">Pinus_muricata</cx:pt>
          <cx:pt idx="122">Pinus_nelsonii</cx:pt>
          <cx:pt idx="123">Pinus_nigra</cx:pt>
          <cx:pt idx="124">Pinus_oocarpa</cx:pt>
          <cx:pt idx="125">Pinus_palustris</cx:pt>
          <cx:pt idx="126">Pinus_parviflora</cx:pt>
          <cx:pt idx="127">Pinus_patula</cx:pt>
          <cx:pt idx="128">Pinus_peuce</cx:pt>
          <cx:pt idx="129">Pinus_pinaster</cx:pt>
          <cx:pt idx="130">Pinus_pinceana</cx:pt>
          <cx:pt idx="131">Pinus_pinea</cx:pt>
          <cx:pt idx="132">Pinus_ponderosa</cx:pt>
          <cx:pt idx="133">Pinus_pringlei</cx:pt>
          <cx:pt idx="134">Pinus_pseudostrobus</cx:pt>
          <cx:pt idx="135">Pinus_pumila</cx:pt>
          <cx:pt idx="136">Pinus_radiata</cx:pt>
          <cx:pt idx="137">Pinus_remota</cx:pt>
          <cx:pt idx="138">Pinus_resinosa</cx:pt>
          <cx:pt idx="139">Pinus_rigida</cx:pt>
          <cx:pt idx="140">Pinus_roxburghii</cx:pt>
          <cx:pt idx="141">Pinus_rzedowskii</cx:pt>
          <cx:pt idx="142">Pinus_sabiniana</cx:pt>
          <cx:pt idx="143">Pinus_serotina</cx:pt>
          <cx:pt idx="144">Pinus_sibirica</cx:pt>
          <cx:pt idx="145">Pinus_strobiformis</cx:pt>
          <cx:pt idx="146">Pinus_strobus</cx:pt>
          <cx:pt idx="147">Pinus_sylvestris</cx:pt>
          <cx:pt idx="148">Pinus_tabulaeformis</cx:pt>
          <cx:pt idx="149">Pinus_taeda</cx:pt>
          <cx:pt idx="150">Pinus_taiwanensis</cx:pt>
          <cx:pt idx="151">Pinus_tecunumanii</cx:pt>
          <cx:pt idx="152">Pinus_thunbergii</cx:pt>
          <cx:pt idx="153">Pinus_torreyana</cx:pt>
          <cx:pt idx="154">Pinus_tropicalis</cx:pt>
          <cx:pt idx="155">Pinus_virginiana</cx:pt>
          <cx:pt idx="156">Pinus_wallichiana</cx:pt>
          <cx:pt idx="157">Pinus_washoensis</cx:pt>
          <cx:pt idx="158">Platycladus_orientalis</cx:pt>
          <cx:pt idx="159">Pseudotaxus_chienii</cx:pt>
          <cx:pt idx="160">Pseudotsuga_menziesii</cx:pt>
          <cx:pt idx="161">Sciadopitys_verticillata</cx:pt>
          <cx:pt idx="162">Sequoia_sempervirens</cx:pt>
          <cx:pt idx="163">Sequoiadendron_giganteum</cx:pt>
          <cx:pt idx="164">Taxus_baccata</cx:pt>
          <cx:pt idx="165">Taxus_brevifolia</cx:pt>
          <cx:pt idx="166">Taxus_canadensis</cx:pt>
          <cx:pt idx="167">Taxus_chinensis</cx:pt>
          <cx:pt idx="168">Taxus_cuspidata</cx:pt>
          <cx:pt idx="169">Taxus_sumatrana</cx:pt>
          <cx:pt idx="170">Taxus_wallichiana</cx:pt>
          <cx:pt idx="171">Tetraclinis_articulata</cx:pt>
          <cx:pt idx="172">Thuja_koraiensis</cx:pt>
          <cx:pt idx="173">Thuja_occidentalis</cx:pt>
          <cx:pt idx="174">Thuja_plicata</cx:pt>
          <cx:pt idx="175">Thuja_standishii</cx:pt>
          <cx:pt idx="176">Thuja_sutchuensis</cx:pt>
          <cx:pt idx="177">Thujopsis_dolabrata</cx:pt>
          <cx:pt idx="178">Torreya_californica</cx:pt>
          <cx:pt idx="179">Torreya_nucifera</cx:pt>
          <cx:pt idx="180">Torreya_taxifolia</cx:pt>
          <cx:pt idx="181">Tsuga_canadensis</cx:pt>
          <cx:pt idx="182">Tsuga_caroliniana</cx:pt>
          <cx:pt idx="183">Tsuga_chinensis</cx:pt>
          <cx:pt idx="184">Tsuga_heterophylla</cx:pt>
          <cx:pt idx="185">Tsuga_mertensiana</cx:pt>
          <cx:pt idx="186">Tsuga_sieboldii</cx:pt>
          <cx:pt idx="187">Welwitschia_mirabilis</cx:pt>
          <cx:pt idx="188">Widdringtonia_cedarbergensis</cx:pt>
          <cx:pt idx="189">Widdringtonia_nodiflora</cx:pt>
          <cx:pt idx="190">Widdringtonia_schwarzii</cx:pt>
          <cx:pt idx="191">Xanthocyparis_nootkatensis</cx:pt>
        </cx:lvl>
      </cx:strDim>
      <cx:numDim type="val">
        <cx:f>Sheet2!$R$2:$R$193</cx:f>
        <cx:lvl ptCount="192" formatCode="General">
          <cx:pt idx="0">0.046383926999999998</cx:pt>
          <cx:pt idx="1">0.093808263000000003</cx:pt>
          <cx:pt idx="2">0.12609408899999999</cx:pt>
          <cx:pt idx="3">0.51647510600000002</cx:pt>
          <cx:pt idx="4">0.065261866000000002</cx:pt>
          <cx:pt idx="5">0.32772181900000003</cx:pt>
          <cx:pt idx="6">0.58016421200000001</cx:pt>
          <cx:pt idx="7">0.20021678500000001</cx:pt>
          <cx:pt idx="8">0.25895820800000002</cx:pt>
          <cx:pt idx="9">0.077738919000000004</cx:pt>
          <cx:pt idx="10">0.090050329999999998</cx:pt>
          <cx:pt idx="11">0.10600815600000001</cx:pt>
          <cx:pt idx="12">0.088712327999999993</cx:pt>
          <cx:pt idx="13">0.052964719</cx:pt>
          <cx:pt idx="14">0.010339797</cx:pt>
          <cx:pt idx="15">0.020290869999999999</cx:pt>
          <cx:pt idx="16">0.040512075000000002</cx:pt>
          <cx:pt idx="17">0.19709069900000001</cx:pt>
          <cx:pt idx="18">0.17762857600000001</cx:pt>
          <cx:pt idx="19">0.108358943</cx:pt>
          <cx:pt idx="20">0.022764782000000001</cx:pt>
          <cx:pt idx="21">0.043695972</cx:pt>
          <cx:pt idx="22">0.020753225</cx:pt>
          <cx:pt idx="23">0.0043052469999999999</cx:pt>
          <cx:pt idx="24">0.015050624</cx:pt>
          <cx:pt idx="25">0.0064897720000000004</cx:pt>
          <cx:pt idx="26">0.0098750460000000002</cx:pt>
          <cx:pt idx="27">0.015050624</cx:pt>
          <cx:pt idx="28">0.015050624</cx:pt>
          <cx:pt idx="29">0.018992365000000001</cx:pt>
          <cx:pt idx="30">0.015801801000000001</cx:pt>
          <cx:pt idx="31">0.015801801000000001</cx:pt>
          <cx:pt idx="32">0.018992365000000001</cx:pt>
          <cx:pt idx="33">0.011982265000000001</cx:pt>
          <cx:pt idx="34">0.089387621</cx:pt>
          <cx:pt idx="35">0.055681845000000001</cx:pt>
          <cx:pt idx="36">0.153873183</cx:pt>
          <cx:pt idx="37">0.52346414900000005</cx:pt>
          <cx:pt idx="38">0.143757419</cx:pt>
          <cx:pt idx="39">0.021025077</cx:pt>
          <cx:pt idx="40">0.017262023000000001</cx:pt>
          <cx:pt idx="41">0.058373147</cx:pt>
          <cx:pt idx="42">0.058373147</cx:pt>
          <cx:pt idx="43">0.271491221</cx:pt>
          <cx:pt idx="44">0.057723293000000002</cx:pt>
          <cx:pt idx="45">0.25049036200000002</cx:pt>
          <cx:pt idx="46">0.022285367</cx:pt>
          <cx:pt idx="47">0.085261106000000003</cx:pt>
          <cx:pt idx="48">0.060379692999999998</cx:pt>
          <cx:pt idx="49">0.056735371999999999</cx:pt>
          <cx:pt idx="50">0.057723293000000002</cx:pt>
          <cx:pt idx="51">0.048150881999999999</cx:pt>
          <cx:pt idx="52">0.14735108799999999</cx:pt>
          <cx:pt idx="53">0.037368288999999999</cx:pt>
          <cx:pt idx="54">0.098405363999999995</cx:pt>
          <cx:pt idx="55">0.260105576</cx:pt>
          <cx:pt idx="56">0.33094278900000001</cx:pt>
          <cx:pt idx="57">0.170829543</cx:pt>
          <cx:pt idx="58">0.013811916</cx:pt>
          <cx:pt idx="59">0.013152175</cx:pt>
          <cx:pt idx="60">0.030293532000000001</cx:pt>
          <cx:pt idx="61">0.022611079999999999</cx:pt>
          <cx:pt idx="62">0.035380190999999998</cx:pt>
          <cx:pt idx="63">0.035380190999999998</cx:pt>
          <cx:pt idx="64">0.029318462</cx:pt>
          <cx:pt idx="65">0.022029469999999999</cx:pt>
          <cx:pt idx="66">0.038334694000000002</cx:pt>
          <cx:pt idx="67">0.0072075949999999998</cx:pt>
          <cx:pt idx="68">0.033841393999999997</cx:pt>
          <cx:pt idx="69">0.017930174</cx:pt>
          <cx:pt idx="70">0.014269202</cx:pt>
          <cx:pt idx="71">0.059683517999999998</cx:pt>
          <cx:pt idx="72">0.041179690999999997</cx:pt>
          <cx:pt idx="73">0.037774370000000002</cx:pt>
          <cx:pt idx="74">0.063615685000000005</cx:pt>
          <cx:pt idx="75">0.063615685000000005</cx:pt>
          <cx:pt idx="76">0.116396557</cx:pt>
          <cx:pt idx="77">0.020698109999999999</cx:pt>
          <cx:pt idx="78">0.056374048000000003</cx:pt>
          <cx:pt idx="79">0.01110505</cx:pt>
          <cx:pt idx="80">0.051547425000000001</cx:pt>
          <cx:pt idx="81">0.053528447999999999</cx:pt>
          <cx:pt idx="82">0.017726878000000001</cx:pt>
          <cx:pt idx="83">0.056407943000000002</cx:pt>
          <cx:pt idx="84">0.017284232</cx:pt>
          <cx:pt idx="85">0.011613111000000001</cx:pt>
          <cx:pt idx="86">0.011238048</cx:pt>
          <cx:pt idx="87">0.013204693</cx:pt>
          <cx:pt idx="88">0.014358238000000001</cx:pt>
          <cx:pt idx="89">0.047107715000000001</cx:pt>
          <cx:pt idx="90">0.073971444999999997</cx:pt>
          <cx:pt idx="91">0.024260251</cx:pt>
          <cx:pt idx="92">0.010431677</cx:pt>
          <cx:pt idx="93">0.054684823</cx:pt>
          <cx:pt idx="94">0.072659328999999995</cx:pt>
          <cx:pt idx="95">0.033207904000000003</cx:pt>
          <cx:pt idx="96">0.025181703</cx:pt>
          <cx:pt idx="97">0.026634112000000001</cx:pt>
          <cx:pt idx="98">0.016432993999999999</cx:pt>
          <cx:pt idx="99">0.062464520000000003</cx:pt>
          <cx:pt idx="100">0.032819656000000003</cx:pt>
          <cx:pt idx="101">0.011238048</cx:pt>
          <cx:pt idx="102">0.017726878000000001</cx:pt>
          <cx:pt idx="103">0.055172671999999999</cx:pt>
          <cx:pt idx="104">0.011613111000000001</cx:pt>
          <cx:pt idx="105">0.0071880169999999997</cx:pt>
          <cx:pt idx="106">0.01196266</cx:pt>
          <cx:pt idx="107">0.030427801000000001</cx:pt>
          <cx:pt idx="108">0.055956879000000001</cx:pt>
          <cx:pt idx="109">0.011885903</cx:pt>
          <cx:pt idx="110">0.052088366999999997</cx:pt>
          <cx:pt idx="111">0.052689141000000002</cx:pt>
          <cx:pt idx="112">0.0099595029999999998</cx:pt>
          <cx:pt idx="113">0.017284232</cx:pt>
          <cx:pt idx="114">0.013178988000000001</cx:pt>
          <cx:pt idx="115">0.021309847</cx:pt>
          <cx:pt idx="116">0.011743345000000001</cx:pt>
          <cx:pt idx="117">0.014652449999999999</cx:pt>
          <cx:pt idx="118">0.013369643</cx:pt>
          <cx:pt idx="119">0.039238919999999997</cx:pt>
          <cx:pt idx="120">0.017039499</cx:pt>
          <cx:pt idx="121">0.011221504</cx:pt>
          <cx:pt idx="122">0.0087385970000000007</cx:pt>
          <cx:pt idx="123">0.014243479</cx:pt>
          <cx:pt idx="124">0.074580817999999993</cx:pt>
          <cx:pt idx="125">0.017228820999999998</cx:pt>
          <cx:pt idx="126">0.029516358999999999</cx:pt>
          <cx:pt idx="127">0.0099595029999999998</cx:pt>
          <cx:pt idx="128">0.012858484999999999</cx:pt>
          <cx:pt idx="129">0.013106773</cx:pt>
          <cx:pt idx="130">0.021309847</cx:pt>
          <cx:pt idx="131">0.013106773</cx:pt>
          <cx:pt idx="132">0.022984522</cx:pt>
          <cx:pt idx="133">0.055736852000000003</cx:pt>
          <cx:pt idx="134">0.13611451999999999</cx:pt>
          <cx:pt idx="135">0.030102159999999999</cx:pt>
          <cx:pt idx="136">0.014102139</cx:pt>
          <cx:pt idx="137">0.073971444999999997</cx:pt>
          <cx:pt idx="138">0.014243479</cx:pt>
          <cx:pt idx="139">0.026095732999999999</cx:pt>
          <cx:pt idx="140">0.013204693</cx:pt>
          <cx:pt idx="141">0.017741442</cx:pt>
          <cx:pt idx="142">0.034429372</cx:pt>
          <cx:pt idx="143">0.016878069999999998</cx:pt>
          <cx:pt idx="144">0.052088366999999997</cx:pt>
          <cx:pt idx="145">0.056407943000000002</cx:pt>
          <cx:pt idx="146">0.024260251</cx:pt>
          <cx:pt idx="147">0.010132113999999999</cx:pt>
          <cx:pt idx="148">0.048311352000000002</cx:pt>
          <cx:pt idx="149">0.036374235999999997</cx:pt>
          <cx:pt idx="150">0.030671405999999998</cx:pt>
          <cx:pt idx="151">0.0089355130000000008</cx:pt>
          <cx:pt idx="152">0.030671405999999998</cx:pt>
          <cx:pt idx="153">0.034429372</cx:pt>
          <cx:pt idx="154">0.010139367</cx:pt>
          <cx:pt idx="155">0.0079622389999999994</cx:pt>
          <cx:pt idx="156">0.035891407</cx:pt>
          <cx:pt idx="157">0.055956879000000001</cx:pt>
          <cx:pt idx="158">0.016966261999999999</cx:pt>
          <cx:pt idx="159">0.013330302</cx:pt>
          <cx:pt idx="160">0.013116479</cx:pt>
          <cx:pt idx="161">0.0033248370000000002</cx:pt>
          <cx:pt idx="162">0.008975439</cx:pt>
          <cx:pt idx="163">0.015136281999999999</cx:pt>
          <cx:pt idx="164">0.14254103400000001</cx:pt>
          <cx:pt idx="165">0.012004958</cx:pt>
          <cx:pt idx="166">0.14609524700000001</cx:pt>
          <cx:pt idx="167">0.14679065199999999</cx:pt>
          <cx:pt idx="168">0.14609524700000001</cx:pt>
          <cx:pt idx="169">0.24115165099999999</cx:pt>
          <cx:pt idx="170">0.035957535999999998</cx:pt>
          <cx:pt idx="171">0.022357994999999999</cx:pt>
          <cx:pt idx="172">0.035037329999999998</cx:pt>
          <cx:pt idx="173">0.117538738</cx:pt>
          <cx:pt idx="174">0.019266017999999999</cx:pt>
          <cx:pt idx="175">0.117538738</cx:pt>
          <cx:pt idx="176">0.059609416999999998</cx:pt>
          <cx:pt idx="177">0.010156877999999999</cx:pt>
          <cx:pt idx="178">0.037107965999999999</cx:pt>
          <cx:pt idx="179">0.016088984000000001</cx:pt>
          <cx:pt idx="180">0.025148427000000001</cx:pt>
          <cx:pt idx="181">0.01588264</cx:pt>
          <cx:pt idx="182">0.016355528000000001</cx:pt>
          <cx:pt idx="183">0.044799642000000001</cx:pt>
          <cx:pt idx="184">0.023269209999999999</cx:pt>
          <cx:pt idx="185">0.023269209999999999</cx:pt>
          <cx:pt idx="186">0.044799642000000001</cx:pt>
          <cx:pt idx="187">0.0043910110000000002</cx:pt>
          <cx:pt idx="188">0.13234057299999999</cx:pt>
          <cx:pt idx="189">0.13234057299999999</cx:pt>
          <cx:pt idx="190">0.074781298999999996</cx:pt>
          <cx:pt idx="191">0.027482738999999999</cx:pt>
        </cx:lvl>
      </cx:numDim>
    </cx:data>
  </cx:chartData>
  <cx:chart>
    <cx:title pos="t" align="ctr" overlay="0">
      <cx:tx>
        <cx:txData>
          <cx:v>Rate of Speciation </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Rate of Speciation </a:t>
          </a:r>
        </a:p>
      </cx:txPr>
    </cx:title>
    <cx:plotArea>
      <cx:plotAreaRegion>
        <cx:series layoutId="clusteredColumn" uniqueId="{8B55CD72-D1DA-8744-8A69-37C4070D1DF2}" formatIdx="0">
          <cx:tx>
            <cx:txData>
              <cx:f>Sheet2!$R$1</cx:f>
              <cx:v>Rate of Diversification </cx:v>
            </cx:txData>
          </cx:tx>
          <cx:dataId val="0"/>
          <cx:layoutPr>
            <cx:aggregation/>
          </cx:layoutPr>
        </cx:series>
      </cx:plotAreaRegion>
      <cx:axis id="0">
        <cx:catScaling gapWidth="0"/>
        <cx:tickLabels/>
      </cx:axis>
      <cx:axis id="1">
        <cx:valScaling/>
        <cx:title>
          <cx:tx>
            <cx:rich>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panose="020F0502020204030204"/>
                  </a:rPr>
                  <a:t>Rate of </a:t>
                </a:r>
                <a:r>
                  <a:rPr lang="en-US" sz="900" b="0" i="0" u="none" strike="noStrike" baseline="0">
                    <a:solidFill>
                      <a:sysClr val="windowText" lastClr="000000">
                        <a:lumMod val="65000"/>
                        <a:lumOff val="35000"/>
                      </a:sysClr>
                    </a:solidFill>
                    <a:effectLst/>
                    <a:latin typeface="Calibri" panose="020F0502020204030204"/>
                    <a:cs typeface="Calibri" panose="020F0502020204030204" pitchFamily="34" charset="0"/>
                  </a:rPr>
                  <a:t>S</a:t>
                </a:r>
                <a:r>
                  <a:rPr lang="en-US" sz="900" b="0" i="0" u="none" strike="noStrike" baseline="0">
                    <a:solidFill>
                      <a:sysClr val="windowText" lastClr="000000">
                        <a:lumMod val="65000"/>
                        <a:lumOff val="35000"/>
                      </a:sysClr>
                    </a:solidFill>
                    <a:effectLst/>
                    <a:latin typeface="Calibri" panose="020F0502020204030204"/>
                    <a:ea typeface="Calibri" panose="020F0502020204030204" pitchFamily="34" charset="0"/>
                    <a:cs typeface="Calibri" panose="020F0502020204030204" pitchFamily="34" charset="0"/>
                  </a:rPr>
                  <a:t>peciation</a:t>
                </a:r>
                <a:endParaRPr lang="en-US" sz="900" b="0" i="0" u="none" strike="noStrike" baseline="0">
                  <a:solidFill>
                    <a:sysClr val="windowText" lastClr="000000">
                      <a:lumMod val="65000"/>
                      <a:lumOff val="35000"/>
                    </a:sysClr>
                  </a:solidFill>
                  <a:latin typeface="Calibri" panose="020F0502020204030204"/>
                </a:endParaRPr>
              </a:p>
            </cx:rich>
          </cx:tx>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8</Pages>
  <Words>1781</Words>
  <Characters>10158</Characters>
  <Application>Microsoft Office Word</Application>
  <DocSecurity>0</DocSecurity>
  <Lines>84</Lines>
  <Paragraphs>23</Paragraphs>
  <ScaleCrop>false</ScaleCrop>
  <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Stiltner</dc:creator>
  <cp:keywords/>
  <dc:description/>
  <cp:lastModifiedBy>Alexander Stiltner</cp:lastModifiedBy>
  <cp:revision>14</cp:revision>
  <dcterms:created xsi:type="dcterms:W3CDTF">2022-04-28T23:50:00Z</dcterms:created>
  <dcterms:modified xsi:type="dcterms:W3CDTF">2022-04-29T11:50:00Z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zotero-version="6.0.3"&gt;&lt;session id="FfQyBzcX"/&gt;&lt;style id="http://www.zotero.org/styles/apa" locale="en-US" hasBibliography="1" bibliographyStyleHasBeenSet="0"/&gt;&lt;prefs&gt;&lt;pref name="fieldType" value="Field"/&gt;&lt;/prefs&gt;&lt;/data&gt;</vt:lpwstr>
  </property>
</Properties>
</file>