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9AD9D" w14:textId="77777777" w:rsidR="001E6401" w:rsidRDefault="00000000">
      <w:pPr>
        <w:pStyle w:val="Title"/>
      </w:pPr>
      <w:r>
        <w:t>Meta-analysis suggests that the effects of demand characteristics can be consequential, unreliable, and difficult to explain</w:t>
      </w:r>
    </w:p>
    <w:p w14:paraId="5AD1FEA4" w14:textId="312E6F62" w:rsidR="00D9398A" w:rsidRPr="00D9398A" w:rsidRDefault="00D9398A" w:rsidP="00D9398A">
      <w:pPr>
        <w:spacing w:before="0"/>
        <w:jc w:val="center"/>
        <w:rPr>
          <w:rFonts w:eastAsia="Times New Roman" w:cs="Times New Roman"/>
        </w:rPr>
      </w:pPr>
      <w:r w:rsidRPr="00D9398A">
        <w:rPr>
          <w:rFonts w:eastAsia="Times New Roman" w:cs="Times New Roman"/>
          <w:color w:val="000000"/>
        </w:rPr>
        <w:t>Nicholas A. Cole</w:t>
      </w:r>
      <w:r>
        <w:rPr>
          <w:rFonts w:eastAsia="Times New Roman" w:cs="Times New Roman"/>
          <w:color w:val="000000"/>
        </w:rPr>
        <w:t>s</w:t>
      </w:r>
      <w:r w:rsidRPr="00D9398A">
        <w:rPr>
          <w:rFonts w:eastAsia="Times New Roman" w:cs="Times New Roman"/>
          <w:color w:val="000000"/>
          <w:vertAlign w:val="superscript"/>
        </w:rPr>
        <w:t>1</w:t>
      </w:r>
      <w:r>
        <w:rPr>
          <w:rFonts w:eastAsia="Times New Roman" w:cs="Times New Roman"/>
          <w:color w:val="000000"/>
          <w:vertAlign w:val="superscript"/>
        </w:rPr>
        <w:t>,2</w:t>
      </w:r>
      <w:r w:rsidRPr="00D9398A">
        <w:rPr>
          <w:rFonts w:eastAsia="Times New Roman" w:cs="Times New Roman"/>
          <w:color w:val="000000"/>
        </w:rPr>
        <w:t>, Morgan Wyatt</w:t>
      </w:r>
      <w:r>
        <w:rPr>
          <w:rFonts w:eastAsia="Times New Roman" w:cs="Times New Roman"/>
          <w:color w:val="000000"/>
          <w:vertAlign w:val="superscript"/>
        </w:rPr>
        <w:t>3</w:t>
      </w:r>
      <w:r w:rsidRPr="00D9398A">
        <w:rPr>
          <w:rFonts w:eastAsia="Times New Roman" w:cs="Times New Roman"/>
          <w:color w:val="000000"/>
        </w:rPr>
        <w:t>, &amp; Michael C. Fran</w:t>
      </w:r>
      <w:r>
        <w:rPr>
          <w:rFonts w:eastAsia="Times New Roman" w:cs="Times New Roman"/>
          <w:color w:val="000000"/>
        </w:rPr>
        <w:t>k</w:t>
      </w:r>
      <w:r>
        <w:rPr>
          <w:rFonts w:eastAsia="Times New Roman" w:cs="Times New Roman"/>
          <w:color w:val="000000"/>
          <w:vertAlign w:val="superscript"/>
        </w:rPr>
        <w:t>3</w:t>
      </w:r>
    </w:p>
    <w:p w14:paraId="4522B12B" w14:textId="33E08424" w:rsidR="00D9398A" w:rsidRDefault="00D9398A" w:rsidP="00D9398A">
      <w:pPr>
        <w:spacing w:before="0"/>
        <w:jc w:val="center"/>
        <w:rPr>
          <w:rFonts w:eastAsia="Times New Roman" w:cs="Times New Roman"/>
          <w:color w:val="000000"/>
        </w:rPr>
      </w:pPr>
      <w:r w:rsidRPr="00D9398A">
        <w:rPr>
          <w:rFonts w:eastAsia="Times New Roman" w:cs="Times New Roman"/>
          <w:color w:val="000000"/>
          <w:vertAlign w:val="superscript"/>
        </w:rPr>
        <w:t>1</w:t>
      </w:r>
      <w:r w:rsidRPr="00D9398A">
        <w:rPr>
          <w:rFonts w:eastAsia="Times New Roman" w:cs="Times New Roman"/>
          <w:color w:val="000000"/>
        </w:rPr>
        <w:t>Center for the Study of Language and Information, Stanford University</w:t>
      </w:r>
    </w:p>
    <w:p w14:paraId="37174080" w14:textId="20CD2D9D" w:rsidR="00D9398A" w:rsidRPr="00D9398A" w:rsidRDefault="00D9398A" w:rsidP="00D9398A">
      <w:pPr>
        <w:spacing w:before="0"/>
        <w:jc w:val="center"/>
        <w:rPr>
          <w:rFonts w:eastAsia="Times New Roman" w:cs="Times New Roman"/>
        </w:rPr>
      </w:pPr>
      <w:r>
        <w:rPr>
          <w:rFonts w:eastAsia="Times New Roman" w:cs="Times New Roman"/>
          <w:color w:val="000000"/>
          <w:vertAlign w:val="superscript"/>
        </w:rPr>
        <w:t>2</w:t>
      </w:r>
      <w:r>
        <w:rPr>
          <w:rFonts w:eastAsia="Times New Roman" w:cs="Times New Roman"/>
          <w:color w:val="000000"/>
        </w:rPr>
        <w:t>Department of Psychology</w:t>
      </w:r>
      <w:r w:rsidRPr="00D9398A">
        <w:rPr>
          <w:rFonts w:eastAsia="Times New Roman" w:cs="Times New Roman"/>
          <w:color w:val="000000"/>
        </w:rPr>
        <w:t>, University</w:t>
      </w:r>
      <w:r>
        <w:rPr>
          <w:rFonts w:eastAsia="Times New Roman" w:cs="Times New Roman"/>
          <w:color w:val="000000"/>
        </w:rPr>
        <w:t xml:space="preserve"> Florida</w:t>
      </w:r>
    </w:p>
    <w:p w14:paraId="5EF3A56C" w14:textId="14A221A2" w:rsidR="00D9398A" w:rsidRPr="00D9398A" w:rsidRDefault="00D9398A" w:rsidP="00D9398A">
      <w:pPr>
        <w:spacing w:before="0"/>
        <w:jc w:val="center"/>
        <w:rPr>
          <w:rFonts w:eastAsia="Times New Roman" w:cs="Times New Roman"/>
        </w:rPr>
      </w:pPr>
      <w:r>
        <w:rPr>
          <w:rFonts w:eastAsia="Times New Roman" w:cs="Times New Roman"/>
          <w:color w:val="000000"/>
          <w:vertAlign w:val="superscript"/>
        </w:rPr>
        <w:t>3</w:t>
      </w:r>
      <w:r w:rsidRPr="00D9398A">
        <w:rPr>
          <w:rFonts w:eastAsia="Times New Roman" w:cs="Times New Roman"/>
          <w:color w:val="000000"/>
        </w:rPr>
        <w:t>Department of Psychology, Stanford University</w:t>
      </w:r>
    </w:p>
    <w:tbl>
      <w:tblPr>
        <w:tblW w:w="0" w:type="auto"/>
        <w:tblCellMar>
          <w:top w:w="15" w:type="dxa"/>
          <w:left w:w="15" w:type="dxa"/>
          <w:bottom w:w="15" w:type="dxa"/>
          <w:right w:w="15" w:type="dxa"/>
        </w:tblCellMar>
        <w:tblLook w:val="04A0" w:firstRow="1" w:lastRow="0" w:firstColumn="1" w:lastColumn="0" w:noHBand="0" w:noVBand="1"/>
      </w:tblPr>
      <w:tblGrid>
        <w:gridCol w:w="9468"/>
      </w:tblGrid>
      <w:tr w:rsidR="00D9398A" w:rsidRPr="00D9398A" w14:paraId="6BDF98FB" w14:textId="77777777" w:rsidTr="00D9398A">
        <w:tc>
          <w:tcPr>
            <w:tcW w:w="9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5EE9B" w14:textId="77777777" w:rsidR="00D9398A" w:rsidRPr="00D9398A" w:rsidRDefault="00D9398A" w:rsidP="00D9398A">
            <w:pPr>
              <w:spacing w:before="180"/>
              <w:rPr>
                <w:rFonts w:eastAsia="Times New Roman" w:cs="Times New Roman"/>
              </w:rPr>
            </w:pPr>
            <w:r w:rsidRPr="00D9398A">
              <w:rPr>
                <w:rFonts w:eastAsia="Times New Roman" w:cs="Times New Roman"/>
                <w:b/>
                <w:bCs/>
                <w:color w:val="000000"/>
              </w:rPr>
              <w:t>Note:</w:t>
            </w:r>
            <w:r w:rsidRPr="00D9398A">
              <w:rPr>
                <w:rFonts w:eastAsia="Times New Roman" w:cs="Times New Roman"/>
                <w:color w:val="000000"/>
              </w:rPr>
              <w:t xml:space="preserve"> This is a pre-print that has not yet been peer reviewed. Please cite responsibly</w:t>
            </w:r>
          </w:p>
        </w:tc>
      </w:tr>
    </w:tbl>
    <w:p w14:paraId="7BFCCBDE" w14:textId="77777777" w:rsidR="00D9398A" w:rsidRPr="00D9398A" w:rsidRDefault="00D9398A" w:rsidP="00D9398A">
      <w:pPr>
        <w:spacing w:before="0" w:after="0" w:line="240" w:lineRule="auto"/>
        <w:rPr>
          <w:rFonts w:eastAsia="Times New Roman" w:cs="Times New Roman"/>
        </w:rPr>
      </w:pPr>
    </w:p>
    <w:p w14:paraId="021FC046" w14:textId="77777777" w:rsidR="00D9398A" w:rsidRPr="00D9398A" w:rsidRDefault="00D9398A" w:rsidP="00D9398A">
      <w:pPr>
        <w:pStyle w:val="BodyText"/>
      </w:pPr>
    </w:p>
    <w:p w14:paraId="09C368FA" w14:textId="77777777" w:rsidR="001E6401" w:rsidRDefault="00000000" w:rsidP="00015DCC">
      <w:pPr>
        <w:pStyle w:val="BodyText"/>
        <w:ind w:firstLine="0"/>
      </w:pPr>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5B5E6112" w14:textId="3765735E" w:rsidR="001E6401"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g</w:t>
      </w:r>
      <w:r>
        <w:t xml:space="preserve"> = 0.21, 95% CI [0.12, 0.31]). However, effects were extremely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currently difficult to explain. New participants who reviewed key study details were neither able to predict nor provide insights into psychological mechanisms theorized to underlie demand effects. Participants</w:t>
      </w:r>
      <w:r w:rsidR="0057450F">
        <w:t>’</w:t>
      </w:r>
      <w:r>
        <w: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unreliable, and difficult to explain.</w:t>
      </w:r>
    </w:p>
    <w:p w14:paraId="4EBECB7A" w14:textId="77777777" w:rsidR="001E6401" w:rsidRDefault="00000000">
      <w:pPr>
        <w:pStyle w:val="BodyText"/>
      </w:pPr>
      <w:r>
        <w:rPr>
          <w:i/>
          <w:iCs/>
        </w:rPr>
        <w:t>Keywords:</w:t>
      </w:r>
      <w:r>
        <w:t xml:space="preserve"> demand characteristics, expectancies, meta-analysis, methodology, confound</w:t>
      </w:r>
    </w:p>
    <w:p w14:paraId="0890DC4B" w14:textId="77777777" w:rsidR="001E6401" w:rsidRDefault="00000000">
      <w:pPr>
        <w:pStyle w:val="h1-pagebreak"/>
      </w:pPr>
      <w:r>
        <w:lastRenderedPageBreak/>
        <w:t>Meta-analysis suggests that the effects of demand characteristics can be consequential, unreliable, and difficult to explain</w:t>
      </w:r>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77777777" w:rsidR="001E6401"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t>
      </w:r>
    </w:p>
    <w:p w14:paraId="5B544C38" w14:textId="77777777" w:rsidR="001E6401"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4BFCF12F" w14:textId="77777777" w:rsidR="001E6401"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w:t>
      </w:r>
      <w:r>
        <w:lastRenderedPageBreak/>
        <w:t xml:space="preserve">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(Mummolo &amp; Peterson, 2019).</w:t>
      </w:r>
    </w:p>
    <w:p w14:paraId="41BD870B" w14:textId="77777777" w:rsidR="001E6401" w:rsidRDefault="00000000">
      <w:pPr>
        <w:pStyle w:val="BodyText"/>
      </w:pPr>
      <w:r>
        <w:t>In the present work, we advance an unexpected</w:t>
      </w:r>
      <w:r>
        <w:rPr>
          <w:rStyle w:val="FootnoteReference"/>
        </w:rPr>
        <w:footnoteReference w:id="1"/>
      </w:r>
      <w:r>
        <w:t xml:space="preserve"> thesis based on the above observations and our own follow-up meta-analytic work: demand characteristics are uncomfortably close to the mysterious methodological artifact described in the opening of the paper. Demand effects are a literal textbook methodological concern in experimental psychology (Sharpe &amp; Whelton, 2016). They can create false positives, false negatives, upward bias, and downward bias. Yet, over 50+ years after Orne influentially described them (1962), demand characteristics remain difficult to predict and explain. To begin, we review an influential theoretical framework that initially guided our investigation.</w:t>
      </w:r>
    </w:p>
    <w:p w14:paraId="1EF28B36" w14:textId="77777777" w:rsidR="001E6401" w:rsidRDefault="00000000">
      <w:pPr>
        <w:pStyle w:val="Heading2"/>
      </w:pPr>
      <w:bookmarkStart w:id="0" w:name="Xa0d64ece604650f58e403bddeb4af76aa562f5e"/>
      <w:r>
        <w:lastRenderedPageBreak/>
        <w:t>How do demand characteristics alter participant responses?</w:t>
      </w:r>
    </w:p>
    <w:p w14:paraId="59D364C4" w14:textId="77777777" w:rsidR="001E6401" w:rsidRDefault="00000000">
      <w:pPr>
        <w:pStyle w:val="FirstParagraph"/>
      </w:pPr>
      <w:r>
        <w:t>One of the most influential frameworks for conceptualizing demand effects was developed by Rosnow and colleagues (Rosnow &amp; Aiken, 1973; Rosnow &amp; Rosenthal, 1997; Strohmetz, 2008). In this framework, they described three key moderators we discuss in the present work: (1) receptivity to cues, (2) motivation to provide hypothesis-consistent responses, and (3) opportunity to alter responses.</w:t>
      </w:r>
    </w:p>
    <w:p w14:paraId="1DCD9E5A" w14:textId="77777777" w:rsidR="001E6401" w:rsidRDefault="00000000">
      <w:pPr>
        <w:pStyle w:val="BodyText"/>
      </w:pPr>
      <w:r>
        <w:t>To start, Rosnow and colleagues reasoned that participants must be receptive to demand characteristics for there to be subsequent shifts in participants’ responses (see also, Orne, 1958).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(Corneille &amp; Lush, 2023) – which we will consider another form of non-receptivity in the present work.</w:t>
      </w:r>
    </w:p>
    <w:p w14:paraId="7440B2CA" w14:textId="77777777" w:rsidR="001E6401" w:rsidRDefault="000000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w:t>
      </w:r>
      <w:r>
        <w:lastRenderedPageBreak/>
        <w:t>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7117F640" w14:textId="77777777"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3F4EF3A8" w14:textId="77777777" w:rsidR="001E6401" w:rsidRDefault="00000000">
      <w:pPr>
        <w:pStyle w:val="BodyText"/>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t>
      </w:r>
      <w:r>
        <w:lastRenderedPageBreak/>
        <w:t xml:space="preserve">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We focus our review on Rosnow and colleagues’ influential framework, but we revisit complementary ideas throughout.</w:t>
      </w:r>
    </w:p>
    <w:p w14:paraId="52E637FE" w14:textId="77777777" w:rsidR="001E6401" w:rsidRDefault="00000000">
      <w:pPr>
        <w:pStyle w:val="Heading1"/>
      </w:pPr>
      <w:bookmarkStart w:id="1" w:name="methodology"/>
      <w:bookmarkEnd w:id="0"/>
      <w:r>
        <w:t>Methodology</w:t>
      </w:r>
    </w:p>
    <w:p w14:paraId="64FEDB72" w14:textId="77777777" w:rsidR="001E6401" w:rsidRDefault="00000000">
      <w:pPr>
        <w:pStyle w:val="FirstParagraph"/>
      </w:pPr>
      <w:r>
        <w:t xml:space="preserve">The goal of the current paper is to quantitatively take stock of what experimental psychologists 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evaluate the magnitude, consistency, and potential moderators of demand effects.</w:t>
      </w:r>
    </w:p>
    <w:p w14:paraId="20358BE4" w14:textId="77777777" w:rsidR="001E6401" w:rsidRDefault="00000000">
      <w:pPr>
        <w:pStyle w:val="BodyText"/>
      </w:pPr>
      <w:r>
        <w:t>We defined the scope of the meta-analysis using the Population, Intervention, Comparison, Outcome framework (Schardt, Adams, Owens, Keitz, &amp; Fontelo, 2007).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41447DC0" w14:textId="77777777" w:rsidR="001E6401" w:rsidRDefault="00000000">
      <w:pPr>
        <w:pStyle w:val="BodyText"/>
      </w:pPr>
      <w:r>
        <w:t xml:space="preserve">The intervention-of-interest was explicit manipulations of the hypothesis communicated to participants – i.e., scenarios where a researcher tells participants about the effect of an </w:t>
      </w:r>
      <w:r>
        <w:lastRenderedPageBreak/>
        <w:t xml:space="preserve">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Furthermore, our own review of the literature revealed that researchers tend to study such effects by manipulating the study hypothesis </w:t>
      </w:r>
      <w:r>
        <w:rPr>
          <w:i/>
          <w:iCs/>
        </w:rPr>
        <w:t>explicitly</w:t>
      </w:r>
      <w:r>
        <w:t xml:space="preserve"> communicated to participants. For these reasons, the present review focuses on relatively explicit manipulations of the study hypothesis. (See </w:t>
      </w:r>
      <w:r>
        <w:rPr>
          <w:i/>
          <w:iCs/>
        </w:rPr>
        <w:t>Limitations</w:t>
      </w:r>
      <w:r>
        <w:t xml:space="preserve"> section for further reflection.)</w:t>
      </w:r>
    </w:p>
    <w:p w14:paraId="7B98F302" w14:textId="77777777" w:rsidR="001E6401"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2"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t xml:space="preserve">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w:t>
      </w:r>
      <w:r>
        <w:lastRenderedPageBreak/>
        <w:t>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1E7B8A9D" w:rsidR="00C0698C" w:rsidRDefault="00000000">
      <w:pPr>
        <w:pStyle w:val="BodyText"/>
      </w:pPr>
      <w:r>
        <w:t>Our search did not have language restrictions and went as far back as 1840, which yielded 1457 records, 168 of which were unpublished.</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3" w:name="fig:prisma"/>
      <w:bookmarkEnd w:id="3"/>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4" w:name="screening"/>
      <w:bookmarkEnd w:id="2"/>
      <w:r>
        <w:lastRenderedPageBreak/>
        <w:t>Screening.</w:t>
      </w:r>
    </w:p>
    <w:p w14:paraId="25850D9E" w14:textId="77777777" w:rsidR="001E6401" w:rsidRDefault="00000000">
      <w:pPr>
        <w:pStyle w:val="FirstParagraph"/>
      </w:pPr>
      <w:r>
        <w:t>Put simply, records must have met the following criteria in order to be eligible for inclusion in the meta-analysis:</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5" w:name="effect-size-index"/>
      <w:bookmarkEnd w:id="4"/>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77777777" w:rsidR="001E6401" w:rsidRDefault="00000000">
      <w:pPr>
        <w:pStyle w:val="BodyText"/>
      </w:pPr>
      <w:r>
        <w:t>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w:t>
      </w:r>
    </w:p>
    <w:p w14:paraId="28B54909" w14:textId="77777777" w:rsidR="001E6401" w:rsidRDefault="00000000">
      <w:pPr>
        <w:pStyle w:val="BodyText"/>
      </w:pPr>
      <w:r>
        <w:t xml:space="preserve">In some 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14:paraId="4DBF945E" w14:textId="77777777" w:rsidR="001E6401" w:rsidRDefault="00000000">
      <w:pPr>
        <w:pStyle w:val="BodyText"/>
      </w:pPr>
      <w:r>
        <w:lastRenderedPageBreak/>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49ABB988" w14:textId="77777777"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relevant information was not provided but the 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lastRenderedPageBreak/>
        <w:t>Nearly all studies (75%)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6" w:name="potential-study-feature-moderators"/>
      <w:bookmarkEnd w:id="5"/>
      <w:r>
        <w:t>Potential study feature moderators.</w:t>
      </w:r>
    </w:p>
    <w:p w14:paraId="14BB968D" w14:textId="77777777"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demand effects:</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w:t>
      </w:r>
      <w:r>
        <w:lastRenderedPageBreak/>
        <w:t>mood should be larger when the positive demand condition is compared to the negative 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7777777" w:rsidR="001E6401" w:rsidRDefault="00000000">
      <w:pPr>
        <w:numPr>
          <w:ilvl w:val="0"/>
          <w:numId w:val="25"/>
        </w:numPr>
      </w:pPr>
      <w:r>
        <w:rPr>
          <w:i/>
          <w:iCs/>
        </w:rPr>
        <w:t>Design of demand characteristics manipulation.</w:t>
      </w:r>
      <w:r>
        <w:t xml:space="preserve"> Whether demand characteristics were manipulation within- vs. between-subjects.</w:t>
      </w:r>
    </w:p>
    <w:p w14:paraId="63B3DB93" w14:textId="77777777" w:rsidR="001E6401" w:rsidRDefault="00000000">
      <w:pPr>
        <w:numPr>
          <w:ilvl w:val="0"/>
          <w:numId w:val="25"/>
        </w:numPr>
      </w:pPr>
      <w:r>
        <w:rPr>
          <w:i/>
          <w:iCs/>
        </w:rPr>
        <w:t>Participant pool.</w:t>
      </w:r>
      <w:r>
        <w:t xml:space="preserve"> Whether students, non-students (e.g., MTurk workers), or a mix of students and non-students were sampled.</w:t>
      </w: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pPr>
      <w:r>
        <w:rPr>
          <w:i/>
          <w:iCs/>
        </w:rPr>
        <w:t>Publication status.</w:t>
      </w:r>
      <w:r>
        <w:t xml:space="preserve"> Whether the study was published or unpublished.</w:t>
      </w:r>
    </w:p>
    <w:p w14:paraId="4DEA3393" w14:textId="7014AA2C" w:rsidR="001E6401" w:rsidRDefault="00000000">
      <w:pPr>
        <w:pStyle w:val="Heading3"/>
        <w:framePr w:wrap="around"/>
      </w:pPr>
      <w:bookmarkStart w:id="7" w:name="Xe0d312d46d170b17286487d2e4bf43d6a2a2281"/>
      <w:bookmarkEnd w:id="6"/>
      <w:r>
        <w:t>Can research participants help us understand demand effects?</w:t>
      </w:r>
    </w:p>
    <w:p w14:paraId="2CC97F2C" w14:textId="77777777" w:rsidR="001E6401" w:rsidRDefault="00000000">
      <w:pPr>
        <w:pStyle w:val="FirstParagraph"/>
      </w:pPr>
      <w:r>
        <w: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w:t>
      </w:r>
      <w:r>
        <w:lastRenderedPageBreak/>
        <w:t xml:space="preserve">demand characteristics (Bartels, 2019). Here, we attempt to extend this methodology not to raise concerns about participants’ potential responses to demand characteristics – but instead to evaluate whether they can explain </w:t>
      </w:r>
      <w:r>
        <w:rPr>
          <w:i/>
          <w:iCs/>
        </w:rPr>
        <w:t>when</w:t>
      </w:r>
      <w:r>
        <w:t xml:space="preserve"> and </w:t>
      </w:r>
      <w:r>
        <w:rPr>
          <w:i/>
          <w:iCs/>
        </w:rPr>
        <w:t>how</w:t>
      </w:r>
      <w:r>
        <w:t xml:space="preserve"> such effects operate.</w:t>
      </w:r>
    </w:p>
    <w:p w14:paraId="49207C9F" w14:textId="77777777" w:rsidR="001E6401" w:rsidRDefault="00000000">
      <w:pPr>
        <w:pStyle w:val="BodyText"/>
      </w:pPr>
      <w:r>
        <w: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t>
      </w:r>
    </w:p>
    <w:p w14:paraId="7E59BE18" w14:textId="77777777" w:rsidR="001E6401" w:rsidRDefault="00000000">
      <w:pPr>
        <w:pStyle w:val="Heading4"/>
        <w:framePr w:wrap="around"/>
      </w:pPr>
      <w:bookmarkStart w:id="8" w:name="vignette-rating-methodology"/>
      <w:r>
        <w:t>Vignette rating methodology.</w:t>
      </w:r>
    </w:p>
    <w:p w14:paraId="53DE92DB" w14:textId="77777777" w:rsidR="001E6401" w:rsidRDefault="00000000">
      <w:pPr>
        <w:pStyle w:val="FirstParagraph"/>
      </w:pPr>
      <w:r>
        <w:t>For each study included in the meta-analysis after our original literature search</w:t>
      </w:r>
      <w:r>
        <w:rPr>
          <w:rStyle w:val="FootnoteReference"/>
        </w:rPr>
        <w:footnoteReference w:id="4"/>
      </w:r>
      <w:r>
        <w: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t>
      </w:r>
    </w:p>
    <w:p w14:paraId="1CB4CA3B" w14:textId="77777777" w:rsidR="001E6401" w:rsidRDefault="00000000">
      <w:pPr>
        <w:pStyle w:val="CaptionedFigure"/>
        <w:framePr w:wrap="notBeside"/>
      </w:pPr>
      <w:r>
        <w:rPr>
          <w:noProof/>
        </w:rPr>
        <w:lastRenderedPageBreak/>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p>
    <w:p w14:paraId="5EBEF7C6" w14:textId="2E7EC41A" w:rsidR="00C0698C" w:rsidRDefault="00000000">
      <w:pPr>
        <w:pStyle w:val="ImageCaption"/>
      </w:pPr>
      <w:bookmarkStart w:id="9" w:name="fig:vig"/>
      <w:bookmarkEnd w:id="9"/>
      <w:r>
        <w:rPr>
          <w:i/>
          <w:iCs/>
        </w:rPr>
        <w:t>Figure</w:t>
      </w:r>
      <w:r>
        <w:t xml:space="preserve"> 2. Vignettes for Standing et al. (2008), which described the key details for each demand characteristic condition (bolded and underlined) and dependent variable (bolded and italicized) combination.</w:t>
      </w:r>
    </w:p>
    <w:p w14:paraId="5035DE4E" w14:textId="77777777" w:rsidR="00C0698C" w:rsidRDefault="00C0698C">
      <w:pPr>
        <w:spacing w:before="0" w:after="200" w:line="240" w:lineRule="auto"/>
      </w:pPr>
      <w:r>
        <w:br w:type="page"/>
      </w:r>
    </w:p>
    <w:p w14:paraId="5F344590" w14:textId="77777777" w:rsidR="001E6401" w:rsidRDefault="00000000">
      <w:pPr>
        <w:pStyle w:val="BodyText"/>
      </w:pPr>
      <w:r>
        <w:lastRenderedPageBreak/>
        <w:t>In total, there were 119 vignettes. We did not create vignettes for control conditions because participants were not given information about the experimenter’s hypothesis (i.e., there were no explicit demand characteristics to act upon).</w:t>
      </w:r>
    </w:p>
    <w:p w14:paraId="735D8EF5" w14:textId="77777777" w:rsidR="001E6401" w:rsidRDefault="00000000">
      <w:pPr>
        <w:pStyle w:val="BodyText"/>
      </w:pPr>
      <w:r>
        <w: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6742518D" w14:textId="77777777" w:rsidR="001E6401" w:rsidRDefault="00000000">
      <w:pPr>
        <w:pStyle w:val="BodyText"/>
      </w:pPr>
      <w:r>
        <w: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763F747F" w14:textId="77777777" w:rsidR="001E6401" w:rsidRDefault="00000000">
      <w:pPr>
        <w:pStyle w:val="BodyText"/>
      </w:pPr>
      <w:r>
        <w:lastRenderedPageBreak/>
        <w:t>Sample size was initially based on availability of resources.</w:t>
      </w:r>
      <w:r>
        <w:rPr>
          <w:rStyle w:val="FootnoteReference"/>
        </w:rPr>
        <w:footnoteReference w:id="5"/>
      </w:r>
      <w:r>
        <w: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7B652A03" w14:textId="77777777" w:rsidR="001E6401" w:rsidRDefault="00000000">
      <w:pPr>
        <w:pStyle w:val="BodyText"/>
      </w:pPr>
      <w:r>
        <w:t xml:space="preserve">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w:t>
      </w:r>
      <w:r>
        <w:lastRenderedPageBreak/>
        <w:t>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t>
      </w:r>
      <m:oMath>
        <m:r>
          <w:rPr>
            <w:rFonts w:ascii="Cambria Math" w:hAnsi="Cambria Math"/>
          </w:rPr>
          <m:t>SD</m:t>
        </m:r>
      </m:oMath>
      <w:r>
        <w:t xml:space="preserve"> = 13.82).</w:t>
      </w:r>
    </w:p>
    <w:p w14:paraId="7309BB49" w14:textId="77777777" w:rsidR="001E6401" w:rsidRDefault="00000000">
      <w:pPr>
        <w:pStyle w:val="Heading5"/>
        <w:framePr w:wrap="around"/>
      </w:pPr>
      <w:bookmarkStart w:id="10" w:name="X50ac5346a764638f68a9356056d1f2c3e87ad60"/>
      <w:r>
        <w:t>Accounting for different demand comparisons.</w:t>
      </w:r>
    </w:p>
    <w:p w14:paraId="5762C5A5" w14:textId="77777777" w:rsidR="001E6401"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14:paraId="03453AF7" w14:textId="77777777" w:rsidR="001E6401"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w:t>
      </w:r>
      <w:r>
        <w:lastRenderedPageBreak/>
        <w:t>mood report. Thus, even if motivation does moderate the effects of demand characteristics, we would not expect a systematic pattern to emerge with our coding scheme.</w:t>
      </w:r>
    </w:p>
    <w:p w14:paraId="11F3B80D" w14:textId="77777777" w:rsidR="001E6401" w:rsidRDefault="00000000">
      <w:pPr>
        <w:pStyle w:val="Heading3"/>
        <w:framePr w:wrap="around"/>
      </w:pPr>
      <w:bookmarkStart w:id="11" w:name="meta-analytic-approach"/>
      <w:bookmarkEnd w:id="7"/>
      <w:bookmarkEnd w:id="8"/>
      <w:bookmarkEnd w:id="10"/>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 often referred to as “random effects”).</w:t>
      </w:r>
    </w:p>
    <w:p w14:paraId="6C580687" w14:textId="77777777" w:rsidR="001E6401"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12" w:name="publication-bias-analyses"/>
      <w:r>
        <w:t>Publication bias analyses.</w:t>
      </w:r>
    </w:p>
    <w:p w14:paraId="68003AE6" w14:textId="77777777" w:rsidR="001E6401"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estimation of the overall effect of demand characteristics.</w:t>
      </w:r>
    </w:p>
    <w:p w14:paraId="6BE07BBE" w14:textId="77777777" w:rsidR="001E6401" w:rsidRDefault="00000000">
      <w:pPr>
        <w:pStyle w:val="BodyText"/>
      </w:pPr>
      <w:r>
        <w:lastRenderedPageBreak/>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1DF82156" w14:textId="77777777" w:rsidR="001E6401" w:rsidRDefault="00000000">
      <w:pPr>
        <w:pStyle w:val="BodyText"/>
      </w:pPr>
      <w:r>
        <w:t>Second, we conducted precision-effect tests (Stanley &amp; Doucouliagos, 2014). In precision-effect tests,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77777777" w:rsidR="001E6401" w:rsidRDefault="00000000">
      <w:pPr>
        <w:pStyle w:val="BodyText"/>
      </w:pPr>
      <w:r>
        <w:lastRenderedPageBreak/>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77777777" w:rsidR="001E6401"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13" w:name="transparency-and-openness"/>
      <w:bookmarkEnd w:id="11"/>
      <w:bookmarkEnd w:id="12"/>
      <w:r>
        <w:t>Transparency and openness.</w:t>
      </w:r>
    </w:p>
    <w:p w14:paraId="25DB664E" w14:textId="77777777" w:rsidR="001E6401" w:rsidRDefault="00000000">
      <w:pPr>
        <w:pStyle w:val="FirstParagraph"/>
      </w:pPr>
      <w:r>
        <w:t xml:space="preserve">The project pre-registration, materials, data, and code are openly available at </w:t>
      </w:r>
      <w:hyperlink r:id="rId9">
        <w:r w:rsidR="001E6401">
          <w:rPr>
            <w:rStyle w:val="Hyperlink"/>
          </w:rPr>
          <w:t>https://osf.io/3hkre/?view_only=2dc92af53f194e5eab0d7aecafaf01c2</w:t>
        </w:r>
      </w:hyperlink>
      <w:r>
        <w:t>.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 (c) whether new primary data collected for a Coles et al. (2024) record is described in the main text vs. summarized in the meta-analysis, (d) whether to code the quality of included records</w:t>
      </w:r>
      <w:r>
        <w:rPr>
          <w:rStyle w:val="FootnoteReference"/>
        </w:rPr>
        <w:footnoteReference w:id="7"/>
      </w:r>
      <w:r>
        <w:t xml:space="preserve">, (e) expansions to the literature search, (f) whether to use Cohen’s </w:t>
      </w:r>
      <w:r>
        <w:rPr>
          <w:i/>
          <w:iCs/>
        </w:rPr>
        <w:t>d</w:t>
      </w:r>
      <w:r>
        <w:t xml:space="preserve"> or Hedge’s </w:t>
      </w:r>
      <w:r>
        <w:rPr>
          <w:i/>
          <w:iCs/>
        </w:rPr>
        <w:lastRenderedPageBreak/>
        <w:t>g</w:t>
      </w:r>
      <w:r>
        <w:t xml:space="preserve"> as our effect size index, and (g) decisions regarding whether to use robust variance estimation, mixed-effects models, or both.</w:t>
      </w:r>
    </w:p>
    <w:p w14:paraId="6CF096AD" w14:textId="77777777" w:rsidR="001E6401" w:rsidRDefault="00000000">
      <w:pPr>
        <w:pStyle w:val="BodyText"/>
      </w:pPr>
      <w:r>
        <w:t>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t>
      </w:r>
    </w:p>
    <w:p w14:paraId="4C27FB64" w14:textId="77777777" w:rsidR="001E6401" w:rsidRDefault="00000000">
      <w:pPr>
        <w:pStyle w:val="BodyText"/>
      </w:pPr>
      <w:r>
        <w:t>All code has been checked for reproducibility, including the script used to generate a computationally reproducible manuscript using the papaja R package (Aust &amp; Barth, 2022).</w:t>
      </w:r>
    </w:p>
    <w:p w14:paraId="34E4186D" w14:textId="77777777" w:rsidR="001E6401" w:rsidRDefault="00000000">
      <w:pPr>
        <w:pStyle w:val="Heading2"/>
      </w:pPr>
      <w:bookmarkStart w:id="14" w:name="results"/>
      <w:bookmarkEnd w:id="13"/>
      <w:r>
        <w:t>Results</w:t>
      </w:r>
    </w:p>
    <w:p w14:paraId="2D89D30F" w14:textId="77777777"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w:t>
      </w:r>
    </w:p>
    <w:p w14:paraId="1B72A88A" w14:textId="77777777" w:rsidR="001E6401"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w:t>
      </w:r>
      <w:r>
        <w:lastRenderedPageBreak/>
        <w:t>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18B8718E" w14:textId="77777777" w:rsidR="001E6401" w:rsidRDefault="00000000">
      <w:pPr>
        <w:pStyle w:val="BodyText"/>
      </w:pPr>
      <w:r>
        <w:t>More broadly, effect sizes tended to compare one demand condition to a control group (</w:t>
      </w:r>
      <w:r>
        <w:rPr>
          <w:i/>
          <w:iCs/>
        </w:rPr>
        <w:t>k</w:t>
      </w:r>
      <w:r>
        <w:t xml:space="preserve"> = 174) – as opposed to a group exposed to a different type of explicit demand cues (</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77777777" w:rsidR="001E6401" w:rsidRDefault="00000000">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The majority of effect sizes came from in-person studies (</w:t>
      </w:r>
      <w:r>
        <w:rPr>
          <w:i/>
          <w:iCs/>
        </w:rPr>
        <w:t>k</w:t>
      </w:r>
      <w:r>
        <w:t xml:space="preserve"> = 187), but some were from online studies (</w:t>
      </w:r>
      <w:r>
        <w:rPr>
          <w:i/>
          <w:iCs/>
        </w:rPr>
        <w:t>k</w:t>
      </w:r>
      <w:r>
        <w:t xml:space="preserve"> = 52) or not described thoroughly enough to make a determination (</w:t>
      </w:r>
      <w:r>
        <w:rPr>
          <w:i/>
          <w:iCs/>
        </w:rPr>
        <w:t>k</w:t>
      </w:r>
      <w:r>
        <w:t xml:space="preserve"> = 13).</w:t>
      </w:r>
    </w:p>
    <w:p w14:paraId="65237CC4" w14:textId="77777777" w:rsidR="001E6401" w:rsidRDefault="00000000">
      <w:pPr>
        <w:pStyle w:val="Heading3"/>
        <w:framePr w:wrap="around"/>
      </w:pPr>
      <w:bookmarkStart w:id="15" w:name="overall-results"/>
      <w:r>
        <w:t>Overall results.</w:t>
      </w:r>
    </w:p>
    <w:p w14:paraId="1D766138" w14:textId="77777777" w:rsidR="001E6401"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77777777" w:rsidR="001E6401" w:rsidRDefault="00000000">
      <w:pPr>
        <w:pStyle w:val="ImageCaption"/>
      </w:pPr>
      <w:bookmarkStart w:id="16" w:name="fig:forest"/>
      <w:bookmarkEnd w:id="16"/>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77777777"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demand effects drastically exceeded what would be expected from sampling error alone (between-study </w:t>
      </w:r>
      <m:oMath>
        <m:r>
          <w:rPr>
            <w:rFonts w:ascii="Cambria Math" w:hAnsi="Cambria Math"/>
          </w:rPr>
          <m:t>τ</m:t>
        </m:r>
      </m:oMath>
      <w:r>
        <w:t xml:space="preserve"> = 0.28; within-study </w:t>
      </w:r>
      <m:oMath>
        <m:r>
          <w:rPr>
            <w:rFonts w:ascii="Cambria Math" w:hAnsi="Cambria Math"/>
          </w:rPr>
          <m:t>σ</m:t>
        </m:r>
      </m:oMath>
      <w:r>
        <w:t xml:space="preserve"> = 0.18; </w:t>
      </w:r>
      <m:oMath>
        <m:r>
          <w:rPr>
            <w:rFonts w:ascii="Cambria Math" w:hAnsi="Cambria Math"/>
          </w:rPr>
          <m:t>Q</m:t>
        </m:r>
      </m:oMath>
      <w:r>
        <w:t xml:space="preserve">(251) = 972.42, </w:t>
      </w:r>
      <m:oMath>
        <m:r>
          <w:rPr>
            <w:rFonts w:ascii="Cambria Math" w:hAnsi="Cambria Math"/>
          </w:rPr>
          <m:t>p</m:t>
        </m:r>
      </m:oMath>
      <w:r>
        <w:t xml:space="preserve"> &lt; .001).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ranges from </w:t>
      </w:r>
      <m:oMath>
        <m:r>
          <w:rPr>
            <w:rFonts w:ascii="Cambria Math" w:hAnsi="Cambria Math"/>
          </w:rPr>
          <m:t>g</m:t>
        </m:r>
      </m:oMath>
      <w:r>
        <w:t xml:space="preserve"> = -0.46 to </w:t>
      </w:r>
      <m:oMath>
        <m:r>
          <w:rPr>
            <w:rFonts w:ascii="Cambria Math" w:hAnsi="Cambria Math"/>
          </w:rPr>
          <m:t>g</m:t>
        </m:r>
      </m:oMath>
      <w:r>
        <w:t xml:space="preserve"> = -0.46.</w:t>
      </w:r>
    </w:p>
    <w:p w14:paraId="2EC66C6C" w14:textId="77777777"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(63%), but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17" w:name="moderator-analyses"/>
      <w:bookmarkEnd w:id="15"/>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18" w:name="study-features"/>
      <w:r>
        <w:t>Study features.</w:t>
      </w:r>
    </w:p>
    <w:p w14:paraId="5DF1FC53" w14:textId="77777777" w:rsidR="001E6401" w:rsidRDefault="00000000">
      <w:pPr>
        <w:pStyle w:val="FirstParagraph"/>
      </w:pPr>
      <w:r>
        <w:t>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14:paraId="2769E5CE" w14:textId="77777777" w:rsidR="001E6401" w:rsidRDefault="00000000">
      <w:pPr>
        <w:pStyle w:val="BodyText"/>
      </w:pPr>
      <w:r>
        <w:lastRenderedPageBreak/>
        <w:t>The average effect sizes was estimated to be twice as large when two demand characteristic conditions were compared (</w:t>
      </w:r>
      <m:oMath>
        <m:r>
          <w:rPr>
            <w:rFonts w:ascii="Cambria Math" w:hAnsi="Cambria Math"/>
          </w:rPr>
          <m:t>d</m:t>
        </m:r>
      </m:oMath>
      <w:r>
        <w:t xml:space="preserve"> = 0.34, 95% CI [0.19, 0.49], </w:t>
      </w:r>
      <m:oMath>
        <m:r>
          <w:rPr>
            <w:rFonts w:ascii="Cambria Math" w:hAnsi="Cambria Math"/>
          </w:rPr>
          <m:t>p</m:t>
        </m:r>
      </m:oMath>
      <w:r>
        <w:t xml:space="preserve"> &lt; .001), as opposed to one demand characteristic condition being compared to a control group (</w:t>
      </w:r>
      <m:oMath>
        <m:r>
          <w:rPr>
            <w:rFonts w:ascii="Cambria Math" w:hAnsi="Cambria Math"/>
          </w:rPr>
          <m:t>d</m:t>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demand characteristics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77777777" w:rsidR="001E6401" w:rsidRDefault="00000000">
      <w:pPr>
        <w:pStyle w:val="BodyText"/>
      </w:pPr>
      <w:r>
        <w:t xml:space="preserve">Instances where a demand characteristic condition was compared to a control group allowed us to test whether participants responses shift more when the researcher hypothesizes an increase (i.e., positive demand; </w:t>
      </w:r>
      <m:oMath>
        <m:r>
          <w:rPr>
            <w:rFonts w:ascii="Cambria Math" w:hAnsi="Cambria Math"/>
          </w:rPr>
          <m:t>d</m:t>
        </m:r>
      </m:oMath>
      <w:r>
        <w:t xml:space="preserve"> = 0.18, 95% CI [0.07, 0.29], </w:t>
      </w:r>
      <m:oMath>
        <m:r>
          <w:rPr>
            <w:rFonts w:ascii="Cambria Math" w:hAnsi="Cambria Math"/>
          </w:rPr>
          <m:t>p</m:t>
        </m:r>
      </m:oMath>
      <w:r>
        <w:t xml:space="preserve"> = .002), a decrease (i.e., negative demand; </w:t>
      </w:r>
      <m:oMath>
        <m:r>
          <w:rPr>
            <w:rFonts w:ascii="Cambria Math" w:hAnsi="Cambria Math"/>
          </w:rPr>
          <m:t>d</m:t>
        </m:r>
      </m:oMath>
      <w:r>
        <w:t xml:space="preserve"> = 0.20, 95% CI [0.07, 0.33], </w:t>
      </w:r>
      <m:oMath>
        <m:r>
          <w:rPr>
            <w:rFonts w:ascii="Cambria Math" w:hAnsi="Cambria Math"/>
          </w:rPr>
          <m:t>p</m:t>
        </m:r>
      </m:oMath>
      <w:r>
        <w:t xml:space="preserve"> = .005), or no change in the dependent variable (i.e., nil demand; </w:t>
      </w:r>
      <m:oMath>
        <m:r>
          <w:rPr>
            <w:rFonts w:ascii="Cambria Math" w:hAnsi="Cambria Math"/>
          </w:rPr>
          <m:t>d</m:t>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demand effects significantly varied depending on whether they were manipulated within- (</w:t>
      </w:r>
      <m:oMath>
        <m:r>
          <w:rPr>
            <w:rFonts w:ascii="Cambria Math" w:hAnsi="Cambria Math"/>
          </w:rPr>
          <m:t>d</m:t>
        </m:r>
      </m:oMath>
      <w:r>
        <w:t xml:space="preserve"> = 0.23, 95% CI [0.12, 0.35], </w:t>
      </w:r>
      <m:oMath>
        <m:r>
          <w:rPr>
            <w:rFonts w:ascii="Cambria Math" w:hAnsi="Cambria Math"/>
          </w:rPr>
          <m:t>p</m:t>
        </m:r>
      </m:oMath>
      <w:r>
        <w:t xml:space="preserve"> &lt; .001) vs. between-subjects (</w:t>
      </w:r>
      <m:oMath>
        <m:r>
          <w:rPr>
            <w:rFonts w:ascii="Cambria Math" w:hAnsi="Cambria Math"/>
          </w:rPr>
          <m:t>d</m:t>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77777777" w:rsidR="001E6401" w:rsidRDefault="00000000">
      <w:pPr>
        <w:pStyle w:val="BodyText"/>
      </w:pPr>
      <w:r>
        <w:t>Demand effects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significantly varied depending on whether students (</w:t>
      </w:r>
      <m:oMath>
        <m:r>
          <w:rPr>
            <w:rFonts w:ascii="Cambria Math" w:hAnsi="Cambria Math"/>
          </w:rPr>
          <m:t>d</m:t>
        </m:r>
      </m:oMath>
      <w:r>
        <w:t xml:space="preserve"> = 0.27, 95% CI [0.13, 0.40], </w:t>
      </w:r>
      <m:oMath>
        <m:r>
          <w:rPr>
            <w:rFonts w:ascii="Cambria Math" w:hAnsi="Cambria Math"/>
          </w:rPr>
          <m:t>p</m:t>
        </m:r>
      </m:oMath>
      <w:r>
        <w:t xml:space="preserve"> &lt; .001), non-students (</w:t>
      </w:r>
      <m:oMath>
        <m:r>
          <w:rPr>
            <w:rFonts w:ascii="Cambria Math" w:hAnsi="Cambria Math"/>
          </w:rPr>
          <m:t>d</m:t>
        </m:r>
      </m:oMath>
      <w:r>
        <w:t xml:space="preserve"> = 0.08, 95% CI [-0.01, 0.17], </w:t>
      </w:r>
      <m:oMath>
        <m:r>
          <w:rPr>
            <w:rFonts w:ascii="Cambria Math" w:hAnsi="Cambria Math"/>
          </w:rPr>
          <m:t>p</m:t>
        </m:r>
      </m:oMath>
      <w:r>
        <w:t xml:space="preserve"> = .076), or a mix of students and non-students (</w:t>
      </w:r>
      <m:oMath>
        <m:r>
          <w:rPr>
            <w:rFonts w:ascii="Cambria Math" w:hAnsi="Cambria Math"/>
          </w:rPr>
          <m:t>d</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2.11) = 2.20, </w:t>
      </w:r>
      <m:oMath>
        <m:r>
          <w:rPr>
            <w:rFonts w:ascii="Cambria Math" w:hAnsi="Cambria Math"/>
          </w:rPr>
          <m:t>p</m:t>
        </m:r>
      </m:oMath>
      <w:r>
        <w:t xml:space="preserve"> = .304. We also did not find that demand effects significantly varied depending on whether those participants were paid (</w:t>
      </w:r>
      <m:oMath>
        <m:r>
          <w:rPr>
            <w:rFonts w:ascii="Cambria Math" w:hAnsi="Cambria Math"/>
          </w:rPr>
          <m:t>d</m:t>
        </m:r>
      </m:oMath>
      <w:r>
        <w:t xml:space="preserve"> = 0.13, 95% CI [0.00, 0.26], </w:t>
      </w:r>
      <m:oMath>
        <m:r>
          <w:rPr>
            <w:rFonts w:ascii="Cambria Math" w:hAnsi="Cambria Math"/>
          </w:rPr>
          <m:t>p</m:t>
        </m:r>
      </m:oMath>
      <w:r>
        <w:t xml:space="preserve"> = .048) vs. unpaid (</w:t>
      </w:r>
      <m:oMath>
        <m:r>
          <w:rPr>
            <w:rFonts w:ascii="Cambria Math" w:hAnsi="Cambria Math"/>
          </w:rPr>
          <m:t>d</m:t>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lastRenderedPageBreak/>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lastRenderedPageBreak/>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BodyText"/>
      </w:pPr>
      <w:r>
        <w:t> </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19" w:name="residual-variability"/>
      <w:r>
        <w:lastRenderedPageBreak/>
        <w:t>Residual variability.</w:t>
      </w:r>
    </w:p>
    <w:p w14:paraId="2C66AFF3" w14:textId="77777777" w:rsidR="001E6401"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15.52% of in-sample variability in demand effects.</w:t>
      </w:r>
    </w:p>
    <w:p w14:paraId="7A78B9BE" w14:textId="30FB31E3" w:rsidR="001E6401" w:rsidRDefault="00000000">
      <w:pPr>
        <w:pStyle w:val="Heading4"/>
        <w:framePr w:wrap="around"/>
      </w:pPr>
      <w:bookmarkStart w:id="20" w:name="X644b31017b5320026d77df6b129e2f86e0cabcc"/>
      <w:bookmarkEnd w:id="18"/>
      <w:bookmarkEnd w:id="19"/>
      <w:r>
        <w:t>Can participants help us understand demand effects?</w:t>
      </w:r>
    </w:p>
    <w:p w14:paraId="047A9E45" w14:textId="77777777" w:rsidR="001E6401" w:rsidRDefault="00000000">
      <w:pPr>
        <w:pStyle w:val="FirstParagraph"/>
      </w:pPr>
      <w:r>
        <w:t>Participants correctly identified the described hypothesis 83% of the time Participants did not generally report having strong beliefs about whether such hypothesized effects would occur (</w:t>
      </w:r>
      <w:r>
        <w:rPr>
          <w:i/>
          <w:iCs/>
        </w:rPr>
        <w:t>M</w:t>
      </w:r>
      <w:r>
        <w:t xml:space="preserve"> = 0.50, </w:t>
      </w:r>
      <w:r>
        <w:rPr>
          <w:i/>
          <w:iCs/>
        </w:rPr>
        <w:t>SD</w:t>
      </w:r>
      <w:r>
        <w:t xml:space="preserve"> = 0.72). Participants reported that they would be highly capable of adjusting their responses (</w:t>
      </w:r>
      <w:r>
        <w:rPr>
          <w:i/>
          <w:iCs/>
        </w:rPr>
        <w:t>M</w:t>
      </w:r>
      <w:r>
        <w:t xml:space="preserve"> = 2.24, </w:t>
      </w:r>
      <w:r>
        <w:rPr>
          <w:i/>
          <w:iCs/>
        </w:rPr>
        <w:t>SD</w:t>
      </w:r>
      <w:r>
        <w:t xml:space="preserve"> = 0.44), but not very motivated to do so (</w:t>
      </w:r>
      <w:r>
        <w:rPr>
          <w:i/>
          <w:iCs/>
        </w:rPr>
        <w:t>M</w:t>
      </w:r>
      <w:r>
        <w:t xml:space="preserve"> = 0.33, </w:t>
      </w:r>
      <w:r>
        <w:rPr>
          <w:i/>
          <w:iCs/>
        </w:rPr>
        <w:t>SD</w:t>
      </w:r>
      <w:r>
        <w:t xml:space="preserve"> = 0.37). Participants also predicted that other subjects would be generally unlikely to adjust their responses to fit the experimenter’s hypothesis (</w:t>
      </w:r>
      <w:r>
        <w:rPr>
          <w:i/>
          <w:iCs/>
        </w:rPr>
        <w:t>M</w:t>
      </w:r>
      <w:r>
        <w:t xml:space="preserve"> = 0.74, </w:t>
      </w:r>
      <w:r>
        <w:rPr>
          <w:i/>
          <w:iCs/>
        </w:rPr>
        <w:t>SD</w:t>
      </w:r>
      <w:r>
        <w:t xml:space="preserve"> = 0.41).</w:t>
      </w:r>
    </w:p>
    <w:p w14:paraId="6F167449" w14:textId="77777777" w:rsidR="001E6401" w:rsidRDefault="00000000">
      <w:pPr>
        <w:pStyle w:val="BodyText"/>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t>
      </w:r>
      <w:r>
        <w:rPr>
          <w:i/>
          <w:iCs/>
        </w:rPr>
        <w:t>Limitations</w:t>
      </w:r>
      <w:r>
        <w:t>).</w:t>
      </w:r>
    </w:p>
    <w:p w14:paraId="4B780FB4" w14:textId="77777777" w:rsidR="001E6401" w:rsidRDefault="00000000">
      <w:pPr>
        <w:pStyle w:val="BodyText"/>
      </w:pPr>
      <w:r>
        <w:t xml:space="preserve">As shown in Table 2, we did not uncover a significant association between observed demand effects and (a) the extent to which participants correctly identified the hypothesis </w:t>
      </w:r>
      <w:r>
        <w:lastRenderedPageBreak/>
        <w:t>described in the vignettes, (</w:t>
      </w:r>
      <m:oMath>
        <m:r>
          <w:rPr>
            <w:rFonts w:ascii="Cambria Math" w:hAnsi="Cambria Math"/>
          </w:rPr>
          <m:t>β</m:t>
        </m:r>
      </m:oMath>
      <w:r>
        <w:t xml:space="preserve"> = 0.14, 95% CI [-0.02, 0.31], </w:t>
      </w:r>
      <m:oMath>
        <m:r>
          <w:rPr>
            <w:rFonts w:ascii="Cambria Math" w:hAnsi="Cambria Math"/>
          </w:rPr>
          <m:t>t</m:t>
        </m:r>
      </m:oMath>
      <w:r>
        <w:t xml:space="preserve">(8.23) = 1.99, </w:t>
      </w:r>
      <m:oMath>
        <m:r>
          <w:rPr>
            <w:rFonts w:ascii="Cambria Math" w:hAnsi="Cambria Math"/>
          </w:rPr>
          <m:t>p</m:t>
        </m:r>
      </m:oMath>
      <w:r>
        <w:t xml:space="preserve"> = .081), (b) ratings of motivation to adjust responses (</w:t>
      </w:r>
      <m:oMath>
        <m:r>
          <w:rPr>
            <w:rFonts w:ascii="Cambria Math" w:hAnsi="Cambria Math"/>
          </w:rPr>
          <m:t>β</m:t>
        </m:r>
      </m:oMath>
      <w:r>
        <w:t xml:space="preserve"> = 0.01, 95% CI [-0.21, 0.22], </w:t>
      </w:r>
      <m:oMath>
        <m:r>
          <w:rPr>
            <w:rFonts w:ascii="Cambria Math" w:hAnsi="Cambria Math"/>
          </w:rPr>
          <m:t>t</m:t>
        </m:r>
      </m:oMath>
      <w:r>
        <w:t xml:space="preserve">(11.18) = 0.09, </w:t>
      </w:r>
      <m:oMath>
        <m:r>
          <w:rPr>
            <w:rFonts w:ascii="Cambria Math" w:hAnsi="Cambria Math"/>
          </w:rPr>
          <m:t>p</m:t>
        </m:r>
      </m:oMath>
      <w:r>
        <w:t xml:space="preserve"> = .932), (c) ratings of opportunity to adjust responses (</w:t>
      </w:r>
      <m:oMath>
        <m:r>
          <w:rPr>
            <w:rFonts w:ascii="Cambria Math" w:hAnsi="Cambria Math"/>
          </w:rPr>
          <m:t>β</m:t>
        </m:r>
      </m:oMath>
      <w:r>
        <w:t xml:space="preserve"> = 0.04, 95% CI [-0.02, 0.10], </w:t>
      </w:r>
      <m:oMath>
        <m:r>
          <w:rPr>
            <w:rFonts w:ascii="Cambria Math" w:hAnsi="Cambria Math"/>
          </w:rPr>
          <m:t>t</m:t>
        </m:r>
      </m:oMath>
      <w:r>
        <w:t xml:space="preserve">(8.66) = 1.56, </w:t>
      </w:r>
      <m:oMath>
        <m:r>
          <w:rPr>
            <w:rFonts w:ascii="Cambria Math" w:hAnsi="Cambria Math"/>
          </w:rPr>
          <m:t>p</m:t>
        </m:r>
      </m:oMath>
      <w:r>
        <w:t xml:space="preserve"> = .155), and (d) rated belief in the hypothesized effect (</w:t>
      </w:r>
      <m:oMath>
        <m:r>
          <w:rPr>
            <w:rFonts w:ascii="Cambria Math" w:hAnsi="Cambria Math"/>
          </w:rPr>
          <m:t>β</m:t>
        </m:r>
      </m:oMath>
      <w:r>
        <w:t xml:space="preserve"> = 0.06, 95% CI [-0.05, 0.18], </w:t>
      </w:r>
      <m:oMath>
        <m:r>
          <w:rPr>
            <w:rFonts w:ascii="Cambria Math" w:hAnsi="Cambria Math"/>
          </w:rPr>
          <m:t>t</m:t>
        </m:r>
      </m:oMath>
      <w:r>
        <w:t xml:space="preserve">(11.11) = 1.21, </w:t>
      </w:r>
      <m:oMath>
        <m:r>
          <w:rPr>
            <w:rFonts w:ascii="Cambria Math" w:hAnsi="Cambria Math"/>
          </w:rPr>
          <m:t>p</m:t>
        </m:r>
      </m:oMath>
      <w:r>
        <w:t xml:space="preserve"> = .252). Of course, Rosnow and colleagues posited that receptivity, motivation, and opportunity </w:t>
      </w:r>
      <w:r>
        <w:rPr>
          <w:i/>
          <w:iCs/>
        </w:rPr>
        <w:t>interact</w:t>
      </w:r>
      <w:r>
        <w:t xml:space="preserve"> to shape demand effects. However, when we explored this question, we did not find robust evidence that including all possible higher order interactions significantly improved model fit, </w:t>
      </w:r>
      <w:r>
        <w:rPr>
          <w:i/>
          <w:iCs/>
        </w:rPr>
        <w:t>F</w:t>
      </w:r>
      <w:r>
        <w:t xml:space="preserve">(7, 2.43) = 1.36, </w:t>
      </w:r>
      <w:r>
        <w:rPr>
          <w:i/>
          <w:iCs/>
        </w:rPr>
        <w:t>p</w:t>
      </w:r>
      <w:r>
        <w:t xml:space="preserve"> = .463.</w:t>
      </w:r>
    </w:p>
    <w:p w14:paraId="57FF378B" w14:textId="77777777" w:rsidR="001E6401" w:rsidRDefault="00000000">
      <w:pPr>
        <w:pStyle w:val="BodyText"/>
      </w:pPr>
      <w:r>
        <w:t xml:space="preserve">Even after averaging across a large number of noisy forecasts (ICC = 0.22, </w:t>
      </w:r>
      <w:r>
        <w:rPr>
          <w:i/>
          <w:iCs/>
        </w:rPr>
        <w:t>M</w:t>
      </w:r>
      <w:r>
        <w:t xml:space="preserve"> = 0.74, </w:t>
      </w:r>
      <w:r>
        <w:rPr>
          <w:i/>
          <w:iCs/>
        </w:rPr>
        <w:t>SD</w:t>
      </w:r>
      <w:r>
        <w:t xml:space="preserve"> = 0.41), we also failed to find that participants were able to predict the magnitude of demand effects, </w:t>
      </w:r>
      <m:oMath>
        <m:r>
          <w:rPr>
            <w:rFonts w:ascii="Cambria Math" w:hAnsi="Cambria Math"/>
          </w:rPr>
          <m:t>β</m:t>
        </m:r>
      </m:oMath>
      <w:r>
        <w:t xml:space="preserve"> = 0.07, 95% CI [-0.06, 0.21], </w:t>
      </w:r>
      <m:oMath>
        <m:r>
          <w:rPr>
            <w:rFonts w:ascii="Cambria Math" w:hAnsi="Cambria Math"/>
          </w:rPr>
          <m:t>t</m:t>
        </m:r>
      </m:oMath>
      <w:r>
        <w:t xml:space="preserve">(12.66) = 1.14, </w:t>
      </w:r>
      <m:oMath>
        <m:r>
          <w:rPr>
            <w:rFonts w:ascii="Cambria Math" w:hAnsi="Cambria Math"/>
          </w:rPr>
          <m:t>p</m:t>
        </m:r>
      </m:oMath>
      <w:r>
        <w:t xml:space="preserve"> = .274.</w:t>
      </w:r>
    </w:p>
    <w:p w14:paraId="7502B073" w14:textId="0D8B2731" w:rsidR="001E6401" w:rsidRPr="00BA47C3" w:rsidRDefault="00000000">
      <w:pPr>
        <w:pStyle w:val="TableCaption"/>
      </w:pPr>
      <w:bookmarkStart w:id="21" w:name="tab:unnamed-chunk-1"/>
      <w:bookmarkEnd w:id="21"/>
      <w:r w:rsidRPr="00BA47C3">
        <w:t xml:space="preserve">Table </w:t>
      </w:r>
      <w:r w:rsidR="00BA47C3" w:rsidRPr="00BA47C3">
        <w:t xml:space="preserve">2. </w:t>
      </w:r>
      <w:r w:rsidRPr="00BA47C3">
        <w:t>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1E6401" w14:paraId="04EE20BE" w14:textId="77777777" w:rsidTr="00BA47C3">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03382DA2" w14:textId="19095CF7" w:rsidR="001E6401" w:rsidRDefault="00000000">
            <w:pPr>
              <w:pStyle w:val="Compact"/>
            </w:pPr>
            <w:r>
              <w:t>Moderator</w:t>
            </w:r>
          </w:p>
        </w:tc>
        <w:tc>
          <w:tcPr>
            <w:tcW w:w="0" w:type="auto"/>
          </w:tcPr>
          <w:p w14:paraId="1D3B4B16" w14:textId="77777777" w:rsidR="001E6401" w:rsidRPr="00BA47C3" w:rsidRDefault="00000000">
            <w:pPr>
              <w:pStyle w:val="Compact"/>
              <w:rPr>
                <w:i/>
                <w:iCs/>
              </w:rPr>
            </w:pPr>
            <w:r w:rsidRPr="00BA47C3">
              <w:rPr>
                <w:i/>
                <w:iCs/>
              </w:rPr>
              <w:t>s</w:t>
            </w:r>
          </w:p>
        </w:tc>
        <w:tc>
          <w:tcPr>
            <w:tcW w:w="0" w:type="auto"/>
          </w:tcPr>
          <w:p w14:paraId="06BC5D6B" w14:textId="77777777" w:rsidR="001E6401" w:rsidRPr="00BA47C3" w:rsidRDefault="00000000">
            <w:pPr>
              <w:pStyle w:val="Compact"/>
              <w:rPr>
                <w:i/>
                <w:iCs/>
              </w:rPr>
            </w:pPr>
            <w:r w:rsidRPr="00BA47C3">
              <w:rPr>
                <w:i/>
                <w:iCs/>
              </w:rPr>
              <w:t>k</w:t>
            </w:r>
          </w:p>
        </w:tc>
        <w:tc>
          <w:tcPr>
            <w:tcW w:w="0" w:type="auto"/>
          </w:tcPr>
          <w:p w14:paraId="035894DC" w14:textId="3524A0A0" w:rsidR="001E6401" w:rsidRPr="00BA47C3" w:rsidRDefault="00BA47C3">
            <w:pPr>
              <w:pStyle w:val="Compact"/>
              <w:rPr>
                <w:i/>
                <w:iCs/>
              </w:rPr>
            </w:pPr>
            <w:r w:rsidRPr="00BA47C3">
              <w:rPr>
                <w:i/>
                <w:iCs/>
              </w:rPr>
              <w:t>β</w:t>
            </w:r>
          </w:p>
        </w:tc>
        <w:tc>
          <w:tcPr>
            <w:tcW w:w="0" w:type="auto"/>
          </w:tcPr>
          <w:p w14:paraId="78537E3B" w14:textId="77777777" w:rsidR="001E6401" w:rsidRDefault="00000000">
            <w:pPr>
              <w:pStyle w:val="Compact"/>
            </w:pPr>
            <w:r>
              <w:t>95% CI</w:t>
            </w:r>
          </w:p>
        </w:tc>
        <w:tc>
          <w:tcPr>
            <w:tcW w:w="0" w:type="auto"/>
          </w:tcPr>
          <w:p w14:paraId="361E941F" w14:textId="77777777" w:rsidR="001E6401" w:rsidRPr="00BA47C3" w:rsidRDefault="00000000">
            <w:pPr>
              <w:pStyle w:val="Compact"/>
              <w:rPr>
                <w:i/>
                <w:iCs/>
              </w:rPr>
            </w:pPr>
            <w:r w:rsidRPr="00BA47C3">
              <w:rPr>
                <w:i/>
                <w:iCs/>
              </w:rPr>
              <w:t>F</w:t>
            </w:r>
          </w:p>
        </w:tc>
        <w:tc>
          <w:tcPr>
            <w:tcW w:w="0" w:type="auto"/>
          </w:tcPr>
          <w:p w14:paraId="4E25384F" w14:textId="77777777" w:rsidR="001E6401" w:rsidRPr="00BA47C3" w:rsidRDefault="00000000">
            <w:pPr>
              <w:pStyle w:val="Compact"/>
              <w:rPr>
                <w:i/>
                <w:iCs/>
              </w:rPr>
            </w:pPr>
            <w:r w:rsidRPr="00BA47C3">
              <w:rPr>
                <w:i/>
                <w:iCs/>
              </w:rPr>
              <w:t>p</w:t>
            </w:r>
          </w:p>
        </w:tc>
      </w:tr>
      <w:tr w:rsidR="001E6401" w14:paraId="4A2283E9" w14:textId="77777777" w:rsidTr="00BA47C3">
        <w:trPr>
          <w:jc w:val="left"/>
        </w:trPr>
        <w:tc>
          <w:tcPr>
            <w:tcW w:w="0" w:type="auto"/>
          </w:tcPr>
          <w:p w14:paraId="3E6ADE08" w14:textId="77777777" w:rsidR="001E6401" w:rsidRDefault="00000000">
            <w:pPr>
              <w:pStyle w:val="Compact"/>
            </w:pPr>
            <w:r>
              <w:t>predicted demand effects</w:t>
            </w:r>
          </w:p>
        </w:tc>
        <w:tc>
          <w:tcPr>
            <w:tcW w:w="0" w:type="auto"/>
          </w:tcPr>
          <w:p w14:paraId="24D4BDE9" w14:textId="77777777" w:rsidR="001E6401" w:rsidRDefault="00000000">
            <w:pPr>
              <w:pStyle w:val="Compact"/>
            </w:pPr>
            <w:r>
              <w:t>36</w:t>
            </w:r>
          </w:p>
        </w:tc>
        <w:tc>
          <w:tcPr>
            <w:tcW w:w="0" w:type="auto"/>
          </w:tcPr>
          <w:p w14:paraId="108667CB" w14:textId="77777777" w:rsidR="001E6401" w:rsidRDefault="00000000">
            <w:pPr>
              <w:pStyle w:val="Compact"/>
            </w:pPr>
            <w:r>
              <w:t>151</w:t>
            </w:r>
          </w:p>
        </w:tc>
        <w:tc>
          <w:tcPr>
            <w:tcW w:w="0" w:type="auto"/>
          </w:tcPr>
          <w:p w14:paraId="0F48898D" w14:textId="77777777" w:rsidR="001E6401" w:rsidRDefault="00000000">
            <w:pPr>
              <w:pStyle w:val="Compact"/>
            </w:pPr>
            <w:r>
              <w:t>0.07</w:t>
            </w:r>
          </w:p>
        </w:tc>
        <w:tc>
          <w:tcPr>
            <w:tcW w:w="0" w:type="auto"/>
          </w:tcPr>
          <w:p w14:paraId="6CD19F8A" w14:textId="77777777" w:rsidR="001E6401" w:rsidRDefault="00000000">
            <w:pPr>
              <w:pStyle w:val="Compact"/>
            </w:pPr>
            <w:r>
              <w:t>[-0.06, 0.21]</w:t>
            </w:r>
          </w:p>
        </w:tc>
        <w:tc>
          <w:tcPr>
            <w:tcW w:w="0" w:type="auto"/>
          </w:tcPr>
          <w:p w14:paraId="40E26F9D" w14:textId="77777777" w:rsidR="001E6401" w:rsidRDefault="00000000">
            <w:pPr>
              <w:pStyle w:val="Compact"/>
            </w:pPr>
            <w:r>
              <w:t>1.31</w:t>
            </w:r>
          </w:p>
        </w:tc>
        <w:tc>
          <w:tcPr>
            <w:tcW w:w="0" w:type="auto"/>
          </w:tcPr>
          <w:p w14:paraId="49E0A4E3" w14:textId="77777777" w:rsidR="001E6401" w:rsidRDefault="00000000">
            <w:pPr>
              <w:pStyle w:val="Compact"/>
            </w:pPr>
            <w:r>
              <w:t>.274</w:t>
            </w:r>
          </w:p>
        </w:tc>
      </w:tr>
      <w:tr w:rsidR="001E6401" w14:paraId="1F0F9838" w14:textId="77777777" w:rsidTr="00BA47C3">
        <w:trPr>
          <w:jc w:val="left"/>
        </w:trPr>
        <w:tc>
          <w:tcPr>
            <w:tcW w:w="0" w:type="auto"/>
          </w:tcPr>
          <w:p w14:paraId="292B6D9E" w14:textId="77777777" w:rsidR="001E6401" w:rsidRDefault="00000000">
            <w:pPr>
              <w:pStyle w:val="Compact"/>
            </w:pPr>
            <w:r>
              <w:t>understanding of study hypothesis</w:t>
            </w:r>
          </w:p>
        </w:tc>
        <w:tc>
          <w:tcPr>
            <w:tcW w:w="0" w:type="auto"/>
          </w:tcPr>
          <w:p w14:paraId="0219166D" w14:textId="77777777" w:rsidR="001E6401" w:rsidRDefault="00000000">
            <w:pPr>
              <w:pStyle w:val="Compact"/>
            </w:pPr>
            <w:r>
              <w:t>36</w:t>
            </w:r>
          </w:p>
        </w:tc>
        <w:tc>
          <w:tcPr>
            <w:tcW w:w="0" w:type="auto"/>
          </w:tcPr>
          <w:p w14:paraId="177E06C7" w14:textId="77777777" w:rsidR="001E6401" w:rsidRDefault="00000000">
            <w:pPr>
              <w:pStyle w:val="Compact"/>
            </w:pPr>
            <w:r>
              <w:t>151</w:t>
            </w:r>
          </w:p>
        </w:tc>
        <w:tc>
          <w:tcPr>
            <w:tcW w:w="0" w:type="auto"/>
          </w:tcPr>
          <w:p w14:paraId="58D6B618" w14:textId="77777777" w:rsidR="001E6401" w:rsidRDefault="00000000">
            <w:pPr>
              <w:pStyle w:val="Compact"/>
            </w:pPr>
            <w:r>
              <w:t>0.14</w:t>
            </w:r>
          </w:p>
        </w:tc>
        <w:tc>
          <w:tcPr>
            <w:tcW w:w="0" w:type="auto"/>
          </w:tcPr>
          <w:p w14:paraId="4014913C" w14:textId="77777777" w:rsidR="001E6401" w:rsidRDefault="00000000">
            <w:pPr>
              <w:pStyle w:val="Compact"/>
            </w:pPr>
            <w:r>
              <w:t>[-0.02, 0.31]</w:t>
            </w:r>
          </w:p>
        </w:tc>
        <w:tc>
          <w:tcPr>
            <w:tcW w:w="0" w:type="auto"/>
          </w:tcPr>
          <w:p w14:paraId="70146E74" w14:textId="77777777" w:rsidR="001E6401" w:rsidRDefault="00000000">
            <w:pPr>
              <w:pStyle w:val="Compact"/>
            </w:pPr>
            <w:r>
              <w:t>3.96</w:t>
            </w:r>
          </w:p>
        </w:tc>
        <w:tc>
          <w:tcPr>
            <w:tcW w:w="0" w:type="auto"/>
          </w:tcPr>
          <w:p w14:paraId="5ADE592A" w14:textId="77777777" w:rsidR="001E6401" w:rsidRDefault="00000000">
            <w:pPr>
              <w:pStyle w:val="Compact"/>
            </w:pPr>
            <w:r>
              <w:t>.081</w:t>
            </w:r>
          </w:p>
        </w:tc>
      </w:tr>
      <w:tr w:rsidR="001E6401" w14:paraId="415D97E1" w14:textId="77777777" w:rsidTr="00BA47C3">
        <w:trPr>
          <w:jc w:val="left"/>
        </w:trPr>
        <w:tc>
          <w:tcPr>
            <w:tcW w:w="0" w:type="auto"/>
          </w:tcPr>
          <w:p w14:paraId="344F6EC4" w14:textId="77777777" w:rsidR="001E6401" w:rsidRDefault="00000000">
            <w:pPr>
              <w:pStyle w:val="Compact"/>
            </w:pPr>
            <w:r>
              <w:t>motivation to adjust responses</w:t>
            </w:r>
          </w:p>
        </w:tc>
        <w:tc>
          <w:tcPr>
            <w:tcW w:w="0" w:type="auto"/>
          </w:tcPr>
          <w:p w14:paraId="6659278C" w14:textId="77777777" w:rsidR="001E6401" w:rsidRDefault="00000000">
            <w:pPr>
              <w:pStyle w:val="Compact"/>
            </w:pPr>
            <w:r>
              <w:t>36</w:t>
            </w:r>
          </w:p>
        </w:tc>
        <w:tc>
          <w:tcPr>
            <w:tcW w:w="0" w:type="auto"/>
          </w:tcPr>
          <w:p w14:paraId="054F179B" w14:textId="77777777" w:rsidR="001E6401" w:rsidRDefault="00000000">
            <w:pPr>
              <w:pStyle w:val="Compact"/>
            </w:pPr>
            <w:r>
              <w:t>151</w:t>
            </w:r>
          </w:p>
        </w:tc>
        <w:tc>
          <w:tcPr>
            <w:tcW w:w="0" w:type="auto"/>
          </w:tcPr>
          <w:p w14:paraId="46493E72" w14:textId="77777777" w:rsidR="001E6401" w:rsidRDefault="00000000">
            <w:pPr>
              <w:pStyle w:val="Compact"/>
            </w:pPr>
            <w:r>
              <w:t>0.01</w:t>
            </w:r>
          </w:p>
        </w:tc>
        <w:tc>
          <w:tcPr>
            <w:tcW w:w="0" w:type="auto"/>
          </w:tcPr>
          <w:p w14:paraId="02ED6A8B" w14:textId="77777777" w:rsidR="001E6401" w:rsidRDefault="00000000">
            <w:pPr>
              <w:pStyle w:val="Compact"/>
            </w:pPr>
            <w:r>
              <w:t>[-0.21, 0.22]</w:t>
            </w:r>
          </w:p>
        </w:tc>
        <w:tc>
          <w:tcPr>
            <w:tcW w:w="0" w:type="auto"/>
          </w:tcPr>
          <w:p w14:paraId="691D02C7" w14:textId="77777777" w:rsidR="001E6401" w:rsidRDefault="00000000">
            <w:pPr>
              <w:pStyle w:val="Compact"/>
            </w:pPr>
            <w:r>
              <w:t>0.01</w:t>
            </w:r>
          </w:p>
        </w:tc>
        <w:tc>
          <w:tcPr>
            <w:tcW w:w="0" w:type="auto"/>
          </w:tcPr>
          <w:p w14:paraId="1900738D" w14:textId="77777777" w:rsidR="001E6401" w:rsidRDefault="00000000">
            <w:pPr>
              <w:pStyle w:val="Compact"/>
            </w:pPr>
            <w:r>
              <w:t>.932</w:t>
            </w:r>
          </w:p>
        </w:tc>
      </w:tr>
      <w:tr w:rsidR="001E6401" w14:paraId="7FA5A78C" w14:textId="77777777" w:rsidTr="00BA47C3">
        <w:trPr>
          <w:jc w:val="left"/>
        </w:trPr>
        <w:tc>
          <w:tcPr>
            <w:tcW w:w="0" w:type="auto"/>
          </w:tcPr>
          <w:p w14:paraId="3E985A4C" w14:textId="77777777" w:rsidR="001E6401" w:rsidRDefault="00000000">
            <w:pPr>
              <w:pStyle w:val="Compact"/>
            </w:pPr>
            <w:r>
              <w:t>opportunity to adjust responses</w:t>
            </w:r>
          </w:p>
        </w:tc>
        <w:tc>
          <w:tcPr>
            <w:tcW w:w="0" w:type="auto"/>
          </w:tcPr>
          <w:p w14:paraId="75CCDAFD" w14:textId="77777777" w:rsidR="001E6401" w:rsidRDefault="00000000">
            <w:pPr>
              <w:pStyle w:val="Compact"/>
            </w:pPr>
            <w:r>
              <w:t>36</w:t>
            </w:r>
          </w:p>
        </w:tc>
        <w:tc>
          <w:tcPr>
            <w:tcW w:w="0" w:type="auto"/>
          </w:tcPr>
          <w:p w14:paraId="4EFA23C1" w14:textId="77777777" w:rsidR="001E6401" w:rsidRDefault="00000000">
            <w:pPr>
              <w:pStyle w:val="Compact"/>
            </w:pPr>
            <w:r>
              <w:t>151</w:t>
            </w:r>
          </w:p>
        </w:tc>
        <w:tc>
          <w:tcPr>
            <w:tcW w:w="0" w:type="auto"/>
          </w:tcPr>
          <w:p w14:paraId="6D3A8917" w14:textId="77777777" w:rsidR="001E6401" w:rsidRDefault="00000000">
            <w:pPr>
              <w:pStyle w:val="Compact"/>
            </w:pPr>
            <w:r>
              <w:t>0.04</w:t>
            </w:r>
          </w:p>
        </w:tc>
        <w:tc>
          <w:tcPr>
            <w:tcW w:w="0" w:type="auto"/>
          </w:tcPr>
          <w:p w14:paraId="79AA195C" w14:textId="77777777" w:rsidR="001E6401" w:rsidRDefault="00000000">
            <w:pPr>
              <w:pStyle w:val="Compact"/>
            </w:pPr>
            <w:r>
              <w:t>[-0.02, 0.1]</w:t>
            </w:r>
          </w:p>
        </w:tc>
        <w:tc>
          <w:tcPr>
            <w:tcW w:w="0" w:type="auto"/>
          </w:tcPr>
          <w:p w14:paraId="0D9BCEBE" w14:textId="77777777" w:rsidR="001E6401" w:rsidRDefault="00000000">
            <w:pPr>
              <w:pStyle w:val="Compact"/>
            </w:pPr>
            <w:r>
              <w:t>2.43</w:t>
            </w:r>
          </w:p>
        </w:tc>
        <w:tc>
          <w:tcPr>
            <w:tcW w:w="0" w:type="auto"/>
          </w:tcPr>
          <w:p w14:paraId="2D570D4A" w14:textId="77777777" w:rsidR="001E6401" w:rsidRDefault="00000000">
            <w:pPr>
              <w:pStyle w:val="Compact"/>
            </w:pPr>
            <w:r>
              <w:t>.155</w:t>
            </w:r>
          </w:p>
        </w:tc>
      </w:tr>
      <w:tr w:rsidR="001E6401" w14:paraId="209AA212" w14:textId="77777777" w:rsidTr="00BA47C3">
        <w:trPr>
          <w:jc w:val="left"/>
        </w:trPr>
        <w:tc>
          <w:tcPr>
            <w:tcW w:w="0" w:type="auto"/>
          </w:tcPr>
          <w:p w14:paraId="111993A2" w14:textId="77777777" w:rsidR="001E6401" w:rsidRDefault="00000000">
            <w:pPr>
              <w:pStyle w:val="Compact"/>
            </w:pPr>
            <w:r>
              <w:t>belief in communicated hypothesis</w:t>
            </w:r>
          </w:p>
        </w:tc>
        <w:tc>
          <w:tcPr>
            <w:tcW w:w="0" w:type="auto"/>
          </w:tcPr>
          <w:p w14:paraId="1D416560" w14:textId="77777777" w:rsidR="001E6401" w:rsidRDefault="00000000">
            <w:pPr>
              <w:pStyle w:val="Compact"/>
            </w:pPr>
            <w:r>
              <w:t>36</w:t>
            </w:r>
          </w:p>
        </w:tc>
        <w:tc>
          <w:tcPr>
            <w:tcW w:w="0" w:type="auto"/>
          </w:tcPr>
          <w:p w14:paraId="70DADE34" w14:textId="77777777" w:rsidR="001E6401" w:rsidRDefault="00000000">
            <w:pPr>
              <w:pStyle w:val="Compact"/>
            </w:pPr>
            <w:r>
              <w:t>151</w:t>
            </w:r>
          </w:p>
        </w:tc>
        <w:tc>
          <w:tcPr>
            <w:tcW w:w="0" w:type="auto"/>
          </w:tcPr>
          <w:p w14:paraId="178B51ED" w14:textId="77777777" w:rsidR="001E6401" w:rsidRDefault="00000000">
            <w:pPr>
              <w:pStyle w:val="Compact"/>
            </w:pPr>
            <w:r>
              <w:t>0.06</w:t>
            </w:r>
          </w:p>
        </w:tc>
        <w:tc>
          <w:tcPr>
            <w:tcW w:w="0" w:type="auto"/>
          </w:tcPr>
          <w:p w14:paraId="56D2AD44" w14:textId="77777777" w:rsidR="001E6401" w:rsidRDefault="00000000">
            <w:pPr>
              <w:pStyle w:val="Compact"/>
            </w:pPr>
            <w:r>
              <w:t>[-0.05, 0.18]</w:t>
            </w:r>
          </w:p>
        </w:tc>
        <w:tc>
          <w:tcPr>
            <w:tcW w:w="0" w:type="auto"/>
          </w:tcPr>
          <w:p w14:paraId="6B4DDE12" w14:textId="77777777" w:rsidR="001E6401" w:rsidRDefault="00000000">
            <w:pPr>
              <w:pStyle w:val="Compact"/>
            </w:pPr>
            <w:r>
              <w:t>1.46</w:t>
            </w:r>
          </w:p>
        </w:tc>
        <w:tc>
          <w:tcPr>
            <w:tcW w:w="0" w:type="auto"/>
          </w:tcPr>
          <w:p w14:paraId="254D469C" w14:textId="77777777" w:rsidR="001E6401" w:rsidRDefault="00000000">
            <w:pPr>
              <w:pStyle w:val="Compact"/>
            </w:pPr>
            <w:r>
              <w:t>.252</w:t>
            </w:r>
          </w:p>
        </w:tc>
      </w:tr>
    </w:tbl>
    <w:p w14:paraId="67484662" w14:textId="24EC1BFC"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00BA47C3" w:rsidRPr="00BA47C3">
        <w:rPr>
          <w:i/>
          <w:iCs/>
        </w:rPr>
        <w:t>β</w:t>
      </w:r>
      <w:r>
        <w:t xml:space="preserve"> = estimated linear relationship between participant ratings and observed Hedge’s </w:t>
      </w:r>
      <w:r w:rsidRPr="00BA47C3">
        <w:rPr>
          <w:i/>
          <w:iCs/>
        </w:rPr>
        <w:t>g</w:t>
      </w:r>
      <w:r>
        <w:t xml:space="preserve"> scores; 95% CI corresponds to the estimated value of </w:t>
      </w:r>
      <w:r w:rsidR="00BA47C3" w:rsidRPr="00BA47C3">
        <w:rPr>
          <w:i/>
          <w:iCs/>
        </w:rPr>
        <w:t>β</w:t>
      </w:r>
      <w:r>
        <w:t>.</w:t>
      </w:r>
    </w:p>
    <w:p w14:paraId="5AC10022" w14:textId="77777777" w:rsidR="001E6401" w:rsidRDefault="00000000">
      <w:pPr>
        <w:pStyle w:val="BodyText"/>
      </w:pPr>
      <w:r>
        <w:t> </w:t>
      </w:r>
    </w:p>
    <w:p w14:paraId="392EECB9" w14:textId="77777777" w:rsidR="001E6401" w:rsidRDefault="00000000">
      <w:pPr>
        <w:pStyle w:val="Heading3"/>
        <w:framePr w:wrap="around"/>
      </w:pPr>
      <w:bookmarkStart w:id="22" w:name="publication-bias-analyses-1"/>
      <w:bookmarkEnd w:id="17"/>
      <w:bookmarkEnd w:id="20"/>
      <w:r>
        <w:lastRenderedPageBreak/>
        <w:t>Publication bias analyses.</w:t>
      </w:r>
    </w:p>
    <w:p w14:paraId="583C3CEA" w14:textId="77777777" w:rsidR="001E6401" w:rsidRDefault="00000000">
      <w:pPr>
        <w:pStyle w:val="FirstParagraph"/>
      </w:pPr>
      <w:r>
        <w:t>Overall, publication bias analyses were inconclusive. Both precision-effect tests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77777777" w:rsidR="001E6401" w:rsidRDefault="00000000">
      <w:pPr>
        <w:pStyle w:val="BodyText"/>
      </w:pPr>
      <w:r>
        <w:t xml:space="preserve">Examining aggregated effect sizes using weight-function modeling – as opposed to precision effect tests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24481863" w:rsidR="00BA47C3" w:rsidRDefault="00000000">
      <w:pPr>
        <w:pStyle w:val="BodyText"/>
      </w:pPr>
      <w:r>
        <w:t>We did not find significant 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non-</w:t>
      </w:r>
      <w:r>
        <w:lastRenderedPageBreak/>
        <w:t xml:space="preserve">significant (Mathur &amp; VanderWeele, 2020b). Even if hypothesis-consistent shifts were 10000000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23" w:name="fig:funnel"/>
      <w:bookmarkEnd w:id="23"/>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24" w:name="discussion"/>
      <w:bookmarkEnd w:id="1"/>
      <w:bookmarkEnd w:id="14"/>
      <w:bookmarkEnd w:id="22"/>
      <w:r>
        <w:lastRenderedPageBreak/>
        <w:t>Discussion</w:t>
      </w:r>
    </w:p>
    <w:p w14:paraId="118EDB0B" w14:textId="77777777" w:rsidR="001E6401"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we argue they face an uncomfortable observation: our meta-analysis suggests that this characterization also currently applies to experimental psychology.</w:t>
      </w:r>
    </w:p>
    <w:p w14:paraId="3075E600" w14:textId="77777777" w:rsidR="001E6401" w:rsidRDefault="00000000">
      <w:pPr>
        <w:pStyle w:val="BodyText"/>
      </w:pPr>
      <w:r>
        <w:t xml:space="preserve">Since Orne popularized the concept in the mid-1900’s, demand characteristics have become a literal textbook methodological concern in experimental psychology. We synthesized a subset of this literature, focusing on 252 effect sizes from 52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Such heterogeneity leads to a wide prediction interval, ranging from </w:t>
      </w:r>
      <m:oMath>
        <m:r>
          <w:rPr>
            <w:rFonts w:ascii="Cambria Math" w:hAnsi="Cambria Math"/>
          </w:rPr>
          <m:t>g</m:t>
        </m:r>
      </m:oMath>
      <w:r>
        <w:t xml:space="preserve"> = 0.89 (a medium-sized decrease in hypothesis-consistent responding) to </w:t>
      </w:r>
      <m:oMath>
        <m:r>
          <w:rPr>
            <w:rFonts w:ascii="Cambria Math" w:hAnsi="Cambria Math"/>
          </w:rPr>
          <m:t>g</m:t>
        </m:r>
      </m:oMath>
      <w:r>
        <w:t xml:space="preserve"> = -0.46 (a medium-sized </w:t>
      </w:r>
      <w:r>
        <w:rPr>
          <w:i/>
          <w:iCs/>
        </w:rPr>
        <w:t>increase</w:t>
      </w:r>
      <w:r>
        <w:t xml:space="preserve"> in hypothesis-consistent responding).</w:t>
      </w:r>
    </w:p>
    <w:p w14:paraId="36055FE6" w14:textId="77777777" w:rsidR="001E6401" w:rsidRDefault="00000000">
      <w:pPr>
        <w:pStyle w:val="BodyText"/>
      </w:pPr>
      <w:r>
        <w:t xml:space="preserve">Observing demand effects that are strong, inferentially consequential, and heterogenous would be less concerning if researchers had an explanation for how such effects operate. Unfortunately, we found little explanation in our own synthesis. Coded study features failed to generate profound insights – revealing only that demand effects tend to be larger when studies are run in-person and include comparisons between two different demand characteristic conditions. </w:t>
      </w:r>
      <w:r>
        <w:lastRenderedPageBreak/>
        <w:t xml:space="preserve">Although such insights are certainly useful, they only explained an estimated 15.52%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073CC27D" w14:textId="77777777" w:rsidR="001E6401"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t>
      </w:r>
      <w:r>
        <w:rPr>
          <w:i/>
          <w:iCs/>
        </w:rPr>
        <w:t>unpublished</w:t>
      </w:r>
      <w:r>
        <w:t xml:space="preserve"> record by Coles, Wyatt, &amp; Frank, 2023)</w:t>
      </w:r>
    </w:p>
    <w:p w14:paraId="40FDF746" w14:textId="77777777" w:rsidR="001E6401"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6A04054E" w14:textId="77777777" w:rsidR="001E6401" w:rsidRDefault="00000000">
      <w:pPr>
        <w:pStyle w:val="BodyText"/>
      </w:pPr>
      <w:r>
        <w:t xml:space="preserve">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w:t>
      </w:r>
      <w:r>
        <w:lastRenderedPageBreak/>
        <w:t>they would be able to adjust responses, and (d) reported they would expect the hypothesized effect to emerge.</w:t>
      </w:r>
    </w:p>
    <w:p w14:paraId="374C691D" w14:textId="77777777" w:rsidR="001E6401" w:rsidRDefault="00000000">
      <w:pPr>
        <w:pStyle w:val="BodyText"/>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xml:space="preserve"> of responding to cues closely tied to the experimenter’s own expectation.”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p w14:paraId="096946F8" w14:textId="77777777" w:rsidR="001E6401" w:rsidRDefault="00000000">
      <w:pPr>
        <w:pStyle w:val="Heading2"/>
      </w:pPr>
      <w:bookmarkStart w:id="25" w:name="limitations"/>
      <w:r>
        <w:t>Limitations</w:t>
      </w:r>
    </w:p>
    <w:p w14:paraId="26D44BDF" w14:textId="77777777" w:rsidR="001E6401" w:rsidRDefault="00000000">
      <w:pPr>
        <w:pStyle w:val="FirstParagraph"/>
      </w:pPr>
      <w:r>
        <w:t xml:space="preserve">Our meta-analysis is, of course, not without limitations. It still remains unclear why participants were generally unable to predict and explain demand effects. It is unclear if our inclusion criteria were too narrow – or not narrow enough. And we suspect that there are many </w:t>
      </w:r>
      <w:r>
        <w:lastRenderedPageBreak/>
        <w:t>supplemental analyses that can be performed on our openly-available data to further probe the nature of demand effects.</w:t>
      </w:r>
    </w:p>
    <w:p w14:paraId="396F7132" w14:textId="77777777" w:rsidR="001E6401" w:rsidRDefault="00000000">
      <w:pPr>
        <w:pStyle w:val="BodyText"/>
      </w:pPr>
      <w:r>
        <w: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 (Flake &amp; Fried, 2020).</w:t>
      </w:r>
    </w:p>
    <w:p w14:paraId="03565413" w14:textId="77777777" w:rsidR="001E6401" w:rsidRDefault="00000000">
      <w:pPr>
        <w:pStyle w:val="BodyText"/>
      </w:pPr>
      <w:r>
        <w:t xml:space="preserve">Broad definitions of the demand characteristics construct presented us with yet another challenge. At its broadest, demand characteristics are defined as almost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21E40644" w14:textId="77777777" w:rsidR="001E6401" w:rsidRDefault="00000000">
      <w:pPr>
        <w:pStyle w:val="BodyText"/>
      </w:pPr>
      <w:r>
        <w:lastRenderedPageBreak/>
        <w:t>Even with our relatively narrow subset of the demand characteristics literature, there are commensurability challenges.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hypothesis cues within- (e.g., Martin, Sackur, &amp; Dienes, 2018) vs. between-subjects (e.g., Coles et al., 2022).</w:t>
      </w:r>
      <w:r>
        <w:rPr>
          <w:rStyle w:val="FootnoteReference"/>
        </w:rPr>
        <w:footnoteReference w:id="8"/>
      </w:r>
      <w:r>
        <w: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in the demand characteristics literature. However, we </w:t>
      </w:r>
      <w:r>
        <w:lastRenderedPageBreak/>
        <w:t>note that high heterogeneity was also observed in a six-lab investigation of demand effects in conformity research (Coles et al., 2024)</w:t>
      </w:r>
      <w:r>
        <w:rPr>
          <w:rStyle w:val="FootnoteReference"/>
        </w:rPr>
        <w:footnoteReference w:id="9"/>
      </w:r>
      <w:r>
        <w:t>.</w:t>
      </w:r>
    </w:p>
    <w:p w14:paraId="43D11C5F" w14:textId="77777777" w:rsidR="001E6401" w:rsidRDefault="00000000">
      <w:pPr>
        <w:pStyle w:val="BodyText"/>
      </w:pPr>
      <w:r>
        <w: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14:paraId="483A2ECB" w14:textId="77777777" w:rsidR="001E6401" w:rsidRDefault="00000000">
      <w:pPr>
        <w:pStyle w:val="BodyText"/>
      </w:pPr>
      <w:r>
        <w:t>We do not deny the importance of these methodological limitations. Instead, we point out that we suspect they do little to change our conclusion: demand effects can be inferentially consequential – but are unreliable, difficult to predict, and challenging to explain.</w:t>
      </w:r>
    </w:p>
    <w:p w14:paraId="7B220A1E" w14:textId="77777777" w:rsidR="001E6401" w:rsidRDefault="00000000">
      <w:pPr>
        <w:pStyle w:val="Heading2"/>
      </w:pPr>
      <w:bookmarkStart w:id="26" w:name="concluding-remarks"/>
      <w:bookmarkEnd w:id="25"/>
      <w:r>
        <w:t>Concluding Remarks</w:t>
      </w:r>
    </w:p>
    <w:p w14:paraId="63EB2213" w14:textId="77777777" w:rsidR="001E6401" w:rsidRDefault="00000000">
      <w:pPr>
        <w:pStyle w:val="FirstParagraph"/>
      </w:pPr>
      <w:r>
        <w:t>Since Orne (1962) famously described the idea over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will have demand characteristics, and these will always have some effects” (1962, p. 779). Consequently, it is perhaps not surprising that significant effort has been dedicated to their study.</w:t>
      </w:r>
    </w:p>
    <w:p w14:paraId="4E87126F" w14:textId="77777777" w:rsidR="001E6401" w:rsidRDefault="00000000">
      <w:pPr>
        <w:pStyle w:val="BodyText"/>
      </w:pPr>
      <w:r>
        <w:t xml:space="preserve">Unfortunately, it is not clear if much has been learned in these 50+ years since Orne warned of this “omnipresent threat”. Our review suggests that demand effects can indeed be inferentially consequential – but are also unreliable, difficult to predict, and challenging to </w:t>
      </w:r>
      <w:r>
        <w:lastRenderedPageBreak/>
        <w:t>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t>
      </w:r>
    </w:p>
    <w:p w14:paraId="259DC2B2" w14:textId="77777777" w:rsidR="00BA47C3" w:rsidRDefault="00BA47C3">
      <w:pPr>
        <w:spacing w:before="0" w:after="200" w:line="240" w:lineRule="auto"/>
        <w:rPr>
          <w:rFonts w:eastAsiaTheme="majorEastAsia" w:cstheme="majorBidi"/>
          <w:b/>
          <w:bCs/>
          <w:szCs w:val="32"/>
        </w:rPr>
      </w:pPr>
      <w:bookmarkStart w:id="27" w:name="references"/>
      <w:bookmarkEnd w:id="24"/>
      <w:bookmarkEnd w:id="26"/>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28" w:name="ref-allen2012demand"/>
      <w:bookmarkStart w:id="29"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30" w:name="ref-R-papaja"/>
      <w:bookmarkEnd w:id="28"/>
      <w:r>
        <w:t xml:space="preserve">Aust, F., &amp; Barth, M. (2022). </w:t>
      </w:r>
      <w:r>
        <w:rPr>
          <w:i/>
          <w:iCs/>
        </w:rPr>
        <w:t>papaja: Prepare reproducible APA journal articles with R Markdown</w:t>
      </w:r>
      <w:r>
        <w:t xml:space="preserve">. Retrieved from </w:t>
      </w:r>
      <w:hyperlink r:id="rId12">
        <w:r w:rsidR="001E6401">
          <w:rPr>
            <w:rStyle w:val="Hyperlink"/>
          </w:rPr>
          <w:t>https://github.com/crsh/papaja</w:t>
        </w:r>
      </w:hyperlink>
    </w:p>
    <w:p w14:paraId="233E25CB" w14:textId="0060EA9F" w:rsidR="001E6401" w:rsidRDefault="00000000">
      <w:pPr>
        <w:pStyle w:val="Bibliography"/>
      </w:pPr>
      <w:bookmarkStart w:id="31" w:name="ref-balze1998role"/>
      <w:bookmarkEnd w:id="30"/>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32" w:name="ref-barabasz1991effects"/>
      <w:bookmarkEnd w:id="31"/>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33" w:name="ref-bartels2019revisiting"/>
      <w:bookmarkEnd w:id="32"/>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34" w:name="ref-R-lme4"/>
      <w:bookmarkEnd w:id="33"/>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35" w:name="ref-borenstein2009effect"/>
      <w:bookmarkEnd w:id="34"/>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36" w:name="ref-borenstein2011introduction"/>
      <w:bookmarkEnd w:id="35"/>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37" w:name="ref-busch2007follow"/>
      <w:bookmarkEnd w:id="36"/>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38" w:name="ref-R-weightr"/>
      <w:bookmarkEnd w:id="37"/>
      <w:r>
        <w:t xml:space="preserve">Coburn, K. M., &amp; Vevea, J. L. (2019). </w:t>
      </w:r>
      <w:r>
        <w:rPr>
          <w:i/>
          <w:iCs/>
        </w:rPr>
        <w:t>Weightr: Estimating weight-function models for publication bias</w:t>
      </w:r>
      <w:r>
        <w:t xml:space="preserve">. Retrieved from </w:t>
      </w:r>
      <w:hyperlink r:id="rId13">
        <w:r w:rsidR="001E6401">
          <w:rPr>
            <w:rStyle w:val="Hyperlink"/>
          </w:rPr>
          <w:t>https://CRAN.R-project.org/package=weightr</w:t>
        </w:r>
      </w:hyperlink>
    </w:p>
    <w:p w14:paraId="60F4F7DC" w14:textId="08EFD789" w:rsidR="001E6401" w:rsidRDefault="00000000">
      <w:pPr>
        <w:pStyle w:val="Bibliography"/>
      </w:pPr>
      <w:bookmarkStart w:id="39" w:name="ref-cohen1988statistical"/>
      <w:bookmarkEnd w:id="38"/>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40" w:name="ref-coles2022fact"/>
      <w:bookmarkEnd w:id="39"/>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41" w:name="ref-coles2024replication"/>
      <w:bookmarkEnd w:id="40"/>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42" w:name="ref-coles2023replication"/>
      <w:bookmarkEnd w:id="41"/>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43" w:name="ref-cook1970demand"/>
      <w:bookmarkEnd w:id="42"/>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44" w:name="ref-corneille2023instruction"/>
      <w:bookmarkEnd w:id="43"/>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45" w:name="ref-corneille2022sixty"/>
      <w:bookmarkEnd w:id="44"/>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46" w:name="ref-cramer2004effect"/>
      <w:bookmarkEnd w:id="45"/>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47" w:name="ref-cramer2005effect"/>
      <w:bookmarkEnd w:id="46"/>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48" w:name="ref-cramer1995effect"/>
      <w:bookmarkEnd w:id="47"/>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49" w:name="ref-de2020cross"/>
      <w:bookmarkEnd w:id="48"/>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50" w:name="ref-downs1998feasibility"/>
      <w:bookmarkEnd w:id="49"/>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51" w:name="ref-drevon2017intercoder"/>
      <w:bookmarkEnd w:id="50"/>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52" w:name="ref-durgin2012social"/>
      <w:bookmarkEnd w:id="51"/>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53" w:name="ref-earn1979experimental"/>
      <w:bookmarkEnd w:id="52"/>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54" w:name="ref-fillenbaun1970more"/>
      <w:bookmarkEnd w:id="53"/>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55" w:name="ref-flake2020measurement"/>
      <w:bookmarkEnd w:id="54"/>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56" w:name="ref-franco2014publication"/>
      <w:bookmarkEnd w:id="55"/>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57" w:name="ref-frank2023experimentology"/>
      <w:bookmarkEnd w:id="56"/>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58" w:name="ref-fresson2017role"/>
      <w:bookmarkEnd w:id="57"/>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w:t>
      </w:r>
      <w:proofErr w:type="spellStart"/>
      <w:r>
        <w:rPr>
          <w:i/>
          <w:iCs/>
        </w:rPr>
        <w:t>Belgica</w:t>
      </w:r>
      <w:proofErr w:type="spellEnd"/>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59" w:name="ref-gergen1973social"/>
      <w:bookmarkEnd w:id="58"/>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60" w:name="ref-hayes1967two"/>
      <w:bookmarkEnd w:id="59"/>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61" w:name="ref-hoogeveen2018did"/>
      <w:bookmarkEnd w:id="60"/>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62" w:name="ref-hyman1954interviewing"/>
      <w:bookmarkEnd w:id="61"/>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63" w:name="ref-isager2022student"/>
      <w:bookmarkEnd w:id="62"/>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64" w:name="ref-kanter2004experimental"/>
      <w:bookmarkEnd w:id="63"/>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65" w:name="ref-kenealy1988validation"/>
      <w:bookmarkEnd w:id="64"/>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66" w:name="ref-kersbergen2019hypothesis"/>
      <w:bookmarkEnd w:id="65"/>
      <w:r>
        <w:rPr>
          <w:vertAlign w:val="superscript"/>
        </w:rPr>
        <w:t>*</w:t>
      </w:r>
      <w:r>
        <w:t xml:space="preserve"> </w:t>
      </w:r>
      <w:proofErr w:type="spellStart"/>
      <w:r>
        <w:t>Kersbergen</w:t>
      </w:r>
      <w:proofErr w:type="spellEnd"/>
      <w:r>
        <w:t xml:space="preserve">,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67" w:name="ref-lamberth1971similarity"/>
      <w:bookmarkEnd w:id="66"/>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68" w:name="ref-larsen2011further"/>
      <w:bookmarkEnd w:id="67"/>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69" w:name="ref-R-performance"/>
      <w:bookmarkEnd w:id="68"/>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sidR="001E6401">
          <w:rPr>
            <w:rStyle w:val="Hyperlink"/>
          </w:rPr>
          <w:t>https://doi.org/10.21105/joss.03139</w:t>
        </w:r>
      </w:hyperlink>
    </w:p>
    <w:p w14:paraId="76487AE1" w14:textId="692D8B62" w:rsidR="001E6401" w:rsidRDefault="00000000">
      <w:pPr>
        <w:pStyle w:val="Bibliography"/>
      </w:pPr>
      <w:bookmarkStart w:id="70" w:name="ref-martin2018attention"/>
      <w:bookmarkEnd w:id="69"/>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71" w:name="ref-masling1966role"/>
      <w:bookmarkEnd w:id="70"/>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72" w:name="ref-R-PublicationBias"/>
      <w:bookmarkEnd w:id="71"/>
      <w:r>
        <w:t xml:space="preserve">Mathur, M. B., &amp; VanderWeele, T. J. (2020a). </w:t>
      </w:r>
      <w:r>
        <w:rPr>
          <w:i/>
          <w:iCs/>
        </w:rPr>
        <w:t>PublicationBias: Sensitivity analysis for publication bias in meta-analyses</w:t>
      </w:r>
      <w:r>
        <w:t xml:space="preserve">. Retrieved from </w:t>
      </w:r>
      <w:hyperlink r:id="rId15">
        <w:r w:rsidR="001E6401">
          <w:rPr>
            <w:rStyle w:val="Hyperlink"/>
          </w:rPr>
          <w:t>https://CRAN.R-project.org/package=PublicationBias</w:t>
        </w:r>
      </w:hyperlink>
    </w:p>
    <w:p w14:paraId="49515E3C" w14:textId="24338163" w:rsidR="001E6401" w:rsidRDefault="00000000" w:rsidP="0092086F">
      <w:pPr>
        <w:pStyle w:val="Bibliography"/>
      </w:pPr>
      <w:bookmarkStart w:id="73" w:name="ref-mathur2020sensitivity"/>
      <w:bookmarkEnd w:id="72"/>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74" w:name="ref-mcginley1975subject"/>
      <w:bookmarkEnd w:id="73"/>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75" w:name="ref-mcglynn1972experimental"/>
      <w:bookmarkEnd w:id="74"/>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76" w:name="ref-morris2002combining"/>
      <w:bookmarkEnd w:id="75"/>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77" w:name="ref-mummolo2019demand"/>
      <w:bookmarkEnd w:id="76"/>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78" w:name="ref-orne1959nature"/>
      <w:bookmarkEnd w:id="77"/>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79" w:name="ref-orne1962social"/>
      <w:bookmarkEnd w:id="78"/>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80" w:name="ref-orne1969demand"/>
      <w:bookmarkEnd w:id="79"/>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81" w:name="ref-orne1964contribution"/>
      <w:bookmarkEnd w:id="80"/>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82" w:name="ref-page2021prisma"/>
      <w:bookmarkEnd w:id="81"/>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83" w:name="ref-palomba1995dissociation"/>
      <w:bookmarkEnd w:id="82"/>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84" w:name="ref-perry1978demand"/>
      <w:bookmarkEnd w:id="83"/>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85" w:name="ref-polivy1980laboratory"/>
      <w:bookmarkEnd w:id="84"/>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86" w:name="ref-pustejovsky2018small"/>
      <w:bookmarkEnd w:id="85"/>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87" w:name="ref-R-base"/>
      <w:bookmarkEnd w:id="86"/>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6">
        <w:r w:rsidR="001E6401">
          <w:rPr>
            <w:rStyle w:val="Hyperlink"/>
          </w:rPr>
          <w:t>https://www.R-project.org/</w:t>
        </w:r>
      </w:hyperlink>
    </w:p>
    <w:p w14:paraId="2C6B994D" w14:textId="77777777" w:rsidR="001E6401" w:rsidRDefault="00000000">
      <w:pPr>
        <w:pStyle w:val="Bibliography"/>
      </w:pPr>
      <w:bookmarkStart w:id="88" w:name="ref-riecken1962program"/>
      <w:bookmarkEnd w:id="87"/>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89" w:name="ref-rodgers2021evaluating"/>
      <w:bookmarkEnd w:id="88"/>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90" w:name="ref-rose2014choice"/>
      <w:bookmarkEnd w:id="89"/>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91" w:name="ref-rosenberg1969conditions"/>
      <w:bookmarkEnd w:id="90"/>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92" w:name="ref-rosnow1973mediation"/>
      <w:bookmarkEnd w:id="91"/>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93" w:name="ref-rosnow1997people"/>
      <w:bookmarkEnd w:id="92"/>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94" w:name="ref-schardt2007utilization"/>
      <w:bookmarkEnd w:id="93"/>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95" w:name="ref-schauer1969demand"/>
      <w:bookmarkEnd w:id="94"/>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96" w:name="ref-sharpe2016frightened"/>
      <w:bookmarkEnd w:id="95"/>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97" w:name="ref-siegel1982influence"/>
      <w:bookmarkEnd w:id="96"/>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98" w:name="ref-sigall1970cooperative"/>
      <w:bookmarkEnd w:id="97"/>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99" w:name="ref-silverman1965demand"/>
      <w:bookmarkEnd w:id="98"/>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00" w:name="ref-smith1986influence"/>
      <w:bookmarkEnd w:id="99"/>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01" w:name="ref-standing2008demonstration"/>
      <w:bookmarkEnd w:id="100"/>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02" w:name="ref-stanley2014meta"/>
      <w:bookmarkEnd w:id="101"/>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03" w:name="ref-stewart2004placebo"/>
      <w:bookmarkEnd w:id="102"/>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04" w:name="ref-strohmetz2008research"/>
      <w:bookmarkEnd w:id="103"/>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05" w:name="ref-terhune2006induction"/>
      <w:bookmarkEnd w:id="104"/>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06" w:name="ref-tsai2018great"/>
      <w:bookmarkEnd w:id="105"/>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07" w:name="ref-veitch1991demand"/>
      <w:bookmarkEnd w:id="106"/>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08" w:name="ref-verpaelst2007demand"/>
      <w:bookmarkEnd w:id="107"/>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09" w:name="ref-vevea1995general"/>
      <w:bookmarkEnd w:id="108"/>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10" w:name="ref-R-metafor"/>
      <w:bookmarkEnd w:id="109"/>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27"/>
      <w:bookmarkEnd w:id="29"/>
      <w:bookmarkEnd w:id="110"/>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7">
        <w:r>
          <w:rPr>
            <w:rStyle w:val="Hyperlink"/>
          </w:rPr>
          <w:t>https://osf.io/3hkre/?view_only=2dc92af53f194e5eab0d7aecafaf01c2</w:t>
        </w:r>
      </w:hyperlink>
      <w:r>
        <w:t>.</w:t>
      </w:r>
    </w:p>
    <w:sectPr w:rsidR="001E6401"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3EB22" w14:textId="77777777" w:rsidR="00610819" w:rsidRDefault="00610819">
      <w:pPr>
        <w:spacing w:before="0" w:after="0" w:line="240" w:lineRule="auto"/>
      </w:pPr>
      <w:r>
        <w:separator/>
      </w:r>
    </w:p>
  </w:endnote>
  <w:endnote w:type="continuationSeparator" w:id="0">
    <w:p w14:paraId="39810355" w14:textId="77777777" w:rsidR="00610819" w:rsidRDefault="006108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1B88D" w14:textId="77777777" w:rsidR="00610819" w:rsidRDefault="00610819">
      <w:pPr>
        <w:spacing w:before="0" w:after="0" w:line="240" w:lineRule="auto"/>
      </w:pPr>
      <w:r>
        <w:separator/>
      </w:r>
    </w:p>
  </w:footnote>
  <w:footnote w:type="continuationSeparator" w:id="0">
    <w:p w14:paraId="1E90D424" w14:textId="77777777" w:rsidR="00610819" w:rsidRDefault="00610819">
      <w:pPr>
        <w:spacing w:before="0" w:after="0" w:line="240" w:lineRule="auto"/>
      </w:pPr>
      <w:r>
        <w:continuationSeparator/>
      </w:r>
    </w:p>
  </w:footnote>
  <w:footnote w:id="1">
    <w:p w14:paraId="4AF2B345" w14:textId="77777777" w:rsidR="001E6401" w:rsidRDefault="00000000">
      <w:pPr>
        <w:pStyle w:val="FootnoteText"/>
      </w:pPr>
      <w:r>
        <w:rPr>
          <w:rStyle w:val="FootnoteReference"/>
        </w:rPr>
        <w:footnoteRef/>
      </w:r>
      <w:r>
        <w: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t>
      </w:r>
    </w:p>
  </w:footnote>
  <w:footnote w:id="2">
    <w:p w14:paraId="5BD434FB" w14:textId="77777777"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5">
    <w:p w14:paraId="60975B39" w14:textId="77777777" w:rsidR="001E6401"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RDefault="00000000">
      <w:pPr>
        <w:pStyle w:val="FootnoteText"/>
      </w:pPr>
      <w:r>
        <w:rPr>
          <w:rStyle w:val="FootnoteReference"/>
        </w:rPr>
        <w:footnoteRef/>
      </w:r>
      <w:r>
        <w:t xml:space="preserve"> N.C. coded the quality of each record included in the meta-analysis using a modified version of the Downs and Black (1998) checklist. On a 0-1 scale, ratings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t>
      </w:r>
    </w:p>
  </w:footnote>
  <w:footnote w:id="8">
    <w:p w14:paraId="3C57B7E1" w14:textId="77777777" w:rsidR="001E6401"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t>
      </w:r>
    </w:p>
  </w:footnote>
  <w:footnote w:id="9">
    <w:p w14:paraId="0C360371" w14:textId="77777777" w:rsidR="001E6401" w:rsidRDefault="00000000">
      <w:pPr>
        <w:pStyle w:val="FootnoteText"/>
      </w:pPr>
      <w:r>
        <w:rPr>
          <w:rStyle w:val="FootnoteReference"/>
        </w:rPr>
        <w:footnoteRef/>
      </w:r>
      <w:r>
        <w:t xml:space="preserve"> In a six-lab investigation of explicit demand effects in conformity research, (Coles et al., 2024) observed no overall effect (</w:t>
      </w:r>
      <w:r>
        <w:rPr>
          <w:i/>
          <w:iCs/>
        </w:rPr>
        <w:t>g</w:t>
      </w:r>
      <w:r>
        <w:t xml:space="preserve"> = 0.02) but high heterogeneity (</w:t>
      </w:r>
      <m:oMath>
        <m:r>
          <w:rPr>
            <w:rFonts w:ascii="Cambria Math" w:hAnsi="Cambria Math"/>
          </w:rPr>
          <m:t>τ</m:t>
        </m:r>
      </m:oMath>
      <w:r>
        <w:t xml:space="preserve"> = 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5C68C435" w14:textId="77777777" w:rsidR="00623F9A"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623F9A" w:rsidRDefault="00623F9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013CEE13" w14:textId="77777777" w:rsidR="00623F9A"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623F9A"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69354336" w14:textId="77777777" w:rsidR="00623F9A"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623F9A"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3"/>
  </w:num>
  <w:num w:numId="2" w16cid:durableId="1382481975">
    <w:abstractNumId w:val="13"/>
  </w:num>
  <w:num w:numId="3" w16cid:durableId="487789687">
    <w:abstractNumId w:val="14"/>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4"/>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15DCC"/>
    <w:rsid w:val="00084144"/>
    <w:rsid w:val="000F5A50"/>
    <w:rsid w:val="00115933"/>
    <w:rsid w:val="00193D92"/>
    <w:rsid w:val="001E6401"/>
    <w:rsid w:val="00313569"/>
    <w:rsid w:val="00352BA1"/>
    <w:rsid w:val="003756FC"/>
    <w:rsid w:val="003879F0"/>
    <w:rsid w:val="003D44B0"/>
    <w:rsid w:val="00435F1A"/>
    <w:rsid w:val="00472128"/>
    <w:rsid w:val="00506818"/>
    <w:rsid w:val="0057450F"/>
    <w:rsid w:val="005A55BB"/>
    <w:rsid w:val="00610819"/>
    <w:rsid w:val="00623F9A"/>
    <w:rsid w:val="006373B0"/>
    <w:rsid w:val="00693388"/>
    <w:rsid w:val="006E6812"/>
    <w:rsid w:val="00736D4F"/>
    <w:rsid w:val="00871062"/>
    <w:rsid w:val="008D1023"/>
    <w:rsid w:val="0092086F"/>
    <w:rsid w:val="00961D9D"/>
    <w:rsid w:val="009E05DE"/>
    <w:rsid w:val="00B72BD5"/>
    <w:rsid w:val="00BA47C3"/>
    <w:rsid w:val="00BF4B6B"/>
    <w:rsid w:val="00C0698C"/>
    <w:rsid w:val="00CF1051"/>
    <w:rsid w:val="00D9398A"/>
    <w:rsid w:val="00E40723"/>
    <w:rsid w:val="00E634E8"/>
    <w:rsid w:val="00E753DB"/>
    <w:rsid w:val="00EB1F7E"/>
    <w:rsid w:val="00F80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NormalWeb">
    <w:name w:val="Normal (Web)"/>
    <w:basedOn w:val="Normal"/>
    <w:uiPriority w:val="99"/>
    <w:semiHidden/>
    <w:unhideWhenUsed/>
    <w:rsid w:val="00D9398A"/>
    <w:pPr>
      <w:spacing w:before="100" w:beforeAutospacing="1" w:after="100" w:afterAutospacing="1" w:line="240" w:lineRule="auto"/>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113642887">
      <w:bodyDiv w:val="1"/>
      <w:marLeft w:val="0"/>
      <w:marRight w:val="0"/>
      <w:marTop w:val="0"/>
      <w:marBottom w:val="0"/>
      <w:divBdr>
        <w:top w:val="none" w:sz="0" w:space="0" w:color="auto"/>
        <w:left w:val="none" w:sz="0" w:space="0" w:color="auto"/>
        <w:bottom w:val="none" w:sz="0" w:space="0" w:color="auto"/>
        <w:right w:val="none" w:sz="0" w:space="0" w:color="auto"/>
      </w:divBdr>
      <w:divsChild>
        <w:div w:id="1092505806">
          <w:marLeft w:val="-108"/>
          <w:marRight w:val="0"/>
          <w:marTop w:val="0"/>
          <w:marBottom w:val="0"/>
          <w:divBdr>
            <w:top w:val="none" w:sz="0" w:space="0" w:color="auto"/>
            <w:left w:val="none" w:sz="0" w:space="0" w:color="auto"/>
            <w:bottom w:val="none" w:sz="0" w:space="0" w:color="auto"/>
            <w:right w:val="none" w:sz="0" w:space="0" w:color="auto"/>
          </w:divBdr>
        </w:div>
      </w:divsChild>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weight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crsh/papaja" TargetMode="External"/><Relationship Id="rId17" Type="http://schemas.openxmlformats.org/officeDocument/2006/relationships/hyperlink" Target="https://osf.io/3hkre/?view_only=2dc92af53f194e5eab0d7aecafaf01c2" TargetMode="Externa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doi.org/10.21105/joss.03139"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56</Pages>
  <Words>12125</Words>
  <Characters>69119</Characters>
  <Application>Microsoft Office Word</Application>
  <DocSecurity>0</DocSecurity>
  <Lines>575</Lines>
  <Paragraphs>162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81082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
  <cp:keywords/>
  <cp:lastModifiedBy>Coles, Nicholas A.</cp:lastModifiedBy>
  <cp:revision>11</cp:revision>
  <dcterms:created xsi:type="dcterms:W3CDTF">2024-12-31T17:55:00Z</dcterms:created>
  <dcterms:modified xsi:type="dcterms:W3CDTF">2024-12-31T19:51:00Z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