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4469029" w:rsidR="00E541E5" w:rsidRDefault="00000000">
      <w:pPr>
        <w:pStyle w:val="Heading1"/>
      </w:pPr>
      <w:bookmarkStart w:id="0" w:name="_xgijkul1corp" w:colFirst="0" w:colLast="0"/>
      <w:bookmarkEnd w:id="0"/>
      <w:r>
        <w:t xml:space="preserve">Summary of </w:t>
      </w:r>
      <w:r w:rsidR="004139D7">
        <w:t>Modifications</w:t>
      </w:r>
    </w:p>
    <w:p w14:paraId="00000002" w14:textId="63C0EB72"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w:t>
      </w:r>
    </w:p>
    <w:p w14:paraId="034B9F88" w14:textId="345C08C2" w:rsidR="006265C5" w:rsidRPr="004139D7" w:rsidRDefault="006265C5">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01/19/2024, we removed author names from this pre-registration to ensure blind peer review.</w:t>
      </w:r>
    </w:p>
    <w:p w14:paraId="3A86BD6E" w14:textId="608395FD" w:rsidR="00580D56" w:rsidRDefault="00580D56">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sidR="004F1F03">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sidR="004F1F03">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sidR="004F1F03">
        <w:rPr>
          <w:rFonts w:ascii="Times New Roman" w:eastAsia="Times New Roman" w:hAnsi="Times New Roman" w:cs="Times New Roman"/>
          <w:sz w:val="24"/>
          <w:szCs w:val="24"/>
        </w:rPr>
        <w:t xml:space="preserve">described our plans to convert </w:t>
      </w:r>
      <w:r w:rsidRPr="004139D7">
        <w:rPr>
          <w:rFonts w:ascii="Times New Roman" w:eastAsia="Times New Roman" w:hAnsi="Times New Roman" w:cs="Times New Roman"/>
          <w:sz w:val="24"/>
          <w:szCs w:val="24"/>
        </w:rPr>
        <w:t>Cohen’s d to Hedge’s g, based on a reviewer request.</w:t>
      </w:r>
    </w:p>
    <w:p w14:paraId="2547060B" w14:textId="7BDA6B6A" w:rsidR="004139D7" w:rsidRPr="004139D7" w:rsidRDefault="004139D7">
      <w:pPr>
        <w:spacing w:before="200"/>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an updated search we performed, based on a reviewer request.</w:t>
      </w:r>
    </w:p>
    <w:p w14:paraId="0426AFB0" w14:textId="7C97E1B7" w:rsidR="004139D7" w:rsidRDefault="004139D7" w:rsidP="004139D7">
      <w:pPr>
        <w:spacing w:before="200"/>
        <w:rPr>
          <w:rFonts w:ascii="Times New Roman" w:eastAsia="Times New Roman" w:hAnsi="Times New Roman" w:cs="Times New Roman"/>
          <w:sz w:val="24"/>
          <w:szCs w:val="24"/>
        </w:rPr>
      </w:pPr>
      <w:bookmarkStart w:id="1" w:name="_41y9cwqx223p" w:colFirst="0" w:colLast="0"/>
      <w:bookmarkEnd w:id="1"/>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how our inclusion criteria were refined during the process of screening.</w:t>
      </w:r>
    </w:p>
    <w:p w14:paraId="31F8DEDC" w14:textId="2858A8DB" w:rsidR="004139D7" w:rsidRDefault="004139D7" w:rsidP="004139D7">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how we coded for quality, based on a reviewer request.</w:t>
      </w:r>
    </w:p>
    <w:p w14:paraId="768BC4F7" w14:textId="6B1031C0" w:rsidR="0044403F" w:rsidRPr="0044403F" w:rsidRDefault="004F1F03" w:rsidP="004139D7">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plans to collect additional data on vignette ratings. This was developed to respond to a reviewer comment about the trustworthiness of the ratings.</w:t>
      </w:r>
    </w:p>
    <w:p w14:paraId="00000003" w14:textId="1ABDF32C" w:rsidR="00E541E5" w:rsidRDefault="00000000">
      <w:pPr>
        <w:pStyle w:val="Heading1"/>
      </w:pPr>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 meta-analysis of the effects of experimentally-manipulated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if the effect of explicit demand characteristics manipulations are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Whether the study was conducted in-person (vs. online)</w:t>
      </w:r>
    </w:p>
    <w:p w14:paraId="00000010"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compares two vs. one demand characteristics manipulation</w:t>
      </w:r>
    </w:p>
    <w:p w14:paraId="00000012"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study is published</w:t>
      </w:r>
    </w:p>
    <w:p w14:paraId="3B23A874" w14:textId="4D28B625" w:rsidR="004139D7" w:rsidRPr="004139D7" w:rsidRDefault="004139D7">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(Added post-hoc, per reviewer request) The quality of the record, as assessed using a modified version of the Downs and black (1998) checklist</w:t>
      </w:r>
    </w:p>
    <w:p w14:paraId="00000014" w14:textId="77777777" w:rsidR="00E541E5" w:rsidRDefault="00000000">
      <w:pPr>
        <w:pStyle w:val="Heading2"/>
        <w:spacing w:before="200"/>
      </w:pPr>
      <w:bookmarkStart w:id="6" w:name="_y09xlfgdynof" w:colFirst="0" w:colLast="0"/>
      <w:bookmarkEnd w:id="6"/>
      <w:r>
        <w:t>Conceptual Moderators</w:t>
      </w:r>
    </w:p>
    <w:p w14:paraId="00000015"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In a follow-up survey, we will collect post-hoc ratings of three potential moderators:</w:t>
      </w:r>
    </w:p>
    <w:p w14:paraId="00000016" w14:textId="77777777"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Motivation: Perceived motivation to confirm the experimenter’s hypothesis</w:t>
      </w:r>
    </w:p>
    <w:p w14:paraId="00000017" w14:textId="77777777"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Opportunity: Perceived opportunity to control the outcome-of-interest</w:t>
      </w:r>
    </w:p>
    <w:p w14:paraId="00000018" w14:textId="5FD52CC3"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Belief</w:t>
      </w:r>
      <w:r w:rsidR="0017759D" w:rsidRPr="004139D7">
        <w:rPr>
          <w:rFonts w:ascii="Times New Roman" w:eastAsia="Times New Roman" w:hAnsi="Times New Roman" w:cs="Times New Roman"/>
          <w:sz w:val="24"/>
          <w:szCs w:val="24"/>
        </w:rPr>
        <w:t>: Belief</w:t>
      </w:r>
      <w:r w:rsidRPr="004139D7">
        <w:rPr>
          <w:rFonts w:ascii="Times New Roman" w:eastAsia="Times New Roman" w:hAnsi="Times New Roman" w:cs="Times New Roman"/>
          <w:sz w:val="24"/>
          <w:szCs w:val="24"/>
        </w:rPr>
        <w:t xml:space="preserve"> in the experimenter’s hypothesis</w:t>
      </w:r>
    </w:p>
    <w:p w14:paraId="00000019" w14:textId="77777777" w:rsidR="00E541E5" w:rsidRPr="004139D7" w:rsidRDefault="00000000">
      <w:pPr>
        <w:pStyle w:val="Heading2"/>
        <w:spacing w:before="200"/>
      </w:pPr>
      <w:bookmarkStart w:id="7" w:name="_bfimspnsff1c" w:colFirst="0" w:colLast="0"/>
      <w:bookmarkEnd w:id="7"/>
      <w:r w:rsidRPr="004139D7">
        <w:t>Participant prediction</w:t>
      </w:r>
    </w:p>
    <w:p w14:paraId="0000001A"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 xml:space="preserve">In the same follow-up survey, we will collect post-hoc ratings of the extent to which people believe that </w:t>
      </w:r>
      <w:r w:rsidRPr="004139D7">
        <w:rPr>
          <w:rFonts w:ascii="Times New Roman" w:eastAsia="Times New Roman" w:hAnsi="Times New Roman" w:cs="Times New Roman"/>
          <w:i/>
          <w:sz w:val="24"/>
          <w:szCs w:val="24"/>
        </w:rPr>
        <w:t>other</w:t>
      </w:r>
      <w:r w:rsidRPr="004139D7">
        <w:rPr>
          <w:rFonts w:ascii="Times New Roman" w:eastAsia="Times New Roman" w:hAnsi="Times New Roman" w:cs="Times New Roman"/>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This work is mostly exploratory. However, for the conceptual moderators, we are interested in testing the following hypothesis:</w:t>
      </w:r>
    </w:p>
    <w:p w14:paraId="0000001D"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H1: The effect of demand characteristic manipulations will be moderated by motivation and opportunity (as predicted by Coles et al. 2022; Rosnow and Rosenthal, 1997) and belief in the experimenter’s hypothesis (as predicted by Coles et al. 2022).</w:t>
      </w:r>
    </w:p>
    <w:p w14:paraId="0000001E"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We originally intended to test the following hypotheses in a confirmatory fashion. However–before the necessary data were collected–we were convinced that the measures and models would be too noisy to yield reliable conclusions. Thus, we now plan to examine them in an exploratory manner.</w:t>
      </w:r>
    </w:p>
    <w:p w14:paraId="0000001F"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E1: For the effect of demand characteristics manipulations, there will be a two-way interaction between motivation and opportunity. The simple effect of motivation will be larger when opportunity is high vs. low (as predicted by Coles et al. 2022; Rosnow and Rosenthal, 1997)</w:t>
      </w:r>
    </w:p>
    <w:p w14:paraId="00000020"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lastRenderedPageBreak/>
        <w:t>E2: When participants are not motivated to confirm or disconfirm the experimenter’s hypothesis, the effect of demand characteristics manipulations will be:</w:t>
      </w:r>
    </w:p>
    <w:p w14:paraId="00000021"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 xml:space="preserve">E2.1: Zero (as predicted by Rosnow and Rosenthal, 1997), or </w:t>
      </w:r>
    </w:p>
    <w:p w14:paraId="00000022"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E2.1: Positive and non-zero (as predicted by Coles et al. 2022)</w:t>
      </w:r>
    </w:p>
    <w:p w14:paraId="00000023"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 When participants do not have the opportunity to adjust their responses, the effect of demand characteristic manipulations will be:</w:t>
      </w:r>
    </w:p>
    <w:p w14:paraId="00000024"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E3.0: Zero (as predicted by Rosnow and Rosenthal, 1997), or</w:t>
      </w:r>
    </w:p>
    <w:p w14:paraId="00000025" w14:textId="77777777" w:rsidR="00E541E5" w:rsidRPr="004139D7" w:rsidRDefault="00000000">
      <w:pPr>
        <w:numPr>
          <w:ilvl w:val="0"/>
          <w:numId w:val="6"/>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E3.1: Positive and non-zero (as predicted by Coles et al. 2022)</w:t>
      </w:r>
    </w:p>
    <w:p w14:paraId="00000026" w14:textId="77777777" w:rsidR="00E541E5" w:rsidRDefault="00000000">
      <w:pPr>
        <w:pStyle w:val="Heading1"/>
      </w:pPr>
      <w:bookmarkStart w:id="9" w:name="_auldnkrhd1tg" w:colFirst="0" w:colLast="0"/>
      <w:bookmarkEnd w:id="9"/>
      <w:r>
        <w:t>Data collection procedures</w:t>
      </w:r>
    </w:p>
    <w:p w14:paraId="00000027" w14:textId="6A974674"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Our literature search strategy was</w:t>
      </w:r>
      <w:r w:rsidR="004139D7">
        <w:rPr>
          <w:rFonts w:ascii="Times New Roman" w:eastAsia="Times New Roman" w:hAnsi="Times New Roman" w:cs="Times New Roman"/>
          <w:sz w:val="24"/>
          <w:szCs w:val="24"/>
        </w:rPr>
        <w:t xml:space="preserve"> initially</w:t>
      </w:r>
      <w:r>
        <w:rPr>
          <w:rFonts w:ascii="Times New Roman" w:eastAsia="Times New Roman" w:hAnsi="Times New Roman" w:cs="Times New Roman"/>
          <w:sz w:val="24"/>
          <w:szCs w:val="24"/>
        </w:rPr>
        <w:t xml:space="preserve"> developed in consultation with a librarian at </w:t>
      </w:r>
      <w:r w:rsidRPr="00923644">
        <w:rPr>
          <w:rFonts w:ascii="Times New Roman" w:eastAsia="Times New Roman" w:hAnsi="Times New Roman" w:cs="Times New Roman"/>
          <w:sz w:val="24"/>
          <w:szCs w:val="24"/>
          <w:highlight w:val="black"/>
        </w:rPr>
        <w:t>Stanford University</w:t>
      </w:r>
      <w:r>
        <w:rPr>
          <w:rFonts w:ascii="Times New Roman" w:eastAsia="Times New Roman" w:hAnsi="Times New Roman" w:cs="Times New Roman"/>
          <w:sz w:val="24"/>
          <w:szCs w:val="24"/>
        </w:rPr>
        <w:t>. To identify relevant articles, we searched APA PsycInfo on January 12, 2022 using relatively broad search terms: “demand characteristics” OR “hypothesis awareness”. This yielded 850 records.</w:t>
      </w:r>
    </w:p>
    <w:p w14:paraId="00000028" w14:textId="46D090CD"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released calls for unpublished studies on the Society for Personality and Social Psychology Open Forum; </w:t>
      </w:r>
      <w:r w:rsidRPr="00923644">
        <w:rPr>
          <w:rFonts w:ascii="Times New Roman" w:eastAsia="Times New Roman" w:hAnsi="Times New Roman" w:cs="Times New Roman"/>
          <w:sz w:val="24"/>
          <w:szCs w:val="24"/>
          <w:highlight w:val="black"/>
        </w:rPr>
        <w:t>Nicholas Coles’</w:t>
      </w:r>
      <w:r>
        <w:rPr>
          <w:rFonts w:ascii="Times New Roman" w:eastAsia="Times New Roman" w:hAnsi="Times New Roman" w:cs="Times New Roman"/>
          <w:sz w:val="24"/>
          <w:szCs w:val="24"/>
        </w:rPr>
        <w:t xml:space="preserve"> personal Twitter; and the Facebook Psychological Methods Discussion Group and PsychMAP group. This </w:t>
      </w:r>
      <w:r w:rsidR="004139D7">
        <w:rPr>
          <w:rFonts w:ascii="Times New Roman" w:eastAsia="Times New Roman" w:hAnsi="Times New Roman" w:cs="Times New Roman"/>
          <w:sz w:val="24"/>
          <w:szCs w:val="24"/>
        </w:rPr>
        <w:t xml:space="preserve">initially </w:t>
      </w:r>
      <w:r>
        <w:rPr>
          <w:rFonts w:ascii="Times New Roman" w:eastAsia="Times New Roman" w:hAnsi="Times New Roman" w:cs="Times New Roman"/>
          <w:sz w:val="24"/>
          <w:szCs w:val="24"/>
        </w:rPr>
        <w:t>yielded 3 additional records.</w:t>
      </w:r>
    </w:p>
    <w:p w14:paraId="0F7744EA" w14:textId="02947C9C" w:rsidR="004139D7" w:rsidRDefault="004139D7">
      <w:pPr>
        <w:spacing w:before="200"/>
        <w:rPr>
          <w:rFonts w:ascii="Arial" w:eastAsia="Arial" w:hAnsi="Arial" w:cs="Arial"/>
          <w:sz w:val="20"/>
          <w:szCs w:val="20"/>
        </w:rPr>
      </w:pPr>
      <w:r>
        <w:rPr>
          <w:rFonts w:ascii="Times New Roman" w:eastAsia="Times New Roman" w:hAnsi="Times New Roman" w:cs="Times New Roman"/>
          <w:sz w:val="24"/>
          <w:szCs w:val="24"/>
        </w:rPr>
        <w:t xml:space="preserve">On April 17, 2024, we added two unplanned literature searches based on reviewer feedback. First, we repeated the above search to identify records published since January 2022 (leading to 29 additional records). Second, we performed an additional APA PsychInfo search using the following search terms: </w:t>
      </w:r>
      <w:r w:rsidRPr="004139D7">
        <w:rPr>
          <w:rFonts w:ascii="Times New Roman" w:eastAsia="Times New Roman" w:hAnsi="Times New Roman" w:cs="Times New Roman"/>
          <w:sz w:val="24"/>
          <w:szCs w:val="24"/>
        </w:rPr>
        <w:t>“participant role” OR “demand effects” OR “good subject effect” OR “expectancy effect” OR “evaluative apprehension”</w:t>
      </w:r>
      <w:r>
        <w:rPr>
          <w:rFonts w:ascii="Times New Roman" w:eastAsia="Times New Roman" w:hAnsi="Times New Roman" w:cs="Times New Roman"/>
          <w:sz w:val="24"/>
          <w:szCs w:val="24"/>
        </w:rPr>
        <w:t xml:space="preserve"> (leading to 572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few scenarios, we excluded observations where the researcher’s manipulation of demand characteristics was confounded. For example, Sigall, Aronson, and Van Hoose (1970) told one </w:t>
      </w:r>
      <w:r>
        <w:rPr>
          <w:rFonts w:ascii="Times New Roman" w:eastAsia="Times New Roman" w:hAnsi="Times New Roman" w:cs="Times New Roman"/>
          <w:sz w:val="24"/>
          <w:szCs w:val="24"/>
        </w:rPr>
        <w:lastRenderedPageBreak/>
        <w:t>group of participants that they (a) expected an increase in number copying behavior, but (b) this increase would be indicative of a personality disorder. This condition intentionally confounds hypothesis awareness with evaluation apprehension and was thus excluded.</w:t>
      </w:r>
    </w:p>
    <w:p w14:paraId="4EB2A976" w14:textId="0B8A6527" w:rsidR="004139D7" w:rsidRDefault="004139D7">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conducted screening, we made the inclusion criteria more granular. More specifically, we clarified that we will exclude records wherein (a) the predicted effect of awareness is unclear, and (b) the population or intervention was not clinical.</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Thus far, we have coded 232 effect sizes from 34 studies. However, this number will likely change as we double-check coding decisions, refine inclusion criteria, and discover additional relevant records. (E.g., librarians are searching for several records that we indicated as potentially relevant during the record screening stage, but had difficulty accessing; Reviewers may also recommend additional searches.)</w:t>
      </w:r>
    </w:p>
    <w:p w14:paraId="00000032" w14:textId="1A2D266A" w:rsidR="00E541E5" w:rsidRPr="004139D7" w:rsidRDefault="00000000">
      <w:pPr>
        <w:spacing w:before="200"/>
        <w:rPr>
          <w:rFonts w:ascii="Times New Roman" w:eastAsia="Times New Roman" w:hAnsi="Times New Roman" w:cs="Times New Roman"/>
          <w:strike/>
          <w:sz w:val="24"/>
          <w:szCs w:val="24"/>
        </w:rPr>
      </w:pPr>
      <w:r w:rsidRPr="004139D7">
        <w:rPr>
          <w:rFonts w:ascii="Times New Roman" w:eastAsia="Times New Roman" w:hAnsi="Times New Roman" w:cs="Times New Roman"/>
          <w:sz w:val="24"/>
          <w:szCs w:val="24"/>
        </w:rPr>
        <w:t xml:space="preserve">To pilot data processing and analysis procedures, a small subset of the data were analyzed at an earlier stage in the project. At this stage, we found preliminary evidence of a medium-sized, highly-heterogeneous, positive effect of demand characteristics. </w:t>
      </w:r>
    </w:p>
    <w:p w14:paraId="00000033" w14:textId="77777777" w:rsidR="00E541E5" w:rsidRDefault="00000000">
      <w:pPr>
        <w:pStyle w:val="Heading1"/>
      </w:pPr>
      <w:bookmarkStart w:id="12" w:name="_vklvxibhc8lc" w:colFirst="0" w:colLast="0"/>
      <w:bookmarkEnd w:id="12"/>
      <w:r>
        <w:t>Measured variables</w:t>
      </w:r>
    </w:p>
    <w:p w14:paraId="00000034" w14:textId="04173A93" w:rsidR="00E541E5" w:rsidRPr="00D74D38" w:rsidRDefault="00000000">
      <w:pPr>
        <w:pStyle w:val="Heading2"/>
        <w:spacing w:before="200"/>
        <w:rPr>
          <w:iCs/>
        </w:rPr>
      </w:pPr>
      <w:bookmarkStart w:id="13" w:name="_hl86e1ac7keb" w:colFirst="0" w:colLast="0"/>
      <w:bookmarkEnd w:id="13"/>
      <w:r>
        <w:t xml:space="preserve">Effect Size: Cohen’s standardized </w:t>
      </w:r>
      <w:r>
        <w:rPr>
          <w:i/>
        </w:rPr>
        <w:t>d</w:t>
      </w:r>
      <w:r w:rsidR="00D74D38">
        <w:rPr>
          <w:i/>
        </w:rPr>
        <w:t xml:space="preserve"> </w:t>
      </w:r>
      <w:r w:rsidR="00D74D38" w:rsidRPr="00D74D38">
        <w:rPr>
          <w:iCs/>
        </w:rPr>
        <w:t>[transformed</w:t>
      </w:r>
      <w:r w:rsidR="00D74D38">
        <w:rPr>
          <w:iCs/>
        </w:rPr>
        <w:t xml:space="preserve"> to Hedge’s </w:t>
      </w:r>
      <w:r w:rsidR="00D74D38">
        <w:rPr>
          <w:i/>
        </w:rPr>
        <w:t>g</w:t>
      </w:r>
      <w:r w:rsidR="00D74D38">
        <w:rPr>
          <w:iCs/>
        </w:rPr>
        <w:t xml:space="preserve"> based on reviewer feedback]</w:t>
      </w:r>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reported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reported</w:t>
      </w:r>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lastRenderedPageBreak/>
        <w:t>Borenstein et al. 2011;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3E31FF89" w14:textId="702BD66D" w:rsidR="00D74D38" w:rsidRDefault="00D74D38" w:rsidP="00D74D38">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values were then transformed to Hedge’s </w:t>
      </w:r>
      <w:r w:rsidRPr="00D74D38">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based on reviewer feedback.</w:t>
      </w:r>
    </w:p>
    <w:p w14:paraId="0000004C" w14:textId="77777777" w:rsidR="00E541E5" w:rsidRDefault="00000000">
      <w:pPr>
        <w:pStyle w:val="Heading2"/>
        <w:spacing w:before="200"/>
      </w:pPr>
      <w:bookmarkStart w:id="14" w:name="_gztgf4e3zgo6" w:colFirst="0" w:colLast="0"/>
      <w:bookmarkEnd w:id="14"/>
      <w:r>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(participants told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told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vs. negative demand (participants told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vs. nil demand</w:t>
      </w:r>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Pr="00D74D38" w:rsidRDefault="00000000">
      <w:pPr>
        <w:pStyle w:val="Heading2"/>
        <w:spacing w:before="200"/>
        <w:rPr>
          <w:u w:val="single"/>
        </w:rPr>
      </w:pPr>
      <w:bookmarkStart w:id="15" w:name="_kelhoryouuzm" w:colFirst="0" w:colLast="0"/>
      <w:bookmarkEnd w:id="15"/>
      <w:r w:rsidRPr="00D74D38">
        <w:t>Conceptual Moderators and Participant Predictions</w:t>
      </w:r>
    </w:p>
    <w:p w14:paraId="0000005B" w14:textId="69D8F801" w:rsidR="00E541E5" w:rsidRPr="00D74D38" w:rsidRDefault="0044403F">
      <w:pPr>
        <w:spacing w:before="200"/>
        <w:rPr>
          <w:rFonts w:ascii="Times New Roman" w:eastAsia="Times New Roman" w:hAnsi="Times New Roman" w:cs="Times New Roman"/>
          <w:strike/>
          <w:sz w:val="24"/>
          <w:szCs w:val="24"/>
        </w:rPr>
      </w:pPr>
      <w:r>
        <w:rPr>
          <w:rFonts w:ascii="Times New Roman" w:eastAsia="Times New Roman" w:hAnsi="Times New Roman" w:cs="Times New Roman"/>
          <w:sz w:val="24"/>
          <w:szCs w:val="24"/>
        </w:rPr>
        <w:t>Based</w:t>
      </w:r>
      <w:r w:rsidRPr="00D74D38">
        <w:rPr>
          <w:rFonts w:ascii="Times New Roman" w:eastAsia="Times New Roman" w:hAnsi="Times New Roman" w:cs="Times New Roman"/>
          <w:sz w:val="24"/>
          <w:szCs w:val="24"/>
        </w:rPr>
        <w:t xml:space="preserve"> on the availability of resources, we plan</w:t>
      </w:r>
      <w:r>
        <w:rPr>
          <w:rFonts w:ascii="Times New Roman" w:eastAsia="Times New Roman" w:hAnsi="Times New Roman" w:cs="Times New Roman"/>
          <w:sz w:val="24"/>
          <w:szCs w:val="24"/>
        </w:rPr>
        <w:t>n</w:t>
      </w:r>
      <w:r w:rsidRPr="00D74D38">
        <w:rPr>
          <w:rFonts w:ascii="Times New Roman" w:eastAsia="Times New Roman" w:hAnsi="Times New Roman" w:cs="Times New Roman"/>
          <w:sz w:val="24"/>
          <w:szCs w:val="24"/>
        </w:rPr>
        <w:t xml:space="preserve"> to collect </w:t>
      </w:r>
      <w:r w:rsidRPr="00D74D38">
        <w:rPr>
          <w:rFonts w:ascii="Times New Roman" w:eastAsia="Times New Roman" w:hAnsi="Times New Roman" w:cs="Times New Roman"/>
          <w:i/>
          <w:sz w:val="24"/>
          <w:szCs w:val="24"/>
        </w:rPr>
        <w:t xml:space="preserve">post-hoc </w:t>
      </w:r>
      <w:r w:rsidRPr="00D74D38">
        <w:rPr>
          <w:rFonts w:ascii="Times New Roman" w:eastAsia="Times New Roman" w:hAnsi="Times New Roman" w:cs="Times New Roman"/>
          <w:sz w:val="24"/>
          <w:szCs w:val="24"/>
        </w:rPr>
        <w:t>measures of motivation, opportunity</w:t>
      </w:r>
      <w:r w:rsidRPr="00D74D38">
        <w:rPr>
          <w:rFonts w:ascii="Times New Roman" w:eastAsia="Times New Roman" w:hAnsi="Times New Roman" w:cs="Times New Roman"/>
          <w:i/>
          <w:sz w:val="24"/>
          <w:szCs w:val="24"/>
        </w:rPr>
        <w:t xml:space="preserve">, </w:t>
      </w:r>
      <w:r w:rsidRPr="00D74D38">
        <w:rPr>
          <w:rFonts w:ascii="Times New Roman" w:eastAsia="Times New Roman" w:hAnsi="Times New Roman" w:cs="Times New Roman"/>
          <w:sz w:val="24"/>
          <w:szCs w:val="24"/>
        </w:rPr>
        <w:t>belief, and predictions through a new set of participants (100-250).</w:t>
      </w:r>
    </w:p>
    <w:p w14:paraId="0000005C" w14:textId="43AF2B89"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For each demand characteristics condition in each study, participants review key study details and report the extent to which they:</w:t>
      </w:r>
    </w:p>
    <w:p w14:paraId="0000005D" w14:textId="77777777" w:rsidR="00E541E5" w:rsidRPr="00D74D38" w:rsidRDefault="00000000">
      <w:pPr>
        <w:numPr>
          <w:ilvl w:val="0"/>
          <w:numId w:val="7"/>
        </w:numP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Would be motivated to provide hypothesis-consistent responses (-3 = Extremely motivated to adjust response to be inconsistent with the researchers' stated hypothesis; 3 = Extremely motivated to adjust response to be consistent with the researcher's stated hypothesis), </w:t>
      </w:r>
    </w:p>
    <w:p w14:paraId="0000005E" w14:textId="77777777" w:rsidR="00E541E5" w:rsidRPr="00D74D38" w:rsidRDefault="00000000">
      <w:pPr>
        <w:numPr>
          <w:ilvl w:val="0"/>
          <w:numId w:val="7"/>
        </w:numPr>
        <w:spacing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Would be able to adjust their responses on the outcome-of-interest (0 = “extremely incapable” to 4 = “extremely capable)</w:t>
      </w:r>
    </w:p>
    <w:p w14:paraId="0000005F" w14:textId="77777777" w:rsidR="00E541E5" w:rsidRPr="00D74D38" w:rsidRDefault="00000000">
      <w:pPr>
        <w:numPr>
          <w:ilvl w:val="0"/>
          <w:numId w:val="7"/>
        </w:numPr>
        <w:spacing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Would believe the experimenter’s hypothesis (-3 =”strong disbelief” to 3 = “strong belief”)</w:t>
      </w:r>
    </w:p>
    <w:p w14:paraId="00000060" w14:textId="77777777" w:rsidR="00E541E5" w:rsidRPr="00D74D38" w:rsidRDefault="00000000">
      <w:pPr>
        <w:numPr>
          <w:ilvl w:val="0"/>
          <w:numId w:val="7"/>
        </w:numPr>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Expect other participants to confirm the researcher’s hypothesis (-3 = “extremely likely to adjust responses to be inconsistent” to 3 = “extremely likely to adjust responses to be consistent”).</w:t>
      </w:r>
    </w:p>
    <w:p w14:paraId="00000061" w14:textId="65C69D85"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Participants </w:t>
      </w:r>
      <w:r w:rsidR="0044403F">
        <w:rPr>
          <w:rFonts w:ascii="Times New Roman" w:eastAsia="Times New Roman" w:hAnsi="Times New Roman" w:cs="Times New Roman"/>
          <w:sz w:val="24"/>
          <w:szCs w:val="24"/>
        </w:rPr>
        <w:t xml:space="preserve">are </w:t>
      </w:r>
      <w:r w:rsidRPr="00D74D38">
        <w:rPr>
          <w:rFonts w:ascii="Times New Roman" w:eastAsia="Times New Roman" w:hAnsi="Times New Roman" w:cs="Times New Roman"/>
          <w:sz w:val="24"/>
          <w:szCs w:val="24"/>
        </w:rPr>
        <w:t xml:space="preserve">randomly assigned to review 10 of these vignettes. After each vignette, they </w:t>
      </w:r>
      <w:r w:rsidR="0044403F">
        <w:rPr>
          <w:rFonts w:ascii="Times New Roman" w:eastAsia="Times New Roman" w:hAnsi="Times New Roman" w:cs="Times New Roman"/>
          <w:sz w:val="24"/>
          <w:szCs w:val="24"/>
        </w:rPr>
        <w:t xml:space="preserve">are </w:t>
      </w:r>
      <w:r w:rsidRPr="00D74D38">
        <w:rPr>
          <w:rFonts w:ascii="Times New Roman" w:eastAsia="Times New Roman" w:hAnsi="Times New Roman" w:cs="Times New Roman"/>
          <w:sz w:val="24"/>
          <w:szCs w:val="24"/>
        </w:rPr>
        <w:t>asked to identify the researcher’s stated hypothesis–and we plan to exclude ratings in cases where the correct hypothesis is not identified.</w:t>
      </w:r>
    </w:p>
    <w:p w14:paraId="00000062" w14:textId="77777777" w:rsidR="00E541E5" w:rsidRPr="00D74D38"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3225F333"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Of note, we will not include nil-hypothesis comparisons in our analyses because our coding strategy cannot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sidRPr="00D74D38">
        <w:rPr>
          <w:rFonts w:ascii="Times New Roman" w:eastAsia="Times New Roman" w:hAnsi="Times New Roman" w:cs="Times New Roman"/>
          <w:i/>
          <w:sz w:val="24"/>
          <w:szCs w:val="24"/>
        </w:rPr>
        <w:t>or</w:t>
      </w:r>
      <w:r w:rsidRPr="00D74D38">
        <w:rPr>
          <w:rFonts w:ascii="Times New Roman" w:eastAsia="Times New Roman" w:hAnsi="Times New Roman" w:cs="Times New Roman"/>
          <w:sz w:val="24"/>
          <w:szCs w:val="24"/>
        </w:rPr>
        <w:t xml:space="preserve"> decreasing their mood report. Thus, even if motivation does moderate the effects of demand characteristics, we would not expect a systematic pattern to emerge with our coding scheme. </w:t>
      </w:r>
    </w:p>
    <w:p w14:paraId="00000064" w14:textId="13EA1B15" w:rsidR="00E541E5"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For two of these vignettes (the positive- and nil-hypothesis conditions in Coles et al., 2022, Study 2), participants </w:t>
      </w:r>
      <w:r w:rsidR="00130B63">
        <w:rPr>
          <w:rFonts w:ascii="Times New Roman" w:eastAsia="Times New Roman" w:hAnsi="Times New Roman" w:cs="Times New Roman"/>
          <w:sz w:val="24"/>
          <w:szCs w:val="24"/>
        </w:rPr>
        <w:t xml:space="preserve">will complete </w:t>
      </w:r>
      <w:r w:rsidRPr="00D74D38">
        <w:rPr>
          <w:rFonts w:ascii="Times New Roman" w:eastAsia="Times New Roman" w:hAnsi="Times New Roman" w:cs="Times New Roman"/>
          <w:sz w:val="24"/>
          <w:szCs w:val="24"/>
        </w:rPr>
        <w:t xml:space="preserve">the actual study procedures. This means they will pose happy and neutral facial expressions across two blocks and subsequently self-report their emotional experience. These data will allow us to examine–in an exploratory manner–the extent </w:t>
      </w:r>
      <w:r w:rsidRPr="00D74D38">
        <w:rPr>
          <w:rFonts w:ascii="Times New Roman" w:eastAsia="Times New Roman" w:hAnsi="Times New Roman" w:cs="Times New Roman"/>
          <w:sz w:val="24"/>
          <w:szCs w:val="24"/>
        </w:rPr>
        <w:lastRenderedPageBreak/>
        <w:t xml:space="preserve">to which hypothetical ratings match participants’ actual responses in an experiment with explicit demand characteristics. </w:t>
      </w:r>
    </w:p>
    <w:p w14:paraId="457655B1" w14:textId="6D2BB06B" w:rsidR="00D74D38" w:rsidRPr="00D74D38" w:rsidRDefault="00D74D38">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05/29/2024, we developed plans to collect more </w:t>
      </w:r>
      <w:r w:rsidR="0044403F">
        <w:rPr>
          <w:rFonts w:ascii="Times New Roman" w:eastAsia="Times New Roman" w:hAnsi="Times New Roman" w:cs="Times New Roman"/>
          <w:sz w:val="24"/>
          <w:szCs w:val="24"/>
        </w:rPr>
        <w:t xml:space="preserve">vignette ratings </w:t>
      </w:r>
      <w:r>
        <w:rPr>
          <w:rFonts w:ascii="Times New Roman" w:eastAsia="Times New Roman" w:hAnsi="Times New Roman" w:cs="Times New Roman"/>
          <w:sz w:val="24"/>
          <w:szCs w:val="24"/>
        </w:rPr>
        <w:t>after a reviewer pointed out that the measures may be unreliable (thus necessitating more data to converge on accurate point estimates).</w:t>
      </w:r>
      <w:r w:rsidR="0044403F">
        <w:rPr>
          <w:rFonts w:ascii="Times New Roman" w:eastAsia="Times New Roman" w:hAnsi="Times New Roman" w:cs="Times New Roman"/>
          <w:sz w:val="24"/>
          <w:szCs w:val="24"/>
        </w:rPr>
        <w:t xml:space="preserve"> For sample size planning, we estimated how many observations would be needed to decrease the length of the confidence intervals to 1 for each of the 4 measures described above. We did so using the presize R package and point estimates of the M and SD of the four measures.</w:t>
      </w:r>
      <w:r w:rsidR="00130B63">
        <w:rPr>
          <w:rFonts w:ascii="Times New Roman" w:eastAsia="Times New Roman" w:hAnsi="Times New Roman" w:cs="Times New Roman"/>
          <w:sz w:val="24"/>
          <w:szCs w:val="24"/>
        </w:rPr>
        <w:t xml:space="preserve"> For this follow-up data collection, participants will only review the vignettes (not also complete the procedures in Coles et al., 2022).</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We originally planned to analyze our data using meta-analysis with robust variance estimates, but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9" w14:textId="195922FE" w:rsidR="00E541E5" w:rsidRPr="00D74D38" w:rsidRDefault="00000000" w:rsidP="00D74D38">
      <w:pPr>
        <w:spacing w:before="200"/>
        <w:rPr>
          <w:rFonts w:ascii="Times New Roman" w:eastAsia="Times New Roman" w:hAnsi="Times New Roman" w:cs="Times New Roman"/>
          <w:strike/>
          <w:sz w:val="24"/>
          <w:szCs w:val="24"/>
        </w:rPr>
      </w:pPr>
      <w:r w:rsidRPr="00D74D38">
        <w:rPr>
          <w:rFonts w:ascii="Times New Roman" w:eastAsia="Times New Roman" w:hAnsi="Times New Roman" w:cs="Times New Roman"/>
          <w:sz w:val="24"/>
          <w:szCs w:val="24"/>
        </w:rPr>
        <w:t>For overall effect size estimates and subgroup analyses (i.e., analyses split by potential moderators), we plan to use random three-level meta-analysis</w:t>
      </w:r>
      <w:r w:rsidR="00D74D38" w:rsidRPr="00D74D38">
        <w:rPr>
          <w:rFonts w:ascii="Times New Roman" w:eastAsia="Times New Roman" w:hAnsi="Times New Roman" w:cs="Times New Roman"/>
          <w:sz w:val="24"/>
          <w:szCs w:val="24"/>
        </w:rPr>
        <w:t xml:space="preserve">. </w:t>
      </w:r>
      <w:r w:rsidRPr="00D74D38">
        <w:rPr>
          <w:rFonts w:ascii="Times New Roman" w:eastAsia="Times New Roman" w:hAnsi="Times New Roman" w:cs="Times New Roman"/>
          <w:sz w:val="24"/>
          <w:szCs w:val="24"/>
        </w:rPr>
        <w:t>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A" w14:textId="77777777" w:rsidR="00E541E5" w:rsidRPr="00D74D38" w:rsidRDefault="00000000">
      <w:pP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To calculate Cohen’s </w:t>
      </w:r>
      <w:r w:rsidRPr="00D74D38">
        <w:rPr>
          <w:rFonts w:ascii="Times New Roman" w:eastAsia="Times New Roman" w:hAnsi="Times New Roman" w:cs="Times New Roman"/>
          <w:i/>
          <w:sz w:val="24"/>
          <w:szCs w:val="24"/>
        </w:rPr>
        <w:t>d</w:t>
      </w:r>
      <w:r w:rsidRPr="00D74D38">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.50. Nonetheless, for our </w:t>
      </w:r>
      <w:r w:rsidRPr="00D74D38">
        <w:rPr>
          <w:rFonts w:ascii="Times New Roman" w:eastAsia="Times New Roman" w:hAnsi="Times New Roman" w:cs="Times New Roman"/>
          <w:i/>
          <w:sz w:val="24"/>
          <w:szCs w:val="24"/>
        </w:rPr>
        <w:t>overall effect size analysis,</w:t>
      </w:r>
      <w:r w:rsidRPr="00D74D38">
        <w:rPr>
          <w:rFonts w:ascii="Times New Roman" w:eastAsia="Times New Roman" w:hAnsi="Times New Roman" w:cs="Times New Roman"/>
          <w:sz w:val="24"/>
          <w:szCs w:val="24"/>
        </w:rPr>
        <w:t xml:space="preserve"> we will perform sensitivity analyses that test the following values: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Stanley and Doucouliagos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Pr="00D74D38"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To handle dependencies for the three-parameter selection modeling, we used aggregated dependent effect sizes (using the Borenstein, 2009 approach). The default assumed correlation between dependent effect sizes in the Borenstein (2009) aggregation method is .50. We will use </w:t>
      </w:r>
      <w:r w:rsidRPr="00D74D38">
        <w:rPr>
          <w:rFonts w:ascii="Times New Roman" w:eastAsia="Times New Roman" w:hAnsi="Times New Roman" w:cs="Times New Roman"/>
          <w:sz w:val="24"/>
          <w:szCs w:val="24"/>
        </w:rPr>
        <w:lastRenderedPageBreak/>
        <w:t xml:space="preserve">this default value to inform our conclusion, but re-run the analyses with the following values: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Inference criteria</w:t>
      </w:r>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1E0A2" w14:textId="77777777" w:rsidR="009E366A" w:rsidRDefault="009E366A">
      <w:pPr>
        <w:spacing w:after="0" w:line="240" w:lineRule="auto"/>
      </w:pPr>
      <w:r>
        <w:separator/>
      </w:r>
    </w:p>
  </w:endnote>
  <w:endnote w:type="continuationSeparator" w:id="0">
    <w:p w14:paraId="30F0BCE8" w14:textId="77777777" w:rsidR="009E366A" w:rsidRDefault="009E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24C90" w14:textId="77777777" w:rsidR="009E366A" w:rsidRDefault="009E366A">
      <w:pPr>
        <w:spacing w:after="0" w:line="240" w:lineRule="auto"/>
      </w:pPr>
      <w:r>
        <w:separator/>
      </w:r>
    </w:p>
  </w:footnote>
  <w:footnote w:type="continuationSeparator" w:id="0">
    <w:p w14:paraId="0F088E1D" w14:textId="77777777" w:rsidR="009E366A" w:rsidRDefault="009E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042162"/>
    <w:rsid w:val="00130B63"/>
    <w:rsid w:val="0017759D"/>
    <w:rsid w:val="00205668"/>
    <w:rsid w:val="00344E2E"/>
    <w:rsid w:val="004139D7"/>
    <w:rsid w:val="0044403F"/>
    <w:rsid w:val="004F1F03"/>
    <w:rsid w:val="005745E1"/>
    <w:rsid w:val="00580D56"/>
    <w:rsid w:val="0058509A"/>
    <w:rsid w:val="006265C5"/>
    <w:rsid w:val="006B5EA0"/>
    <w:rsid w:val="007334AD"/>
    <w:rsid w:val="007A58BE"/>
    <w:rsid w:val="007F3228"/>
    <w:rsid w:val="00923644"/>
    <w:rsid w:val="009E366A"/>
    <w:rsid w:val="00D74D38"/>
    <w:rsid w:val="00E24C9C"/>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10</cp:revision>
  <dcterms:created xsi:type="dcterms:W3CDTF">2024-01-19T16:36:00Z</dcterms:created>
  <dcterms:modified xsi:type="dcterms:W3CDTF">2024-05-29T22:15:00Z</dcterms:modified>
</cp:coreProperties>
</file>