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xml:space="preserve">. It would seem prudent to revise the title, abstract, and general discussion to </w:t>
      </w:r>
      <w:proofErr w:type="gramStart"/>
      <w:r w:rsidRPr="00E10054">
        <w:t>more accurately characterize this scope</w:t>
      </w:r>
      <w:proofErr w:type="gramEnd"/>
      <w:r w:rsidRPr="00E10054">
        <w:t>.</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53831AC1" w14:textId="0E653E10" w:rsidR="00E10054" w:rsidRDefault="00074E7B" w:rsidP="00E10054">
            <w:r>
              <w:t xml:space="preserve">Updated title to: </w:t>
            </w:r>
            <w:r w:rsidR="00E10054">
              <w:t xml:space="preserve">What </w:t>
            </w:r>
            <w:proofErr w:type="gramStart"/>
            <w:r w:rsidR="00E10054">
              <w:t>have</w:t>
            </w:r>
            <w:proofErr w:type="gramEnd"/>
            <w:r w:rsidR="00E10054">
              <w:t xml:space="preserve"> we learned about demand characteristics? A meta-analytic review of experimental manipulation of explicit hypothesis cues</w:t>
            </w:r>
          </w:p>
          <w:p w14:paraId="7A90B6EF" w14:textId="77777777" w:rsidR="00074E7B" w:rsidRDefault="00074E7B" w:rsidP="00E10054"/>
          <w:p w14:paraId="13969648" w14:textId="142D18CA" w:rsidR="00074E7B" w:rsidRDefault="00074E7B" w:rsidP="00E10054">
            <w:r>
              <w:t>Will update language throughout.</w:t>
            </w:r>
          </w:p>
          <w:p w14:paraId="063ECCA5" w14:textId="75F933D6" w:rsidR="00E10054" w:rsidRDefault="00E10054" w:rsidP="00E10054"/>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6FB02A05" w14:textId="1A82D763" w:rsidR="00300573" w:rsidRDefault="00300573" w:rsidP="001021F5">
            <w:r>
              <w:t>Working on this. Seems we might just drop the figure and describe them all simultaneously.</w:t>
            </w:r>
          </w:p>
          <w:p w14:paraId="5448F2A9" w14:textId="77777777" w:rsidR="00300573" w:rsidRDefault="00300573" w:rsidP="001021F5"/>
        </w:tc>
      </w:tr>
    </w:tbl>
    <w:p w14:paraId="28FF6D73" w14:textId="77777777" w:rsidR="00300573" w:rsidRPr="00E10054" w:rsidRDefault="00300573" w:rsidP="00E10054"/>
    <w:p w14:paraId="4BF5EB24" w14:textId="77777777" w:rsidR="00E10054" w:rsidRDefault="00E10054" w:rsidP="00E10054">
      <w:r w:rsidRPr="00E10054">
        <w:t>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34F48750" w14:textId="2F825F22" w:rsidR="00300573" w:rsidRDefault="00300573" w:rsidP="001021F5">
            <w:proofErr w:type="gramStart"/>
            <w:r>
              <w:t xml:space="preserve">Working </w:t>
            </w:r>
            <w:r>
              <w:t xml:space="preserve"> through</w:t>
            </w:r>
            <w:proofErr w:type="gramEnd"/>
            <w:r>
              <w:t xml:space="preserve"> their feedback.</w:t>
            </w:r>
          </w:p>
          <w:p w14:paraId="0827546F" w14:textId="77777777" w:rsidR="00300573" w:rsidRDefault="00300573" w:rsidP="001021F5"/>
          <w:p w14:paraId="6CD4ADF1" w14:textId="6AB40929" w:rsidR="00300573" w:rsidRDefault="00300573" w:rsidP="001021F5">
            <w:r>
              <w:t>PRISMA flowchart is in-progress.</w:t>
            </w:r>
            <w:r>
              <w:br/>
            </w:r>
            <w:r>
              <w:br/>
              <w:t>Morgan is screening new articles.</w:t>
            </w:r>
          </w:p>
          <w:p w14:paraId="23F7CF52" w14:textId="77777777" w:rsidR="00300573" w:rsidRDefault="00300573" w:rsidP="001021F5"/>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238C0CBE" w14:textId="146FECC3" w:rsidR="00300573" w:rsidRDefault="00300573" w:rsidP="00300573">
            <w:r w:rsidRPr="00300573">
              <w:rPr>
                <w:highlight w:val="yellow"/>
              </w:rPr>
              <w:lastRenderedPageBreak/>
              <w:t>Next step: Run a follow-up study</w:t>
            </w:r>
          </w:p>
        </w:tc>
      </w:tr>
    </w:tbl>
    <w:p w14:paraId="1A8992B6" w14:textId="77777777" w:rsidR="00300573" w:rsidRPr="00E10054" w:rsidRDefault="00300573" w:rsidP="00E10054"/>
    <w:p w14:paraId="2CE11A52" w14:textId="77777777" w:rsidR="00E10054" w:rsidRDefault="00E10054" w:rsidP="00E10054">
      <w:r w:rsidRPr="00E10054">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17C97109" w14:textId="7AB77483" w:rsidR="00300573" w:rsidRDefault="00300573" w:rsidP="001021F5">
            <w:r w:rsidRPr="00300573">
              <w:rPr>
                <w:highlight w:val="yellow"/>
              </w:rPr>
              <w:t>I guess we can do this?</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6B6112E5" w:rsidR="00300573" w:rsidRDefault="00300573" w:rsidP="001021F5">
            <w:r w:rsidRPr="00300573">
              <w:rPr>
                <w:highlight w:val="yellow"/>
              </w:rPr>
              <w:t>Will do this once Morgan is done w/ screening.</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How do the studies look? When were they conducted and where? With what populations? How do they look in terms of descriptive and moderator variables?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w:t>
      </w:r>
      <w:proofErr w:type="gramStart"/>
      <w:r w:rsidRPr="00E10054">
        <w:t>up</w:t>
      </w:r>
      <w:proofErr w:type="gramEnd"/>
      <w:r w:rsidRPr="00E10054">
        <w:t xml:space="preserve"> serious issues, such as confounds of important moderators with each other or with descriptive variables, although at present that is difficult to ascertain. Constructing a summary might mean that you ought to do additional moderator testing (e.g., if you see that there is a </w:t>
      </w:r>
      <w:proofErr w:type="gramStart"/>
      <w:r w:rsidRPr="00E10054">
        <w:t>confound</w:t>
      </w:r>
      <w:proofErr w:type="gramEnd"/>
      <w:r w:rsidRPr="00E10054">
        <w:t xml:space="preserve">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w:t>
        </w:r>
        <w:r w:rsidRPr="00E10054">
          <w:rPr>
            <w:rStyle w:val="Hyperlink"/>
          </w:rPr>
          <w:t>o</w:t>
        </w:r>
        <w:r w:rsidRPr="00E10054">
          <w:rPr>
            <w:rStyle w:val="Hyperlink"/>
          </w:rPr>
          <w:t>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15B5807D" w14:textId="10DED4CA" w:rsidR="007F2723" w:rsidRDefault="00032721" w:rsidP="001021F5">
            <w:r>
              <w:t>I have a table draft, but it’s not done.</w:t>
            </w:r>
          </w:p>
        </w:tc>
      </w:tr>
    </w:tbl>
    <w:p w14:paraId="6CDA81E1" w14:textId="77777777" w:rsidR="00300573" w:rsidRPr="00E10054" w:rsidRDefault="00300573" w:rsidP="00E10054"/>
    <w:p w14:paraId="6972F0EF" w14:textId="77777777" w:rsidR="00E10054" w:rsidRPr="00E10054" w:rsidRDefault="00E10054" w:rsidP="00E10054">
      <w:r w:rsidRPr="00E10054">
        <w:t xml:space="preserve">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w:t>
      </w:r>
      <w:r w:rsidRPr="00E10054">
        <w:lastRenderedPageBreak/>
        <w:t>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15CEC90F" w14:textId="2ECDE277" w:rsidR="00032721" w:rsidRDefault="00032721" w:rsidP="001021F5">
            <w:r>
              <w:t>Seems we may have to drop it, but I did add it to the study list for now.</w:t>
            </w:r>
          </w:p>
        </w:tc>
      </w:tr>
    </w:tbl>
    <w:p w14:paraId="74E32B2C" w14:textId="77777777" w:rsidR="00E10054" w:rsidRDefault="00E10054">
      <w:pPr>
        <w:rPr>
          <w:b/>
          <w:bCs/>
        </w:rPr>
      </w:pPr>
      <w:r>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6C380F2B" w:rsidR="00CF55A3" w:rsidRDefault="00032721" w:rsidP="00CF55A3">
            <w:r>
              <w:t>Thank you.</w:t>
            </w:r>
          </w:p>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51BB1B9C" w14:textId="7563F192" w:rsidR="00343C44" w:rsidRPr="008F20DD" w:rsidRDefault="00032721" w:rsidP="003B5923">
            <w:r>
              <w:t>Done.</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046A76EF" w:rsidR="008F20DD" w:rsidRPr="008F20DD" w:rsidRDefault="00032721" w:rsidP="003B5923">
            <w:r>
              <w:t>Done.</w:t>
            </w:r>
          </w:p>
        </w:tc>
      </w:tr>
    </w:tbl>
    <w:p w14:paraId="2E14DD46" w14:textId="77777777" w:rsidR="008F20DD" w:rsidRDefault="008F20DD" w:rsidP="00CF55A3"/>
    <w:p w14:paraId="454E566E" w14:textId="4B819C3F" w:rsidR="008F20DD" w:rsidRDefault="008F20DD" w:rsidP="00CF55A3">
      <w:r w:rsidRPr="00B71D7A">
        <w:rPr>
          <w:highlight w:val="yellow"/>
        </w:rPr>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 xml:space="preserve">Effect sizes were transformed into a common metric, using </w:t>
            </w:r>
            <w:proofErr w:type="spellStart"/>
            <w:r w:rsidR="008F20DD">
              <w:t>drm</w:t>
            </w:r>
            <w:proofErr w:type="spellEnd"/>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w:t>
            </w:r>
            <w:proofErr w:type="gramStart"/>
            <w:r w:rsidR="00B71D7A">
              <w:t>is</w:t>
            </w:r>
            <w:proofErr w:type="gramEnd"/>
            <w:r w:rsidR="00B71D7A">
              <w:t xml:space="preserve"> a slog. (I’ve read it before and am trying to convince myself to read it carefully again.) One thing I noticed while re-skimming is that they argue that people should better aim for commensurability by multiplying </w:t>
            </w:r>
            <w:proofErr w:type="spellStart"/>
            <w:r w:rsidR="00B71D7A">
              <w:t>drm</w:t>
            </w:r>
            <w:proofErr w:type="spellEnd"/>
            <w:r w:rsidR="00B71D7A">
              <w:t xml:space="preserve">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proofErr w:type="gramStart"/>
            <w:r>
              <w:t>That being said, Morris</w:t>
            </w:r>
            <w:proofErr w:type="gramEnd"/>
            <w:r>
              <w:t xml:space="preserve"> and DeShon point out that this could be decided on a conceptual level. If you think the designs are estimating fundamentally different effects, you shouldn’t combine. </w:t>
            </w:r>
            <w:r>
              <w:lastRenderedPageBreak/>
              <w:t>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t>
            </w:r>
            <w:proofErr w:type="gramStart"/>
            <w:r>
              <w:t>was</w:t>
            </w:r>
            <w:proofErr w:type="gramEnd"/>
            <w:r>
              <w:t xml:space="preserve">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361CAEDA" w:rsidR="00FC4D56" w:rsidRPr="008F20DD" w:rsidRDefault="00FC4D56" w:rsidP="003B5923">
            <w:r>
              <w:t xml:space="preserve">We can do this.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w:t>
      </w:r>
      <w:proofErr w:type="spellStart"/>
      <w:r w:rsidRPr="00FC4D56">
        <w:t>Lakens</w:t>
      </w:r>
      <w:proofErr w:type="spellEnd"/>
      <w:r w:rsidRPr="00FC4D56">
        <w:t xml:space="preserve">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77777777" w:rsidR="00FC4D56" w:rsidRDefault="00FC4D56" w:rsidP="003B5923">
            <w:r>
              <w:t>We can add this.</w:t>
            </w:r>
            <w:r>
              <w:br/>
            </w:r>
            <w:r>
              <w:br/>
              <w:t>There is no meta-analysis; all previous reviews were narrative.</w:t>
            </w:r>
          </w:p>
          <w:p w14:paraId="318954AF" w14:textId="77777777" w:rsidR="00FC4D56" w:rsidRDefault="00FC4D56" w:rsidP="003B5923"/>
          <w:p w14:paraId="24409F2A" w14:textId="69155F20" w:rsidR="00FC4D56" w:rsidRPr="008F20DD" w:rsidRDefault="00FC4D56" w:rsidP="003B5923">
            <w:r>
              <w:t xml:space="preserve">We documented deviations as we went, but we will have a lot more if we respond to these </w:t>
            </w:r>
            <w:proofErr w:type="spellStart"/>
            <w:r>
              <w:t>reviwer</w:t>
            </w:r>
            <w:proofErr w:type="spellEnd"/>
            <w:r>
              <w:t xml:space="preserve"> comments. </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0908DF52" w:rsidR="007A0E79" w:rsidRPr="008F20DD" w:rsidRDefault="007A0E79" w:rsidP="003B5923">
            <w:r>
              <w:t xml:space="preserve">That’s fine. </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w:t>
      </w:r>
      <w:r w:rsidRPr="00F208D2">
        <w:lastRenderedPageBreak/>
        <w:t xml:space="preserve">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proofErr w:type="gramStart"/>
            <w:r>
              <w:t>That being said, the</w:t>
            </w:r>
            <w:proofErr w:type="gramEnd"/>
            <w:r>
              <w:t xml:space="preserv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245DC34B" w:rsidR="000930EB" w:rsidRPr="008F20DD" w:rsidRDefault="000930EB" w:rsidP="003B5923">
            <w:r>
              <w:t>I’m fine with that.</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6AE602A0" w14:textId="2A01F35C" w:rsidR="000930EB" w:rsidRPr="008F20DD" w:rsidRDefault="000930EB" w:rsidP="003B5923">
            <w:r>
              <w:t xml:space="preserve">We could consider this, but I’m not sure how it would work for things like weight function modeling. Maybe we just add it </w:t>
            </w:r>
            <w:proofErr w:type="gramStart"/>
            <w:r>
              <w:t>as yet</w:t>
            </w:r>
            <w:proofErr w:type="gramEnd"/>
            <w:r>
              <w:t xml:space="preserve"> another approach.</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296FB9B5" w:rsidR="000930EB" w:rsidRDefault="000930EB" w:rsidP="00CF55A3">
            <w:r>
              <w:t>I think this is fine. I suspect using robust methods is going to lead us to not be able to conclude much.</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Default="000930EB" w:rsidP="003B5923">
            <w:r>
              <w:lastRenderedPageBreak/>
              <w:t xml:space="preserve">I’m not sure if we can address this. </w:t>
            </w:r>
            <w:proofErr w:type="gramStart"/>
            <w:r>
              <w:t>There’s</w:t>
            </w:r>
            <w:proofErr w:type="gramEnd"/>
            <w:r>
              <w:t xml:space="preserve">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 xml:space="preserve">We </w:t>
            </w:r>
            <w:proofErr w:type="gramStart"/>
            <w:r>
              <w:t>actually already</w:t>
            </w:r>
            <w:proofErr w:type="gramEnd"/>
            <w:r>
              <w:t xml:space="preserve">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t xml:space="preserve">I don’t agree with that interpretation. R and P’s discussion is nuanced, and we follow it </w:t>
            </w:r>
            <w:proofErr w:type="gramStart"/>
            <w:r>
              <w:t>pretty closely</w:t>
            </w:r>
            <w:proofErr w:type="gramEnd"/>
            <w:r>
              <w:t>.</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 xml:space="preserve">When testing for selective reporting, </w:t>
            </w:r>
            <w:proofErr w:type="spellStart"/>
            <w:r w:rsidRPr="00C70B8D">
              <w:t>prac</w:t>
            </w:r>
            <w:proofErr w:type="spellEnd"/>
            <w:r w:rsidRPr="00C70B8D">
              <w:t xml:space="preserve">- </w:t>
            </w:r>
            <w:proofErr w:type="spellStart"/>
            <w:r w:rsidRPr="00C70B8D">
              <w:t>titioners</w:t>
            </w:r>
            <w:proofErr w:type="spellEnd"/>
            <w:r w:rsidRPr="00C70B8D">
              <w:t xml:space="preserve"> should consider taking an exploratory approach by </w:t>
            </w:r>
            <w:r w:rsidRPr="00C70B8D">
              <w:lastRenderedPageBreak/>
              <w:t xml:space="preserve">report- </w:t>
            </w:r>
            <w:proofErr w:type="spellStart"/>
            <w:r w:rsidRPr="00C70B8D">
              <w:t>ing</w:t>
            </w:r>
            <w:proofErr w:type="spellEnd"/>
            <w:r w:rsidRPr="00C70B8D">
              <w:t xml:space="preserve">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 xml:space="preserve">We can try to do this. I’m just not sure if there is an R package for </w:t>
            </w:r>
            <w:proofErr w:type="gramStart"/>
            <w:r>
              <w:t>it</w:t>
            </w:r>
            <w:proofErr w:type="gramEnd"/>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 xml:space="preserve">We should try to address this, although blinding is </w:t>
            </w:r>
            <w:proofErr w:type="gramStart"/>
            <w:r>
              <w:t>pretty impossible</w:t>
            </w:r>
            <w:proofErr w:type="gramEnd"/>
            <w:r>
              <w:t xml:space="preserve"> these days. Just remove the embedded data from OSF and you’ll know who is </w:t>
            </w:r>
            <w:proofErr w:type="gramStart"/>
            <w:r>
              <w:t>who</w:t>
            </w:r>
            <w:proofErr w:type="gramEnd"/>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t xml:space="preserve">To be frank, I am very unsure if I understand the importance of this study. For me, this study represents too </w:t>
      </w:r>
      <w:proofErr w:type="gramStart"/>
      <w:r w:rsidRPr="007A2CDF">
        <w:rPr>
          <w:highlight w:val="yellow"/>
        </w:rPr>
        <w:t>indirect</w:t>
      </w:r>
      <w:proofErr w:type="gramEnd"/>
      <w:r w:rsidRPr="007A2CDF">
        <w:rPr>
          <w:highlight w:val="yellow"/>
        </w:rPr>
        <w:t xml:space="preserve"> evidence to be relevant. I admire the </w:t>
      </w:r>
      <w:proofErr w:type="gramStart"/>
      <w:r w:rsidRPr="007A2CDF">
        <w:rPr>
          <w:highlight w:val="yellow"/>
        </w:rPr>
        <w:t>creativity</w:t>
      </w:r>
      <w:proofErr w:type="gramEnd"/>
      <w:r w:rsidRPr="007A2CDF">
        <w:rPr>
          <w:highlight w:val="yellow"/>
        </w:rPr>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 xml:space="preserve">nk this is </w:t>
            </w:r>
            <w:proofErr w:type="gramStart"/>
            <w:r w:rsidR="002568DC">
              <w:t>actually a</w:t>
            </w:r>
            <w:proofErr w:type="gramEnd"/>
            <w:r w:rsidR="002568DC">
              <w:t xml:space="preserve"> case where a student sample is well justified: we want them to evaluate what a </w:t>
            </w:r>
            <w:proofErr w:type="gramStart"/>
            <w:r w:rsidR="002568DC">
              <w:t>primarily</w:t>
            </w:r>
            <w:proofErr w:type="gramEnd"/>
            <w:r w:rsidR="002568DC">
              <w:t xml:space="preserve">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w:t>
      </w:r>
      <w:r w:rsidRPr="002568DC">
        <w:lastRenderedPageBreak/>
        <w:t xml:space="preserve">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 xml:space="preserve">I’m </w:t>
            </w:r>
            <w:proofErr w:type="gramStart"/>
            <w:r>
              <w:t>definitely open</w:t>
            </w:r>
            <w:proofErr w:type="gramEnd"/>
            <w:r>
              <w:t xml:space="preserve">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77777777" w:rsidR="002568DC" w:rsidRDefault="002568DC" w:rsidP="003B5923">
            <w:r>
              <w:t xml:space="preserve">I’m </w:t>
            </w:r>
            <w:proofErr w:type="gramStart"/>
            <w:r>
              <w:t>definitely open</w:t>
            </w:r>
            <w:proofErr w:type="gramEnd"/>
            <w:r>
              <w:t xml:space="preserve"> to dropping these studies.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 xml:space="preserve">I’m not </w:t>
            </w:r>
            <w:proofErr w:type="gramStart"/>
            <w:r>
              <w:t>really sure</w:t>
            </w:r>
            <w:proofErr w:type="gramEnd"/>
            <w:r>
              <w:t xml:space="preserve"> what was going through my head at that time. My bet, though, is that I wanted to isolate a stronger demand effect so that we could better study moderators of the effect. </w:t>
            </w:r>
            <w:r>
              <w:lastRenderedPageBreak/>
              <w:t>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 xml:space="preserve">I think those concerns are more justified in this study. We could discuss those limitations </w:t>
            </w:r>
            <w:proofErr w:type="spellStart"/>
            <w:r>
              <w:t>futher</w:t>
            </w:r>
            <w:proofErr w:type="spellEnd"/>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w:t>
      </w:r>
      <w:proofErr w:type="gramStart"/>
      <w:r w:rsidRPr="00F165DA">
        <w:t>react</w:t>
      </w:r>
      <w:proofErr w:type="gramEnd"/>
      <w:r w:rsidRPr="00F165DA">
        <w:t xml:space="preserve">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 xml:space="preserve">That’s true. I </w:t>
            </w:r>
            <w:proofErr w:type="gramStart"/>
            <w:r>
              <w:t>actually considered</w:t>
            </w:r>
            <w:proofErr w:type="gramEnd"/>
            <w:r>
              <w:t xml:space="preserve">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 xml:space="preserve">It’s </w:t>
            </w:r>
            <w:proofErr w:type="gramStart"/>
            <w:r>
              <w:t>similar to</w:t>
            </w:r>
            <w:proofErr w:type="gramEnd"/>
            <w:r>
              <w:t xml:space="preserve">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 xml:space="preserve">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w:t>
      </w:r>
      <w:proofErr w:type="gramStart"/>
      <w:r w:rsidRPr="00F165DA">
        <w:t>faked</w:t>
      </w:r>
      <w:proofErr w:type="gramEnd"/>
      <w:r w:rsidRPr="00F165DA">
        <w:t xml:space="preserve">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 xml:space="preserve">One reason why it was sidestepped initially is that we very intentionally pre-registered this as a test of the motivation-opportunity model by </w:t>
            </w:r>
            <w:proofErr w:type="spellStart"/>
            <w:r>
              <w:t>Rosnow</w:t>
            </w:r>
            <w:proofErr w:type="spellEnd"/>
            <w:r>
              <w:t xml:space="preserve">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Controllability_a</w:t>
      </w:r>
      <w:proofErr w:type="spellEnd"/>
      <w:r w:rsidRPr="00F165DA">
        <w:t xml:space="preserve">: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w:t>
            </w:r>
            <w:proofErr w:type="gramStart"/>
            <w:r>
              <w:t>the hate</w:t>
            </w:r>
            <w:proofErr w:type="gramEnd"/>
            <w:r>
              <w:t xml:space="preserve">. But the IAT is clearly </w:t>
            </w:r>
            <w:r>
              <w:rPr>
                <w:i/>
                <w:iCs/>
              </w:rPr>
              <w:t>less</w:t>
            </w:r>
            <w:r>
              <w:t xml:space="preserve"> controllable than a self-report.</w:t>
            </w: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 xml:space="preserve">Yes, but it seems that a key part of phenomenological control is that participants are at first motivated but then somehow convince themselves that it was all </w:t>
            </w:r>
            <w:proofErr w:type="gramStart"/>
            <w:r>
              <w:t>involuntary?</w:t>
            </w:r>
            <w:proofErr w:type="gramEnd"/>
            <w:r>
              <w:t xml:space="preserve">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 xml:space="preserve">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w:t>
      </w:r>
      <w:proofErr w:type="gramStart"/>
      <w:r w:rsidR="00F165DA" w:rsidRPr="00F165DA">
        <w:t>a clarification</w:t>
      </w:r>
      <w:proofErr w:type="gramEnd"/>
      <w:r w:rsidR="00F165DA" w:rsidRPr="00F165DA">
        <w:t>.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 xml:space="preserve">This is a good point about the limitations of Study 2. We can’t describe the original studies precisely for two reasons (1) they’re not precisely described in the papers we meta-analyzed, and (2) we </w:t>
            </w:r>
            <w:proofErr w:type="gramStart"/>
            <w:r>
              <w:t>have to</w:t>
            </w:r>
            <w:proofErr w:type="gramEnd"/>
            <w:r>
              <w:t xml:space="preserve">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w:t>
            </w:r>
            <w:proofErr w:type="gramStart"/>
            <w:r>
              <w:t>actually focused</w:t>
            </w:r>
            <w:proofErr w:type="gramEnd"/>
            <w:r>
              <w:t xml:space="preserve"> on “relatively explicit” manipulations of demand characteristics. It didn’t have to be a </w:t>
            </w:r>
            <w:proofErr w:type="spellStart"/>
            <w:r>
              <w:t>reasearchers</w:t>
            </w:r>
            <w:proofErr w:type="spellEnd"/>
            <w:r>
              <w:t xml:space="preserve"> saying “I hypothesize X”; explicitly saying “I’m studying the benefits of X” was considered explicit enough.</w:t>
            </w:r>
          </w:p>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w:t>
      </w:r>
      <w:proofErr w:type="gramStart"/>
      <w:r w:rsidRPr="00F165DA">
        <w:t>a same</w:t>
      </w:r>
      <w:proofErr w:type="gramEnd"/>
      <w:r w:rsidRPr="00F165DA">
        <w:t xml:space="preserv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xml:space="preserve">) it cannot be concluded that there is no effect (a non-significant p value alone does not support claims that "motivation accounts" are contradicted). As another example, Study 2 is motivated by the claim that students show different results to workers, but the </w:t>
      </w:r>
      <w:proofErr w:type="gramStart"/>
      <w:r w:rsidRPr="00437FE7">
        <w:t>claimed</w:t>
      </w:r>
      <w:proofErr w:type="gramEnd"/>
      <w:r w:rsidRPr="00437FE7">
        <w:t xml:space="preserve">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 xml:space="preserve">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 xml:space="preserve">We never argued that </w:t>
            </w:r>
            <w:proofErr w:type="spellStart"/>
            <w:r>
              <w:t>Rosnow</w:t>
            </w:r>
            <w:proofErr w:type="spellEnd"/>
            <w:r>
              <w:t xml:space="preserve">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 xml:space="preserve">Problems with both theoretical motivation and statistical inference aside, the claim that "motivation accounts" are contradicted seems to imply the claim that motivation does not play an important role in demand characteristics. If this is indeed the </w:t>
      </w:r>
      <w:proofErr w:type="gramStart"/>
      <w:r w:rsidRPr="00437FE7">
        <w:t>authors'</w:t>
      </w:r>
      <w:proofErr w:type="gramEnd"/>
      <w:r w:rsidRPr="00437FE7">
        <w:t xml:space="preserve">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w:t>
      </w:r>
      <w:proofErr w:type="gramStart"/>
      <w:r w:rsidRPr="00437FE7">
        <w:t>authors</w:t>
      </w:r>
      <w:proofErr w:type="gramEnd"/>
      <w:r w:rsidRPr="00437FE7">
        <w:t xml:space="preserve">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D55FA"/>
    <w:rsid w:val="0010088D"/>
    <w:rsid w:val="00197A79"/>
    <w:rsid w:val="00213C0A"/>
    <w:rsid w:val="002568DC"/>
    <w:rsid w:val="002F18E9"/>
    <w:rsid w:val="00300573"/>
    <w:rsid w:val="003270CE"/>
    <w:rsid w:val="00343C44"/>
    <w:rsid w:val="00437FE7"/>
    <w:rsid w:val="004852AA"/>
    <w:rsid w:val="004D1873"/>
    <w:rsid w:val="00592FD8"/>
    <w:rsid w:val="00613EA5"/>
    <w:rsid w:val="00615B33"/>
    <w:rsid w:val="00681C9C"/>
    <w:rsid w:val="006D2351"/>
    <w:rsid w:val="007A0E79"/>
    <w:rsid w:val="007A2CDF"/>
    <w:rsid w:val="007F2723"/>
    <w:rsid w:val="008B44E5"/>
    <w:rsid w:val="008F20DD"/>
    <w:rsid w:val="0095400B"/>
    <w:rsid w:val="0097696B"/>
    <w:rsid w:val="00A544FA"/>
    <w:rsid w:val="00AB206A"/>
    <w:rsid w:val="00AF4F3C"/>
    <w:rsid w:val="00B41A23"/>
    <w:rsid w:val="00B71D7A"/>
    <w:rsid w:val="00BD2A1C"/>
    <w:rsid w:val="00BF5597"/>
    <w:rsid w:val="00C70B8D"/>
    <w:rsid w:val="00CF55A3"/>
    <w:rsid w:val="00E10054"/>
    <w:rsid w:val="00ED7D11"/>
    <w:rsid w:val="00F165DA"/>
    <w:rsid w:val="00F208D2"/>
    <w:rsid w:val="00F868BD"/>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17</Pages>
  <Words>6920</Words>
  <Characters>39446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17</cp:revision>
  <dcterms:created xsi:type="dcterms:W3CDTF">2024-04-05T17:55:00Z</dcterms:created>
  <dcterms:modified xsi:type="dcterms:W3CDTF">2024-04-25T00:52:00Z</dcterms:modified>
</cp:coreProperties>
</file>