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a new approach for estimating causal relationships. However, they add that the method can sometimes be thrown off by a</w:t>
      </w:r>
      <w:r>
        <w:t xml:space="preserve"> </w:t>
      </w:r>
      <w:r>
        <w:rPr>
          <w:iCs/>
          <w:i/>
        </w:rPr>
        <w:t xml:space="preserve">methodological artifact.</w:t>
      </w:r>
      <w:r>
        <w:t xml:space="preserve"> </w:t>
      </w:r>
      <w:r>
        <w:t xml:space="preserve">When 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 Imagine that, at this point, you become skeptical and ask the Colesologist,</w:t>
      </w:r>
      <w:r>
        <w:t xml:space="preserve"> </w:t>
      </w:r>
      <w:r>
        <w:t xml:space="preserve">“</w:t>
      </w:r>
      <w:r>
        <w:t xml:space="preserve">How does this methodological artifact work?</w:t>
      </w:r>
      <w:r>
        <w:t xml:space="preserve">”</w:t>
      </w:r>
      <w:r>
        <w:t xml:space="preserve"> </w:t>
      </w:r>
      <w:r>
        <w:t xml:space="preserve">And they respond that they don’t know—because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immediately controversial, with some researchers arguing that Orne’s claims about demand characteristics were vague and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truth: demand characteristics are a literal textbook methodological concern, but it is not clear when and how their effects emerge. The goal of the current paper, thus, is to use meta-analysis to take stock of what we know—and what we don’t know—about demand characteristics.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traditionally conceptualized the effects of demand characteristics on participants’ responses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even when participants have neither the motivation nor opportunity to adjust their responses. Preliminary evidence for this assertion comes from their 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before,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approach to coding motivation.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sample was student, non-student (e.g., MTurk), or mixed, (2) whether the study was conducted online or in-person, (3) whether the comparison involved one (e.g., positive-demand vs. control) or two demand conditions (e.g., positive-demand vs. negative-demand), (4) in the former, whether a positive-, nil-, or negative-demand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For estimating overall effects and testing moderators, we used random-effects meta-analysis with robust variance estimates</w:t>
      </w:r>
      <w:r>
        <w:t xml:space="preserve"> </w:t>
      </w:r>
      <w:r>
        <w:t xml:space="preserve">(Hedges, Tipton, &amp; Johnson, 2010)</w:t>
      </w:r>
      <w:r>
        <w:t xml:space="preserve">. We used random-effects because</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moderators create a distribution of true effects—as opposed to a single fixed-effect</w:t>
      </w:r>
      <w:r>
        <w:t xml:space="preserve"> </w:t>
      </w:r>
      <w:r>
        <w:t xml:space="preserve">(Hedges &amp; Vevea, 1998)</w:t>
      </w:r>
      <w:r>
        <w:t xml:space="preserve">.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w:t>
      </w:r>
      <w:r>
        <w:t xml:space="preserve"> </w:t>
      </w:r>
      <w:r>
        <w:t xml:space="preserve">(Tanner-Smith &amp; Tipton, 2014)</w:t>
      </w:r>
      <w:r>
        <w:t xml:space="preserve">.</w:t>
      </w:r>
    </w:p>
    <w:p>
      <w:pPr>
        <w:pStyle w:val="Textkrper"/>
      </w:pPr>
      <w:r>
        <w:t xml:space="preserve">To estimate the overall effect size, we fit an intercept-only model. The intercept of this model can be interpreted as the precision-weighted overall effect size, adjusted for effect size dependencies. For moderator analyses, continuous and dummy-coded categorical moderators were separately entered into the meta-regression model. For categorical moderators, we used the models to additionally estimate subrgroup overall effect sizes.</w:t>
      </w:r>
    </w:p>
    <w:bookmarkStart w:id="44" w:name="publication-bias-analyses"/>
    <w:p>
      <w:pPr>
        <w:pStyle w:val="berschrift3"/>
      </w:pPr>
      <w:r>
        <w:t xml:space="preserve">Publication bias analyses.</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We then used precision effect tests</w:t>
      </w:r>
      <w:r>
        <w:t xml:space="preserve"> </w:t>
      </w:r>
      <w:r>
        <w:t xml:space="preserve">(i.e., PET-PEESE, Stanley &amp; Doucouliagos, 2014)</w:t>
      </w:r>
      <w:r>
        <w:t xml:space="preserve"> </w:t>
      </w:r>
      <w:r>
        <w:t xml:space="preserve">and weight-function modeling</w:t>
      </w:r>
      <w:r>
        <w:t xml:space="preserve"> </w:t>
      </w:r>
      <w:r>
        <w:t xml:space="preserve">(Vevea &amp; Hedges, 1995)</w:t>
      </w:r>
      <w:r>
        <w:t xml:space="preserve"> </w:t>
      </w:r>
      <w:r>
        <w:t xml:space="preserve">to test for the presence of publication bias and estimate the bias-corrected overall effect size. As a further sensitivity analysis, we used an approach by</w:t>
      </w:r>
      <w:r>
        <w:t xml:space="preserve"> </w:t>
      </w:r>
      <w:r>
        <w:t xml:space="preserve">Mathur and VanderWeele (2020)</w:t>
      </w:r>
      <w:r>
        <w:t xml:space="preserve"> </w:t>
      </w:r>
      <w:r>
        <w:t xml:space="preserve">to estimate the maximal publication bias required to shift the observed overall effect size estimate to zero.</w:t>
      </w:r>
    </w:p>
    <w:bookmarkEnd w:id="44"/>
    <w:bookmarkEnd w:id="45"/>
    <w:bookmarkEnd w:id="46"/>
    <w:bookmarkStart w:id="53"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z</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That being said, the observed effects of demand characteristics were highly heterogeneous. The between-study (</w:t>
      </w:r>
      <m:oMath>
        <m:r>
          <m:t>τ</m:t>
        </m:r>
      </m:oMath>
      <w:r>
        <w:t xml:space="preserve"> </w:t>
      </w:r>
      <w:r>
        <w:t xml:space="preserve">= 0.30) and within-study (</w:t>
      </w:r>
      <m:oMath>
        <m:r>
          <m:t>σ</m:t>
        </m:r>
      </m:oMath>
      <w:r>
        <w:t xml:space="preserve"> </w:t>
      </w:r>
      <w:r>
        <w:t xml:space="preserve">= 0.20) standard deviation of effects was approximately the same size of the overall effect. This suggests the presence of moderators.</w:t>
      </w:r>
    </w:p>
    <w:bookmarkStart w:id="50"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p>
      <w:pPr>
        <w:pStyle w:val="Textkrper"/>
      </w:pPr>
      <w:r>
        <w:t xml:space="preserve">Mock text: The effects of demand characteristics were larger in studies where participants indicated they would be motivated to confirm the hypothesis, B = XX, F(df) = XX, p = XX, R2.</w:t>
      </w:r>
    </w:p>
    <w:p>
      <w:pPr>
        <w:pStyle w:val="Textkrper"/>
      </w:pPr>
      <w:r>
        <w:t xml:space="preserve">Figure idea: Different scatterplot panels for each moderator; ES on y-axis; moderator on x axis; jittered observations; linear trend line with CI</w:t>
      </w:r>
    </w:p>
    <w:bookmarkEnd w:id="47"/>
    <w:bookmarkStart w:id="48" w:name="rater-forecasts"/>
    <w:p>
      <w:pPr>
        <w:pStyle w:val="berschrift4"/>
      </w:pPr>
      <w:r>
        <w:t xml:space="preserve">Rater forecasts.</w:t>
      </w:r>
    </w:p>
    <w:p>
      <w:pPr>
        <w:pStyle w:val="FirstParagraph"/>
      </w:pPr>
      <w:r>
        <w:t xml:space="preserve">Run this without the z demand comparisons</w:t>
      </w:r>
    </w:p>
    <w:p>
      <w:pPr>
        <w:pStyle w:val="Textkrper"/>
      </w:pPr>
      <w:r>
        <w:t xml:space="preserve">Mock text: The effects of demand characteristics were larger in studies where participants predicted that other would change their responses to confirm the hypothesis, B = XX, F(df) = XX, p = XX. However, overall accuracy was low, explaining R2 proportion of the observed heterogeneity.</w:t>
      </w:r>
    </w:p>
    <w:p>
      <w:pPr>
        <w:pStyle w:val="Textkrper"/>
      </w:pPr>
      <w:r>
        <w:t xml:space="preserve">Figure idea: Same scatterplot panel.</w:t>
      </w:r>
    </w:p>
    <w:bookmarkEnd w:id="48"/>
    <w:bookmarkStart w:id="49"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explore whether participants respond more strongly to positive-, nil-, or negative-demand characteristics. Results did not indicate that they do,</w:t>
      </w:r>
      <w:r>
        <w:t xml:space="preserve"> </w:t>
      </w:r>
      <m:oMath>
        <m:r>
          <m:t>F</m:t>
        </m:r>
      </m:oMath>
      <w:r>
        <w:t xml:space="preserve">(4, 190) = 6.74,</w:t>
      </w:r>
      <w:r>
        <w:t xml:space="preserve"> </w:t>
      </w:r>
      <m:oMath>
        <m:r>
          <m:t>p</m:t>
        </m:r>
      </m:oMath>
      <w:r>
        <w:t xml:space="preserve"> </w:t>
      </w:r>
      <w:r>
        <w:t xml:space="preserve">= &lt; .001. In both the positive- (</w:t>
      </w:r>
      <m:oMath>
        <m:r>
          <m:t>d</m:t>
        </m:r>
      </m:oMath>
      <w:r>
        <w:t xml:space="preserve"> </w:t>
      </w:r>
      <w:r>
        <w:t xml:space="preserve">= 0.14, 95% CI [0.02, 0.27],</w:t>
      </w:r>
      <w:r>
        <w:t xml:space="preserve"> </w:t>
      </w:r>
      <m:oMath>
        <m:r>
          <m:t>p</m:t>
        </m:r>
      </m:oMath>
      <w:r>
        <w:t xml:space="preserve"> </w:t>
      </w:r>
      <w:r>
        <w:t xml:space="preserve">= .026), nil- (</w:t>
      </w:r>
      <m:oMath>
        <m:r>
          <m:t>d</m:t>
        </m:r>
      </m:oMath>
      <w:r>
        <w:t xml:space="preserve"> </w:t>
      </w:r>
      <w:r>
        <w:t xml:space="preserve">= 0.33, 95% CI [0.14, 0.52],</w:t>
      </w:r>
      <w:r>
        <w:t xml:space="preserve"> </w:t>
      </w:r>
      <m:oMath>
        <m:r>
          <m:t>p</m:t>
        </m:r>
      </m:oMath>
      <w:r>
        <w:t xml:space="preserve"> </w:t>
      </w:r>
      <w:r>
        <w:t xml:space="preserve">.001), and negative-demand conditions (</w:t>
      </w:r>
      <m:oMath>
        <m:r>
          <m:t>d</m:t>
        </m:r>
      </m:oMath>
      <w:r>
        <w:t xml:space="preserve"> </w:t>
      </w:r>
      <w:r>
        <w:t xml:space="preserve">= 0.14, 95% CI [-0.02, 0.30],</w:t>
      </w:r>
      <w:r>
        <w:t xml:space="preserve"> </w:t>
      </w:r>
      <m:oMath>
        <m:r>
          <m:t>p</m:t>
        </m:r>
      </m:oMath>
      <w:r>
        <w:t xml:space="preserve"> </w:t>
      </w:r>
      <w:r>
        <w:t xml:space="preserve">.095), demand characteristics produced a medium-to-large shift in participants’ responses.</w:t>
      </w:r>
    </w:p>
    <w:p>
      <w:pPr>
        <w:pStyle w:val="Textkrper"/>
      </w:pPr>
      <w:r>
        <w:t xml:space="preserve">We did not find that the effects of demand characteristics were moderated by whether the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49"/>
    <w:bookmarkEnd w:id="50"/>
    <w:bookmarkStart w:id="51" w:name="forecasts"/>
    <w:p>
      <w:pPr>
        <w:pStyle w:val="berschrift3"/>
      </w:pPr>
      <w:r>
        <w:t xml:space="preserve">Forecasts.</w:t>
      </w:r>
    </w:p>
    <w:bookmarkEnd w:id="51"/>
    <w:bookmarkStart w:id="52" w:name="publication-bias-analyses-1"/>
    <w:p>
      <w:pPr>
        <w:pStyle w:val="berschrift3"/>
      </w:pPr>
      <w:r>
        <w:t xml:space="preserve">Publication bias analyses.</w:t>
      </w:r>
    </w:p>
    <w:p>
      <w:pPr>
        <w:pStyle w:val="FirstParagraph"/>
      </w:pPr>
      <w:r>
        <w:t xml:space="preserve">Performed publication bias analyses for our overall effect.</w:t>
      </w:r>
    </w:p>
    <w:p>
      <w:pPr>
        <w:pStyle w:val="Textkrper"/>
      </w:pPr>
      <w:r>
        <w:t xml:space="preserve">Started with a graphical diagnostic: an examination of the funnel plot</w:t>
      </w:r>
    </w:p>
    <w:p>
      <w:pPr>
        <w:pStyle w:val="Textkrper"/>
      </w:pPr>
      <w:r>
        <w:t xml:space="preserve">We did not find evidence of different effects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bookmarkEnd w:id="52"/>
    <w:bookmarkEnd w:id="53"/>
    <w:bookmarkStart w:id="54" w:name="discussion"/>
    <w:p>
      <w:pPr>
        <w:pStyle w:val="berschrift1"/>
      </w:pPr>
      <w:r>
        <w:t xml:space="preserve">Discussion</w:t>
      </w:r>
    </w:p>
    <w:bookmarkEnd w:id="54"/>
    <w:bookmarkStart w:id="55"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5"/>
    <w:bookmarkStart w:id="56" w:name="to-do"/>
    <w:p>
      <w:pPr>
        <w:pStyle w:val="berschrift1"/>
      </w:pPr>
      <w:r>
        <w:t xml:space="preserve">To-do</w:t>
      </w:r>
    </w:p>
    <w:p>
      <w:pPr>
        <w:pStyle w:val="FirstParagraph"/>
      </w:pPr>
      <w:r>
        <w:t xml:space="preserve">[] Add moderator analyses</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bookmarkEnd w:id="56"/>
    <w:bookmarkStart w:id="93" w:name="references"/>
    <w:p>
      <w:pPr>
        <w:pStyle w:val="berschrift1"/>
      </w:pPr>
      <w:r>
        <w:t xml:space="preserve">References</w:t>
      </w:r>
    </w:p>
    <w:bookmarkStart w:id="92" w:name="refs"/>
    <w:bookmarkStart w:id="57"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7"/>
    <w:bookmarkStart w:id="58"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58"/>
    <w:bookmarkStart w:id="59"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59"/>
    <w:bookmarkStart w:id="60"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0"/>
    <w:bookmarkStart w:id="61"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1"/>
    <w:bookmarkStart w:id="62"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2"/>
    <w:bookmarkStart w:id="63"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3"/>
    <w:bookmarkStart w:id="64"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4"/>
    <w:bookmarkStart w:id="65"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5"/>
    <w:bookmarkStart w:id="66"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6"/>
    <w:bookmarkStart w:id="67" w:name="ref-hedges2010robust"/>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p>
    <w:bookmarkEnd w:id="67"/>
    <w:bookmarkStart w:id="68" w:name="ref-hedges1998fixed"/>
    <w:p>
      <w:pPr>
        <w:pStyle w:val="Literaturverzeichnis"/>
      </w:pPr>
      <w:r>
        <w:t xml:space="preserve">Hedges, L. V., &amp; Vevea, J. L. (1998). Fixed-and random-effects models in meta-analysis.</w:t>
      </w:r>
      <w:r>
        <w:t xml:space="preserve"> </w:t>
      </w:r>
      <w:r>
        <w:rPr>
          <w:iCs/>
          <w:i/>
        </w:rPr>
        <w:t xml:space="preserve">Psychological Methods</w:t>
      </w:r>
      <w:r>
        <w:t xml:space="preserve">,</w:t>
      </w:r>
      <w:r>
        <w:t xml:space="preserve"> </w:t>
      </w:r>
      <w:r>
        <w:rPr>
          <w:iCs/>
          <w:i/>
        </w:rPr>
        <w:t xml:space="preserve">3</w:t>
      </w:r>
      <w:r>
        <w:t xml:space="preserve">(4), 486–504.</w:t>
      </w:r>
    </w:p>
    <w:bookmarkEnd w:id="68"/>
    <w:bookmarkStart w:id="69"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69"/>
    <w:bookmarkStart w:id="70"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0"/>
    <w:bookmarkStart w:id="71"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1"/>
    <w:bookmarkStart w:id="72"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2"/>
    <w:bookmarkStart w:id="73"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3"/>
    <w:bookmarkStart w:id="74"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4"/>
    <w:bookmarkStart w:id="75"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5"/>
    <w:bookmarkStart w:id="76"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6"/>
    <w:bookmarkStart w:id="7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7"/>
    <w:bookmarkStart w:id="78"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8"/>
    <w:bookmarkStart w:id="79"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79"/>
    <w:bookmarkStart w:id="80"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0"/>
    <w:bookmarkStart w:id="81"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1"/>
    <w:bookmarkStart w:id="82"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2"/>
    <w:bookmarkStart w:id="83"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3"/>
    <w:bookmarkStart w:id="84"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4"/>
    <w:bookmarkStart w:id="85"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85"/>
    <w:bookmarkStart w:id="86"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6"/>
    <w:bookmarkStart w:id="87" w:name="ref-tanner2014robust"/>
    <w:p>
      <w:pPr>
        <w:pStyle w:val="Literaturverzeichnis"/>
      </w:pPr>
      <w:r>
        <w:t xml:space="preserve">Tanner-Smith, E. E., &amp; Tipton, E. (2014). Robust variance estimation with dependent effect sizes: Practical considerations including a software tutorial in stata and SPSS.</w:t>
      </w:r>
      <w:r>
        <w:t xml:space="preserve"> </w:t>
      </w:r>
      <w:r>
        <w:rPr>
          <w:iCs/>
          <w:i/>
        </w:rPr>
        <w:t xml:space="preserve">Research Synthesis Methods</w:t>
      </w:r>
      <w:r>
        <w:t xml:space="preserve">,</w:t>
      </w:r>
      <w:r>
        <w:t xml:space="preserve"> </w:t>
      </w:r>
      <w:r>
        <w:rPr>
          <w:iCs/>
          <w:i/>
        </w:rPr>
        <w:t xml:space="preserve">5</w:t>
      </w:r>
      <w:r>
        <w:t xml:space="preserve">(1), 13–30.</w:t>
      </w:r>
    </w:p>
    <w:bookmarkEnd w:id="87"/>
    <w:bookmarkStart w:id="88"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8"/>
    <w:bookmarkStart w:id="89"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9"/>
    <w:bookmarkStart w:id="90"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0"/>
    <w:bookmarkStart w:id="91"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1"/>
    <w:bookmarkEnd w:id="92"/>
    <w:bookmarkEnd w:id="9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2022-09-27T04:19:35Z</dcterms:created>
  <dcterms:modified xsi:type="dcterms:W3CDTF">2022-09-27T04:19:35Z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