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3.png" ContentType="image/png"/>
  <Override PartName="/word/media/rId33.png" ContentType="image/png"/>
  <Override PartName="/word/media/rId46.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Meta-analysis</w:t>
      </w:r>
      <w:r>
        <w:t xml:space="preserve"> </w:t>
      </w:r>
      <w:r>
        <w:t xml:space="preserve">suggests</w:t>
      </w:r>
      <w:r>
        <w:t xml:space="preserve"> </w:t>
      </w:r>
      <w:r>
        <w:t xml:space="preserve">that</w:t>
      </w:r>
      <w:r>
        <w:t xml:space="preserve"> </w:t>
      </w:r>
      <w:r>
        <w:t xml:space="preserve">the</w:t>
      </w:r>
      <w:r>
        <w:t xml:space="preserve"> </w:t>
      </w:r>
      <w:r>
        <w:t xml:space="preserve">effects</w:t>
      </w:r>
      <w:r>
        <w:t xml:space="preserve"> </w:t>
      </w:r>
      <w:r>
        <w:t xml:space="preserve">of</w:t>
      </w:r>
      <w:r>
        <w:t xml:space="preserve"> </w:t>
      </w:r>
      <w:r>
        <w:t xml:space="preserve">demand</w:t>
      </w:r>
      <w:r>
        <w:t xml:space="preserve"> </w:t>
      </w:r>
      <w:r>
        <w:t xml:space="preserve">characteristics</w:t>
      </w:r>
      <w:r>
        <w:t xml:space="preserve"> </w:t>
      </w:r>
      <w:r>
        <w:t xml:space="preserve">can</w:t>
      </w:r>
      <w:r>
        <w:t xml:space="preserve"> </w:t>
      </w:r>
      <w:r>
        <w:t xml:space="preserve">be</w:t>
      </w:r>
      <w:r>
        <w:t xml:space="preserve"> </w:t>
      </w:r>
      <w:r>
        <w:t xml:space="preserve">consequential,</w:t>
      </w:r>
      <w:r>
        <w:t xml:space="preserve"> </w:t>
      </w:r>
      <w:r>
        <w:t xml:space="preserve">unreliable,</w:t>
      </w:r>
      <w:r>
        <w:t xml:space="preserve"> </w:t>
      </w:r>
      <w:r>
        <w:t xml:space="preserve">and</w:t>
      </w:r>
      <w:r>
        <w:t xml:space="preserve"> </w:t>
      </w:r>
      <w:r>
        <w:t xml:space="preserve">difficult</w:t>
      </w:r>
      <w:r>
        <w:t xml:space="preserve"> </w:t>
      </w:r>
      <w:r>
        <w:t xml:space="preserve">to</w:t>
      </w:r>
      <w:r>
        <w:t xml:space="preserve"> </w:t>
      </w:r>
      <w:r>
        <w:t xml:space="preserve">explain</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w:t>
      </w:r>
      <w:r>
        <w:t xml:space="preserve"> </w:t>
      </w:r>
      <w:r>
        <w:t xml:space="preserve">All materials, data, code, and pre-registrations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 xml:space="preserve">g</w:t>
      </w:r>
      <w:r>
        <w:t xml:space="preserve"> </w:t>
      </w:r>
      <w:r>
        <w:t xml:space="preserve">= 0.21, 95% CI [0.12, 0.31]). However, effects were extremely heterogeneous (between-study</w:t>
      </w:r>
      <w:r>
        <w:t xml:space="preserve"> </w:t>
      </w:r>
      <m:oMath>
        <m:r>
          <m:t>τ</m:t>
        </m:r>
      </m:oMath>
      <w:r>
        <w:t xml:space="preserve"> </w:t>
      </w:r>
      <w:r>
        <w:t xml:space="preserve">= 0.28; within-study</w:t>
      </w:r>
      <w:r>
        <w:t xml:space="preserve"> </w:t>
      </w:r>
      <m:oMath>
        <m:r>
          <m:t>σ</m:t>
        </m:r>
      </m:oMath>
      <w:r>
        <w:t xml:space="preserve"> </w:t>
      </w:r>
      <w:r>
        <w:t xml:space="preserve">= 0.18), with the prediction interval ranging from</w:t>
      </w:r>
      <w:r>
        <w:t xml:space="preserve"> </w:t>
      </w:r>
      <w:r>
        <w:rPr>
          <w:i/>
          <w:iCs/>
        </w:rPr>
        <w:t xml:space="preserve">g</w:t>
      </w:r>
      <w:r>
        <w:t xml:space="preserve"> </w:t>
      </w:r>
      <w:r>
        <w:t xml:space="preserve">= 0.89 (a large increase in hypothesis-consistent responding) to</w:t>
      </w:r>
      <w:r>
        <w:t xml:space="preserve"> </w:t>
      </w:r>
      <w:r>
        <w:rPr>
          <w:i/>
          <w:iCs/>
        </w:rPr>
        <w:t xml:space="preserve">g</w:t>
      </w:r>
      <w:r>
        <w:t xml:space="preserve"> </w:t>
      </w:r>
      <w:r>
        <w:t xml:space="preserve">= -0.46 (a moderate</w:t>
      </w:r>
      <w:r>
        <w:t xml:space="preserve"> </w:t>
      </w:r>
      <w:r>
        <w:rPr>
          <w:i/>
          <w:iCs/>
        </w:rPr>
        <w:t xml:space="preserve">decrease</w:t>
      </w:r>
      <w:r>
        <w:t xml:space="preserve"> </w:t>
      </w:r>
      <w:r>
        <w:t xml:space="preserve">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pPr>
        <w:pStyle w:val="Textkrper"/>
      </w:pPr>
      <w:r>
        <w:rPr>
          <w:i/>
          <w:iCs/>
        </w:rPr>
        <w:t xml:space="preserve">Keywords:</w:t>
      </w:r>
      <w:r>
        <w:t xml:space="preserve"> </w:t>
      </w:r>
      <w:r>
        <w:t xml:space="preserve">demand characteristics, expectancies, meta-analysis, methodology, confound</w:t>
      </w:r>
    </w:p>
    <w:p>
      <w:pPr>
        <w:pStyle w:val="h1-pagebreak"/>
      </w:pPr>
      <w:r>
        <w:t xml:space="preserve">Meta-analysis suggests that the effects of demand characteristics can be consequential, unreliable, and difficult to explain</w:t>
      </w:r>
    </w:p>
    <w:p>
      <w:pPr>
        <w:pStyle w:val="Textkrper"/>
      </w:pPr>
      <w:r>
        <w:t xml:space="preserve">“</w:t>
      </w:r>
      <w:r>
        <w:t xml:space="preserve">All scientific inquiry is subject to error, and it is far better to be aware of this, to study the sources in an attempt to reduce it, and to estimate the magnitude of such errors in our findings, than to be ignorant of the errors concealed in the data</w:t>
      </w:r>
      <w:r>
        <w:t xml:space="preserve">”</w:t>
      </w:r>
      <w:r>
        <w:t xml:space="preserve"> </w:t>
      </w:r>
      <w:r>
        <w:t xml:space="preserve">(Hyman, 1954, p. 4)</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
          <w:iCs/>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
          <w:iCs/>
        </w:rPr>
        <w:t xml:space="preserve">demand characteristics</w:t>
      </w:r>
      <w:r>
        <w:t xml:space="preserve">.</w:t>
      </w:r>
    </w:p>
    <w:p>
      <w:pPr>
        <w:pStyle w:val="Textkrper"/>
      </w:pPr>
      <w:r>
        <w:t xml:space="preserve">In a seminal paper published over a half century ago, Martin Orne 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presented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
          <w:iCs/>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significantly impact participants’ responses</w:t>
      </w:r>
      <w:r>
        <w:t xml:space="preserve"> </w:t>
      </w:r>
      <w:r>
        <w:t xml:space="preserve">(Mummolo &amp; Peterson, 2019)</w:t>
      </w:r>
      <w:r>
        <w:t xml:space="preserve">.</w:t>
      </w:r>
    </w:p>
    <w:p>
      <w:pPr>
        <w:pStyle w:val="Textkrper"/>
      </w:pPr>
      <w:r>
        <w:t xml:space="preserve">In the present work, we advance an unexpected</w:t>
      </w:r>
      <w:r>
        <w:rPr>
          <w:rStyle w:val="Funotenzeichen"/>
        </w:rPr>
        <w:footnoteReference w:id="21"/>
      </w:r>
      <w:r>
        <w:t xml:space="preserve"> </w:t>
      </w:r>
      <w:r>
        <w:t xml:space="preserve">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They can create false positives, false negatives, upward bias, and downward bias. Yet, over 50+ years after Orne influentially described them</w:t>
      </w:r>
      <w:r>
        <w:t xml:space="preserve"> </w:t>
      </w:r>
      <w:r>
        <w:t xml:space="preserve">(1962)</w:t>
      </w:r>
      <w:r>
        <w:t xml:space="preserve">, demand characteristics remain difficult to predict and explain. To begin, we review an influential theoretical framework that initially guided our investigation.</w:t>
      </w:r>
    </w:p>
    <w:bookmarkStart w:id="22" w:name="Xa0d64ece604650f58e403bddeb4af76aa562f5e"/>
    <w:p>
      <w:pPr>
        <w:pStyle w:val="berschrift2"/>
      </w:pPr>
      <w:r>
        <w:t xml:space="preserve">How do demand characteristics alter participant responses?</w:t>
      </w:r>
    </w:p>
    <w:p>
      <w:pPr>
        <w:pStyle w:val="FirstParagraph"/>
      </w:pPr>
      <w:r>
        <w:t xml:space="preserve">One of the most influential frameworks for conceptualizing demand effects was developed by Rosnow and colleagues</w:t>
      </w:r>
      <w:r>
        <w:t xml:space="preserve"> </w:t>
      </w:r>
      <w:r>
        <w:t xml:space="preserve">(Rosnow &amp; Aiken, 1973; Rosnow &amp; Rosenthal, 1997; Strohmetz, 2008)</w:t>
      </w:r>
      <w:r>
        <w:t xml:space="preserve">. In this framework, they described three key moderators we discuss in the present work: (1) receptivity to cues, (2) motivation to provide hypothesis-consistent responses, and (3) opportunity to alter responses.</w:t>
      </w:r>
    </w:p>
    <w:p>
      <w:pPr>
        <w:pStyle w:val="Textkrper"/>
      </w:pPr>
      <w:r>
        <w:t xml:space="preserve">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w:t>
      </w:r>
      <w:r>
        <w:t xml:space="preserve"> </w:t>
      </w:r>
      <w:r>
        <w:t xml:space="preserve">(Corneille &amp; Lush, 2023)</w:t>
      </w:r>
      <w:r>
        <w:t xml:space="preserve"> </w:t>
      </w:r>
      <w:r>
        <w:t xml:space="preserve">– which we will consider another form of non-receptivity in the present work.</w:t>
      </w:r>
    </w:p>
    <w:p>
      <w:pPr>
        <w:pStyle w:val="Textkrper"/>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 Rosnow and colleagues advanced this line of thinking by illustrating that participants have</w:t>
      </w:r>
      <w:r>
        <w:t xml:space="preserve"> </w:t>
      </w:r>
      <w:r>
        <w:rPr>
          <w:i/>
          <w:iCs/>
        </w:rPr>
        <w:t xml:space="preserve">multiple</w:t>
      </w:r>
      <w:r>
        <w:t xml:space="preserve"> </w:t>
      </w:r>
      <w:r>
        <w:t xml:space="preserve">shifting motivations in mind when they conceptualize their roles as subjects</w:t>
      </w:r>
      <w:r>
        <w:t xml:space="preserve"> </w:t>
      </w:r>
      <w:r>
        <w:t xml:space="preserve">(Rosnow &amp; Rosenthal, 1997; see also Silverman &amp; Marcantonio, 1965)</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 Rosnow and colleagues theorized that subsequent changes in participants’ responses would then be driven by their ability to alter the outcome of interest. As elaborated by</w:t>
      </w:r>
      <w:r>
        <w:t xml:space="preserve"> </w:t>
      </w:r>
      <w:r>
        <w:t xml:space="preserve">Corneille and Lush (2023)</w:t>
      </w:r>
      <w:r>
        <w:t xml:space="preserve">,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pPr>
        <w:pStyle w:val="Textkrper"/>
      </w:pPr>
      <w:r>
        <w:t xml:space="preserve">Of course, other researchers have since expanded upon and/or challenged parts of Rosnow and colleagues’ framework. For example, by elaborating upon underlying mechanisms like imagination,</w:t>
      </w:r>
      <w:r>
        <w:t xml:space="preserve"> </w:t>
      </w:r>
      <w:r>
        <w:t xml:space="preserve">Corneille and Lush (2023)</w:t>
      </w:r>
      <w:r>
        <w:t xml:space="preserve"> </w:t>
      </w:r>
      <w:r>
        <w:t xml:space="preserve">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w:t>
      </w:r>
      <w:r>
        <w:t xml:space="preserve"> </w:t>
      </w:r>
      <w:r>
        <w:t xml:space="preserve">Coles et al. (2022)</w:t>
      </w:r>
      <w:r>
        <w:t xml:space="preserve"> </w:t>
      </w:r>
      <w:r>
        <w:t xml:space="preserve">argued that demand characteristics may sometimes impact participants in cases where they are</w:t>
      </w:r>
      <w:r>
        <w:t xml:space="preserve"> </w:t>
      </w:r>
      <w:r>
        <w:rPr>
          <w:i/>
          <w:iCs/>
        </w:rPr>
        <w:t xml:space="preserve">not</w:t>
      </w:r>
      <w:r>
        <w:t xml:space="preserve"> </w:t>
      </w:r>
      <w:r>
        <w:t xml:space="preserve">motivated to adjust responses – e.g., via conditioned responses or other mechanisms discussed in conceptually-related work on placebo effects</w:t>
      </w:r>
      <w:r>
        <w:t xml:space="preserve"> </w:t>
      </w:r>
      <w:r>
        <w:t xml:space="preserve">(Stewart-Williams &amp; Podd, 2004)</w:t>
      </w:r>
      <w:r>
        <w:t xml:space="preserve">. We focus our review on Rosnow and colleagues’ influential framework, but we revisit complementary ideas throughout.</w:t>
      </w:r>
    </w:p>
    <w:bookmarkEnd w:id="22"/>
    <w:bookmarkStart w:id="62" w:name="methodology"/>
    <w:p>
      <w:pPr>
        <w:pStyle w:val="berschrift1"/>
      </w:pPr>
      <w:r>
        <w:t xml:space="preserve">Methodology</w:t>
      </w:r>
    </w:p>
    <w:p>
      <w:pPr>
        <w:pStyle w:val="FirstParagraph"/>
      </w:pPr>
      <w:r>
        <w:t xml:space="preserve">The goal of the current paper is to quantitatively take stock of what experimental psychologists have learned – if anything – about demand effects in the 50+ years since Orne influentially described them</w:t>
      </w:r>
      <w:r>
        <w:t xml:space="preserve"> </w:t>
      </w:r>
      <w:r>
        <w:t xml:space="preserve">(Orne, 1962)</w:t>
      </w:r>
      <w:r>
        <w:t xml:space="preserve">. Although several excellent</w:t>
      </w:r>
      <w:r>
        <w:t xml:space="preserve"> </w:t>
      </w:r>
      <w:r>
        <w:rPr>
          <w:i/>
          <w:iCs/>
        </w:rPr>
        <w:t xml:space="preserve">narrative reviews</w:t>
      </w:r>
      <w:r>
        <w:t xml:space="preserve"> </w:t>
      </w:r>
      <w:r>
        <w:t xml:space="preserve">exist</w:t>
      </w:r>
      <w:r>
        <w:t xml:space="preserve"> </w:t>
      </w:r>
      <w:r>
        <w:t xml:space="preserve">(Corneille &amp; Lush, 2023; Rosnow &amp; Rosenthal, 1997; Sharpe &amp; Whelton, 2016; Strohmetz, 2008)</w:t>
      </w:r>
      <w:r>
        <w:t xml:space="preserve">, meta-analysis allows us to evaluate the magnitude, consistency, and potential moderators of demand effects.</w:t>
      </w:r>
    </w:p>
    <w:p>
      <w:pPr>
        <w:pStyle w:val="Textkrper"/>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
          <w:iCs/>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w:t>
      </w:r>
      <w:r>
        <w:t xml:space="preserve"> </w:t>
      </w:r>
      <w:r>
        <w:rPr>
          <w:i/>
          <w:iCs/>
        </w:rPr>
        <w:t xml:space="preserve">any</w:t>
      </w:r>
      <w:r>
        <w:t xml:space="preserve"> </w:t>
      </w:r>
      <w:r>
        <w:t xml:space="preserve">systematic change in a research design might be considered a test of demand characteristics. Furthermore, our own review of the literature revealed that researchers tend to study such effects by manipulating the study hypothesis</w:t>
      </w:r>
      <w:r>
        <w:t xml:space="preserve"> </w:t>
      </w:r>
      <w:r>
        <w:rPr>
          <w:i/>
          <w:iCs/>
        </w:rPr>
        <w:t xml:space="preserve">explicitly</w:t>
      </w:r>
      <w:r>
        <w:t xml:space="preserve"> </w:t>
      </w:r>
      <w:r>
        <w:t xml:space="preserve">communicated to participants. For these reasons, the present review focuses on relatively explicit manipulations of the study hypothesis. (See</w:t>
      </w:r>
      <w:r>
        <w:t xml:space="preserve"> </w:t>
      </w:r>
      <w:r>
        <w:rPr>
          <w:i/>
          <w:iCs/>
        </w:rPr>
        <w:t xml:space="preserve">Limitations</w:t>
      </w:r>
      <w:r>
        <w:t xml:space="preserve"> </w:t>
      </w:r>
      <w:r>
        <w:t xml:space="preserve">section for further reflection.)</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Figure</w:t>
      </w:r>
      <w:r>
        <w:t xml:space="preserve"> </w:t>
      </w:r>
      <w:r>
        <w:t xml:space="preserve">1</w:t>
      </w:r>
      <w:r>
        <w:t xml:space="preserve"> </w:t>
      </w:r>
      <w:r>
        <w:t xml:space="preserve">provides a PRISMA-style flowchart summarizing our literature search and screening process</w:t>
      </w:r>
      <w:r>
        <w:t xml:space="preserve"> </w:t>
      </w:r>
      <w:r>
        <w:t xml:space="preserve">(Page et al., 2021)</w:t>
      </w:r>
      <w:r>
        <w:t xml:space="preserve">.</w:t>
      </w:r>
    </w:p>
    <w:p>
      <w:pPr>
        <w:pStyle w:val="Textkrper"/>
      </w:pPr>
      <w:r>
        <w:t xml:space="preserve">The literature search was initially developed in consultation with a librarian at (anonymous for peer review) and later expanded based on reviewer feedback. 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w:t>
      </w:r>
      <w:r>
        <w:t xml:space="preserve">(n = 850 records identified). On April 17, 2024, we repeated the search to identify records published after the initial search (n = 29 records identified). At that time, we also expanded the search to include conceptually similar terms found in the appendix of Rosnow and Rosenthal’s</w:t>
      </w:r>
      <w:r>
        <w:t xml:space="preserve"> </w:t>
      </w:r>
      <w:r>
        <w:t xml:space="preserve">(1997)</w:t>
      </w:r>
      <w:r>
        <w:t xml:space="preserve"> </w:t>
      </w:r>
      <w:r>
        <w:t xml:space="preserve">book on experimental artifacts:</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 </w:t>
      </w:r>
      <w:r>
        <w:t xml:space="preserve">(n = 572 records identified). We also released a call for unpublished studies on the Society for Personality and Social Psychology Open Forum, Twitter, the Facebook Psychological Methods Discussion group, and the Facebook PsychMAP group (n = 6 records identified).</w:t>
      </w:r>
    </w:p>
    <w:p>
      <w:pPr>
        <w:pStyle w:val="Textkrper"/>
      </w:pPr>
      <w:r>
        <w:t xml:space="preserve">Our search did not have language restrictions and went as far back as 1840, which yielded 1457 records, 168 of which were unpublished.</w:t>
      </w:r>
    </w:p>
    <w:p>
      <w:pPr>
        <w:pStyle w:val="CaptionedFigure"/>
      </w:pPr>
      <w:r>
        <w:drawing>
          <wp:inline>
            <wp:extent cx="5969000" cy="4660327"/>
            <wp:effectExtent b="0" l="0" r="0" t="0"/>
            <wp:docPr descr="Figure 1: PRISMA-style flowchart illustrating the identification, screening, and selection of studies." title="" id="24" name="Picture"/>
            <a:graphic>
              <a:graphicData uri="http://schemas.openxmlformats.org/drawingml/2006/picture">
                <pic:pic>
                  <pic:nvPicPr>
                    <pic:cNvPr descr="images/metaware_PRISMA.png" id="25" name="Picture"/>
                    <pic:cNvPicPr>
                      <a:picLocks noChangeArrowheads="1" noChangeAspect="1"/>
                    </pic:cNvPicPr>
                  </pic:nvPicPr>
                  <pic:blipFill>
                    <a:blip r:embed="rId23"/>
                    <a:stretch>
                      <a:fillRect/>
                    </a:stretch>
                  </pic:blipFill>
                  <pic:spPr bwMode="auto">
                    <a:xfrm>
                      <a:off x="0" y="0"/>
                      <a:ext cx="5969000" cy="4660327"/>
                    </a:xfrm>
                    <a:prstGeom prst="rect">
                      <a:avLst/>
                    </a:prstGeom>
                    <a:noFill/>
                    <a:ln w="9525">
                      <a:noFill/>
                      <a:headEnd/>
                      <a:tailEnd/>
                    </a:ln>
                  </pic:spPr>
                </pic:pic>
              </a:graphicData>
            </a:graphic>
          </wp:inline>
        </w:drawing>
      </w:r>
    </w:p>
    <w:p>
      <w:pPr>
        <w:pStyle w:val="ImageCaption"/>
      </w:pPr>
      <w:bookmarkStart w:id="26" w:name="fig:prisma"/>
      <w:bookmarkEnd w:id="26"/>
      <w:r>
        <w:rPr>
          <w:i/>
          <w:iCs/>
        </w:rPr>
        <w:t xml:space="preserve">Figure</w:t>
      </w:r>
      <w:r>
        <w:t xml:space="preserve"> </w:t>
      </w:r>
      <w:r>
        <w:t xml:space="preserve">1. PRISMA-style flowchart illustrating the identification, screening, and selection of studies.</w:t>
      </w:r>
    </w:p>
    <w:bookmarkEnd w:id="27"/>
    <w:bookmarkStart w:id="29" w:name="screening"/>
    <w:p>
      <w:pPr>
        <w:pStyle w:val="berschrift3"/>
      </w:pPr>
      <w:r>
        <w:t xml:space="preserve">Screening.</w:t>
      </w:r>
    </w:p>
    <w:p>
      <w:pPr>
        <w:pStyle w:val="FirstParagraph"/>
      </w:pPr>
      <w:r>
        <w:t xml:space="preserve">Put simply, records must have met the following criteria in order to be eligible for inclusion in the meta-analysis:</w:t>
      </w:r>
    </w:p>
    <w:p>
      <w:pPr>
        <w:numPr>
          <w:ilvl w:val="0"/>
          <w:numId w:val="1001"/>
        </w:numPr>
      </w:pPr>
      <w:r>
        <w:t xml:space="preserve">The researcher manipulated what participants were told about the effect of an independent variable on a dependent variable.</w:t>
      </w:r>
      <w:r>
        <w:rPr>
          <w:rStyle w:val="Funotenzeichen"/>
        </w:rPr>
        <w:footnoteReference w:id="28"/>
      </w:r>
      <w:r>
        <w:t xml:space="preserve"> </w:t>
      </w:r>
      <w:r>
        <w:t xml:space="preserve">In most cases, the effect of the independent variable was described explicitly, but there were some included studies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p>
    <w:p>
      <w:pPr>
        <w:numPr>
          <w:ilvl w:val="0"/>
          <w:numId w:val="1001"/>
        </w:numPr>
      </w:pPr>
      <w:r>
        <w:t xml:space="preserve">Information necessary for computing at least one effect size was included.</w:t>
      </w:r>
    </w:p>
    <w:p>
      <w:pPr>
        <w:pStyle w:val="FirstParagraph"/>
      </w:pPr>
      <w:r>
        <w:t xml:space="preserve">Figure</w:t>
      </w:r>
      <w:r>
        <w:t xml:space="preserve"> </w:t>
      </w:r>
      <w:r>
        <w:t xml:space="preserve">1</w:t>
      </w:r>
      <w:r>
        <w:t xml:space="preserve"> </w:t>
      </w:r>
      <w:r>
        <w:t xml:space="preserve">more thoroughly summarizes exclusion criteria. In instances where multiple exclusion criteria applied, coders were asked to choose only one option.</w:t>
      </w:r>
    </w:p>
    <w:p>
      <w:pPr>
        <w:pStyle w:val="Textkrper"/>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29"/>
    <w:bookmarkStart w:id="30"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explicit demand characteristics. For example,</w:t>
      </w:r>
      <w:r>
        <w:t xml:space="preserve"> </w:t>
      </w:r>
      <w:r>
        <w:t xml:space="preserve">Coles et al. (2022)</w:t>
      </w:r>
      <w:r>
        <w:t xml:space="preserve"> </w:t>
      </w:r>
      <w:r>
        <w:t xml:space="preserve">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
          <w:iCs/>
        </w:rPr>
        <w:t xml:space="preserve">interactive</w:t>
      </w:r>
      <w:r>
        <w:t xml:space="preserve"> </w:t>
      </w:r>
      <w:r>
        <w:t xml:space="preserve">effect of explicit demand characteristics. For example, in the same</w:t>
      </w:r>
      <w:r>
        <w:t xml:space="preserve"> </w:t>
      </w:r>
      <w:r>
        <w:t xml:space="preserve">Coles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
          <w:iCs/>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sSub>
          <m:e>
            <m:r>
              <m:t>d</m:t>
            </m:r>
          </m:e>
          <m:sub>
            <m:r>
              <m:t>s</m:t>
            </m:r>
          </m:sub>
        </m:sSub>
      </m:oMath>
      <w:r>
        <w:t xml:space="preserve"> </w:t>
      </w:r>
      <w:r>
        <w:t xml:space="preserve">(for between-subject designs) and</w:t>
      </w:r>
      <w:r>
        <w:t xml:space="preserve"> </w:t>
      </w:r>
      <m:oMath>
        <m:sSub>
          <m:e>
            <m:r>
              <m:t>d</m:t>
            </m:r>
          </m:e>
          <m:sub>
            <m:r>
              <m:t>r</m:t>
            </m:r>
            <m:r>
              <m:t>m</m:t>
            </m:r>
          </m:sub>
        </m:sSub>
      </m:oMath>
      <w:r>
        <w:t xml:space="preserve"> </w:t>
      </w:r>
      <w:r>
        <w:t xml:space="preserve">(for within-subject designs[^3]) estimates. Whenever possible, we used the</w:t>
      </w:r>
      <w:r>
        <w:t xml:space="preserve"> </w:t>
      </w:r>
      <w:r>
        <w:rPr>
          <w:i/>
          <w:iCs/>
        </w:rPr>
        <w:t xml:space="preserve">M</w:t>
      </w:r>
      <w:r>
        <w:t xml:space="preserve">’s and</w:t>
      </w:r>
      <w:r>
        <w:t xml:space="preserve"> </w:t>
      </w:r>
      <w:r>
        <w:rPr>
          <w:i/>
          <w:iCs/>
        </w:rPr>
        <w:t xml:space="preserve">SD</w:t>
      </w:r>
      <w:r>
        <w:t xml:space="preserve">’s reported in a paper to compute Cohen’s</w:t>
      </w:r>
      <w:r>
        <w:t xml:space="preserve"> </w:t>
      </w:r>
      <w:r>
        <w:rPr>
          <w:i/>
          <w:iCs/>
        </w:rPr>
        <w:t xml:space="preserve">d</w:t>
      </w:r>
      <w:r>
        <w:t xml:space="preserve">. If these values were not reported, we used (in order of preference), (1)</w:t>
      </w:r>
      <w:r>
        <w:t xml:space="preserve"> </w:t>
      </w:r>
      <w:r>
        <w:rPr>
          <w:i/>
          <w:iCs/>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
          <w:iCs/>
        </w:rPr>
        <w:t xml:space="preserve">F</w:t>
      </w:r>
      <w:r>
        <w:t xml:space="preserve">-values, or (4)</w:t>
      </w:r>
      <w:r>
        <w:t xml:space="preserve"> </w:t>
      </w:r>
      <w:r>
        <w:rPr>
          <w:i/>
          <w:iCs/>
        </w:rPr>
        <w:t xml:space="preserve">p</w:t>
      </w:r>
      <w:r>
        <w:t xml:space="preserve">-values. In instances where relevant information was not provided but the significance and direction of the effect was described, we assumed</w:t>
      </w:r>
      <w:r>
        <w:t xml:space="preserve"> </w:t>
      </w:r>
      <w:r>
        <w:rPr>
          <w:i/>
          <w:iCs/>
        </w:rPr>
        <w:t xml:space="preserve">p</w:t>
      </w:r>
      <w:r>
        <w:t xml:space="preserve">-values of .04 and .50 for significant and non-significant effects respectively</w:t>
      </w:r>
      <w:r>
        <w:t xml:space="preserve"> </w:t>
      </w:r>
      <w:r>
        <w:t xml:space="preserve">(e.g., Kenealy, 1988)</w:t>
      </w:r>
      <w:r>
        <w:t xml:space="preserve">. In a few instances, an outcome variable in a study was discrete, as opposed to continuous</w:t>
      </w:r>
      <w:r>
        <w:t xml:space="preserve"> </w:t>
      </w:r>
      <w:r>
        <w:t xml:space="preserve">(e.g., Orne &amp; Scheibe, 1964)</w:t>
      </w:r>
      <w:r>
        <w:t xml:space="preserve">. In these cases, we approximated a Cohen’s</w:t>
      </w:r>
      <w:r>
        <w:t xml:space="preserve"> </w:t>
      </w:r>
      <w:r>
        <w:rPr>
          <w:i/>
          <w:iCs/>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[^3] 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(75%) contained multiple effect sizes of interest. For example, the full design in</w:t>
      </w:r>
      <w:r>
        <w:t xml:space="preserve"> </w:t>
      </w:r>
      <w:r>
        <w:t xml:space="preserve">Coles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0"/>
    <w:bookmarkStart w:id="31" w:name="potential-study-feature-moderators"/>
    <w:p>
      <w:pPr>
        <w:pStyle w:val="berschrift3"/>
      </w:pPr>
      <w:r>
        <w:t xml:space="preserve">Potential study feature moderators.</w:t>
      </w:r>
    </w:p>
    <w:p>
      <w:pPr>
        <w:pStyle w:val="FirstParagraph"/>
      </w:pPr>
      <w:r>
        <w:t xml:space="preserve">The studies we included in our meta-analysis were methodologically varied (for more information, see</w:t>
      </w:r>
      <w:r>
        <w:t xml:space="preserve"> </w:t>
      </w:r>
      <w:r>
        <w:rPr>
          <w:i/>
          <w:iCs/>
        </w:rPr>
        <w:t xml:space="preserve">Results</w:t>
      </w:r>
      <w:r>
        <w:t xml:space="preserve"> </w:t>
      </w:r>
      <w:r>
        <w:t xml:space="preserve">and</w:t>
      </w:r>
      <w:r>
        <w:t xml:space="preserve"> </w:t>
      </w:r>
      <w:r>
        <w:rPr>
          <w:i/>
          <w:iCs/>
        </w:rPr>
        <w:t xml:space="preserve">Limitations</w:t>
      </w:r>
      <w:r>
        <w:t xml:space="preserve">). Below, we describe study features we coded as potential moderators of demand effects:</w:t>
      </w:r>
    </w:p>
    <w:p>
      <w:pPr>
        <w:numPr>
          <w:ilvl w:val="0"/>
          <w:numId w:val="1002"/>
        </w:numPr>
      </w:pPr>
      <w:r>
        <w:rPr>
          <w:i/>
          <w:iCs/>
        </w:rPr>
        <w:t xml:space="preserve">Group comparison.</w:t>
      </w:r>
      <w:r>
        <w:t xml:space="preserve"> </w:t>
      </w:r>
      <w:r>
        <w:t xml:space="preserve">Most studies included in our meta-analysis examined the effects of</w:t>
      </w:r>
      <w:r>
        <w:t xml:space="preserve"> </w:t>
      </w:r>
      <w:r>
        <w:rPr>
          <w:i/>
          <w:iCs/>
        </w:rPr>
        <w:t xml:space="preserve">positive demand</w:t>
      </w:r>
      <w:r>
        <w:t xml:space="preserve">, wherein participants were told that the dependent variable will increase. However, a notable subset of studies examined the impact of</w:t>
      </w:r>
      <w:r>
        <w:t xml:space="preserve"> </w:t>
      </w:r>
      <w:r>
        <w:rPr>
          <w:i/>
          <w:iCs/>
        </w:rPr>
        <w:t xml:space="preserve">negative demand</w:t>
      </w:r>
      <w:r>
        <w:t xml:space="preserve"> </w:t>
      </w:r>
      <w:r>
        <w:t xml:space="preserve">(participants told that the dependent variable will decrease) or</w:t>
      </w:r>
      <w:r>
        <w:t xml:space="preserve"> </w:t>
      </w:r>
      <w:r>
        <w:rPr>
          <w:i/>
          <w:iCs/>
        </w:rPr>
        <w:t xml:space="preserve">nil demand</w:t>
      </w:r>
      <w:r>
        <w:t xml:space="preserve"> </w:t>
      </w:r>
      <w:r>
        <w:t xml:space="preserve">(participants told the dependent variable will be unaffected). Often these conditions were compared to a</w:t>
      </w:r>
      <w:r>
        <w:t xml:space="preserve"> </w:t>
      </w:r>
      <w:r>
        <w:rPr>
          <w:i/>
          <w:iCs/>
        </w:rPr>
        <w:t xml:space="preserve">control</w:t>
      </w:r>
      <w:r>
        <w:t xml:space="preserve"> </w:t>
      </w:r>
      <w:r>
        <w:t xml:space="preserve">condition, wherein participants were not told about an effect of an independent variable on a dependent variable. Sometimes, though, one demand condition was compared to another.</w:t>
      </w:r>
    </w:p>
    <w:p>
      <w:pPr>
        <w:numPr>
          <w:ilvl w:val="0"/>
          <w:numId w:val="1002"/>
        </w:numPr>
      </w:pPr>
      <w:r>
        <w:rPr>
          <w:i/>
          <w:iCs/>
        </w:rPr>
        <w:t xml:space="preserve">Control vs. non-control group comparison.</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
          <w:iCs/>
        </w:rPr>
        <w:t xml:space="preserve">Control group comparison.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
          <w:iCs/>
        </w:rPr>
        <w:t xml:space="preserve">Design of demand characteristics manipulation.</w:t>
      </w:r>
      <w:r>
        <w:t xml:space="preserve"> </w:t>
      </w:r>
      <w:r>
        <w:t xml:space="preserve">Whether demand characteristics were manipulation within- vs. between-subjects.</w:t>
      </w:r>
    </w:p>
    <w:p>
      <w:pPr>
        <w:numPr>
          <w:ilvl w:val="0"/>
          <w:numId w:val="1002"/>
        </w:numPr>
      </w:pPr>
      <w:r>
        <w:rPr>
          <w:i/>
          <w:iCs/>
        </w:rPr>
        <w:t xml:space="preserve">Participant pool.</w:t>
      </w:r>
      <w:r>
        <w:t xml:space="preserve"> </w:t>
      </w:r>
      <w:r>
        <w:t xml:space="preserve">Whether students, non-students (e.g., MTurk workers), or a mix of students and non-students were sampled.</w:t>
      </w:r>
    </w:p>
    <w:p>
      <w:pPr>
        <w:numPr>
          <w:ilvl w:val="0"/>
          <w:numId w:val="1002"/>
        </w:numPr>
      </w:pPr>
      <w:r>
        <w:rPr>
          <w:i/>
          <w:iCs/>
        </w:rPr>
        <w:t xml:space="preserve">Setting.</w:t>
      </w:r>
      <w:r>
        <w:t xml:space="preserve"> </w:t>
      </w:r>
      <w:r>
        <w:t xml:space="preserve">Whether the study was conducted online or in-person.</w:t>
      </w:r>
    </w:p>
    <w:p>
      <w:pPr>
        <w:numPr>
          <w:ilvl w:val="0"/>
          <w:numId w:val="1002"/>
        </w:numPr>
      </w:pPr>
      <w:r>
        <w:rPr>
          <w:i/>
          <w:iCs/>
        </w:rPr>
        <w:t xml:space="preserve">Payment.</w:t>
      </w:r>
      <w:r>
        <w:t xml:space="preserve"> </w:t>
      </w:r>
      <w:r>
        <w:t xml:space="preserve">Whether participants were paid or unpaid.</w:t>
      </w:r>
    </w:p>
    <w:p>
      <w:pPr>
        <w:numPr>
          <w:ilvl w:val="0"/>
          <w:numId w:val="1002"/>
        </w:numPr>
      </w:pPr>
      <w:r>
        <w:rPr>
          <w:i/>
          <w:iCs/>
        </w:rPr>
        <w:t xml:space="preserve">Publication status.</w:t>
      </w:r>
      <w:r>
        <w:t xml:space="preserve"> </w:t>
      </w:r>
      <w:r>
        <w:t xml:space="preserve">Whether the study was published or unpublished.</w:t>
      </w:r>
    </w:p>
    <w:bookmarkEnd w:id="31"/>
    <w:bookmarkStart w:id="40" w:name="Xe0d312d46d170b17286487d2e4bf43d6a2a2281"/>
    <w:p>
      <w:pPr>
        <w:pStyle w:val="berschrift3"/>
      </w:pPr>
      <w:r>
        <w:t xml:space="preserve">Can research participants help us understand demand effects?.</w:t>
      </w:r>
    </w:p>
    <w:p>
      <w:pPr>
        <w:pStyle w:val="FirstParagraph"/>
      </w:pPr>
      <w:r>
        <w:t xml:space="preserve">During our literature review, we found very few papers that tested mechanisms that may help predict demand effects. We thus turned to a population that</w:t>
      </w:r>
      <w:r>
        <w:t xml:space="preserve"> </w:t>
      </w:r>
      <w:r>
        <w:t xml:space="preserve">Orne (1969)</w:t>
      </w:r>
      <w:r>
        <w:t xml:space="preserve"> </w:t>
      </w:r>
      <w:r>
        <w:t xml:space="preserve">believed may help researchers understand demand effects: research participants themselves. As recently reviewed by</w:t>
      </w:r>
      <w:r>
        <w:t xml:space="preserve"> </w:t>
      </w:r>
      <w:r>
        <w:t xml:space="preserve">Corneille and Béna (2023)</w:t>
      </w:r>
      <w:r>
        <w:t xml:space="preserve">,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w:t>
      </w:r>
      <w:r>
        <w:t xml:space="preserve"> </w:t>
      </w:r>
      <w:r>
        <w:t xml:space="preserve">(Bartels, 2019)</w:t>
      </w:r>
      <w:r>
        <w:t xml:space="preserve">. Here, we attempt to extend this methodology not to raise concerns about participants’ potential responses to demand characteristics – but instead to evaluate whether they can explain</w:t>
      </w:r>
      <w:r>
        <w:t xml:space="preserve"> </w:t>
      </w:r>
      <w:r>
        <w:rPr>
          <w:i/>
          <w:iCs/>
        </w:rPr>
        <w:t xml:space="preserve">when</w:t>
      </w:r>
      <w:r>
        <w:t xml:space="preserve"> </w:t>
      </w:r>
      <w:r>
        <w:t xml:space="preserve">and</w:t>
      </w:r>
      <w:r>
        <w:t xml:space="preserve"> </w:t>
      </w:r>
      <w:r>
        <w:rPr>
          <w:i/>
          <w:iCs/>
        </w:rPr>
        <w:t xml:space="preserve">how</w:t>
      </w:r>
      <w:r>
        <w:t xml:space="preserve"> </w:t>
      </w:r>
      <w:r>
        <w:t xml:space="preserve">such effects operate.</w:t>
      </w:r>
    </w:p>
    <w:p>
      <w:pPr>
        <w:pStyle w:val="Textkrper"/>
      </w:pPr>
      <w:r>
        <w:t xml:space="preserve">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bookmarkStart w:id="39" w:name="vignette-rating-methodology"/>
    <w:p>
      <w:pPr>
        <w:pStyle w:val="berschrift4"/>
      </w:pPr>
      <w:r>
        <w:t xml:space="preserve">Vignette rating methodology.</w:t>
      </w:r>
    </w:p>
    <w:p>
      <w:pPr>
        <w:pStyle w:val="FirstParagraph"/>
      </w:pPr>
      <w:r>
        <w:t xml:space="preserve">For each study included in the meta-analysis after our original literature search</w:t>
      </w:r>
      <w:r>
        <w:rPr>
          <w:rStyle w:val="Funotenzeichen"/>
        </w:rPr>
        <w:footnoteReference w:id="32"/>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2</w:t>
      </w:r>
      <w:r>
        <w:t xml:space="preserve">). In an effort to help participants understand the study context, vignettes also contained information about (a) whether students vs. non-students were sampled, (b) whether subjects received compensation, and (c) whether the study was conducted online or in-person.</w:t>
      </w:r>
    </w:p>
    <w:p>
      <w:pPr>
        <w:pStyle w:val="CaptionedFigure"/>
      </w:pPr>
      <w:r>
        <w:drawing>
          <wp:inline>
            <wp:extent cx="5969000" cy="3740573"/>
            <wp:effectExtent b="0" l="0" r="0" t="0"/>
            <wp:docPr descr="Figure 2: Vignettes for Standing et al. (2008), which described the key details for each demand characteristic condition (bolded and underlined) and dependent variable (bolded and italicized) combination." title="" id="34" name="Picture"/>
            <a:graphic>
              <a:graphicData uri="http://schemas.openxmlformats.org/drawingml/2006/picture">
                <pic:pic>
                  <pic:nvPicPr>
                    <pic:cNvPr descr="images/metaware_vigs.png" id="35" name="Picture"/>
                    <pic:cNvPicPr>
                      <a:picLocks noChangeArrowheads="1" noChangeAspect="1"/>
                    </pic:cNvPicPr>
                  </pic:nvPicPr>
                  <pic:blipFill>
                    <a:blip r:embed="rId33"/>
                    <a:stretch>
                      <a:fillRect/>
                    </a:stretch>
                  </pic:blipFill>
                  <pic:spPr bwMode="auto">
                    <a:xfrm>
                      <a:off x="0" y="0"/>
                      <a:ext cx="5969000" cy="3740573"/>
                    </a:xfrm>
                    <a:prstGeom prst="rect">
                      <a:avLst/>
                    </a:prstGeom>
                    <a:noFill/>
                    <a:ln w="9525">
                      <a:noFill/>
                      <a:headEnd/>
                      <a:tailEnd/>
                    </a:ln>
                  </pic:spPr>
                </pic:pic>
              </a:graphicData>
            </a:graphic>
          </wp:inline>
        </w:drawing>
      </w:r>
    </w:p>
    <w:p>
      <w:pPr>
        <w:pStyle w:val="ImageCaption"/>
      </w:pPr>
      <w:bookmarkStart w:id="36" w:name="fig:vig"/>
      <w:bookmarkEnd w:id="36"/>
      <w:r>
        <w:rPr>
          <w:i/>
          <w:iCs/>
        </w:rPr>
        <w:t xml:space="preserve">Figure</w:t>
      </w:r>
      <w:r>
        <w:t xml:space="preserve"> </w:t>
      </w:r>
      <w:r>
        <w:t xml:space="preserve">2. Vignettes for Standing et al. (2008), which described the key details for each demand characteristic condition (bolded and underlined) and dependent variable (bolded and italicized) combination.</w:t>
      </w:r>
    </w:p>
    <w:p>
      <w:pPr>
        <w:pStyle w:val="Textkrper"/>
      </w:pPr>
      <w:r>
        <w:t xml:space="preserve">In total, there were 119 vignettes. We did not create vignettes for control conditions because participants were not given information about the experimenter’s hypothesis (i.e., there were no explicit demand characteristics to act upon).</w:t>
      </w:r>
    </w:p>
    <w:p>
      <w:pPr>
        <w:pStyle w:val="Textkrper"/>
      </w:pPr>
      <w:r>
        <w:t xml:space="preserve">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pPr>
        <w:pStyle w:val="Textkrper"/>
      </w:pPr>
      <w:r>
        <w:t xml:space="preserve">Afterwards, participants rated the extent to which they would hypothetically (a)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(b)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w:t>
      </w:r>
      <w:r>
        <w:t xml:space="preserve">”</w:t>
      </w:r>
      <w:r>
        <w:t xml:space="preserve">), and (c) believe the hypothesized effect would occur (-3 =</w:t>
      </w:r>
      <w:r>
        <w:t xml:space="preserve"> </w:t>
      </w:r>
      <w:r>
        <w:t xml:space="preserve">“</w:t>
      </w:r>
      <w:r>
        <w:t xml:space="preserve">strong disbelief</w:t>
      </w:r>
      <w:r>
        <w:t xml:space="preserve">”</w:t>
      </w:r>
      <w:r>
        <w:t xml:space="preserve"> </w:t>
      </w:r>
      <w:r>
        <w:t xml:space="preserve">to 3 =</w:t>
      </w:r>
      <w:r>
        <w:t xml:space="preserve"> </w:t>
      </w:r>
      <w:r>
        <w:t xml:space="preserve">“</w:t>
      </w:r>
      <w:r>
        <w:t xml:space="preserve">strong belief</w:t>
      </w:r>
      <w:r>
        <w:t xml:space="preserve">”</w:t>
      </w:r>
      <w:r>
        <w:t xml:space="preserve">). Participants also indicated the extent to which they expected other participants to adjust their responses to confirm the hypothesized effect (-3 =</w:t>
      </w:r>
      <w:r>
        <w:t xml:space="preserve"> </w:t>
      </w:r>
      <w:r>
        <w:t xml:space="preserve">“</w:t>
      </w:r>
      <w:r>
        <w:t xml:space="preserve">extremely likely to adjust responses to be</w:t>
      </w:r>
      <w:r>
        <w:t xml:space="preserve"> </w:t>
      </w:r>
      <w:r>
        <w:rPr>
          <w:i/>
          <w:iCs/>
        </w:rPr>
        <w:t xml:space="preserve">inconsistent</w:t>
      </w:r>
      <w:r>
        <w:t xml:space="preserve">”</w:t>
      </w:r>
      <w:r>
        <w:t xml:space="preserve"> </w:t>
      </w:r>
      <w:r>
        <w:t xml:space="preserve">to 3</w:t>
      </w:r>
      <w:r>
        <w:t xml:space="preserve"> </w:t>
      </w:r>
      <w:r>
        <w:t xml:space="preserve">“</w:t>
      </w:r>
      <w:r>
        <w:t xml:space="preserve">extremely likely to adjust responses to be consistent</w:t>
      </w:r>
      <w:r>
        <w:t xml:space="preserve">”</w:t>
      </w:r>
      <w:r>
        <w:t xml:space="preserve">). These rating scales were presented in random order.</w:t>
      </w:r>
    </w:p>
    <w:p>
      <w:pPr>
        <w:pStyle w:val="Textkrper"/>
      </w:pPr>
      <w:r>
        <w:t xml:space="preserve">Sample size was initially based on availability of resources.</w:t>
      </w:r>
      <w:r>
        <w:rPr>
          <w:rStyle w:val="Funotenzeichen"/>
        </w:rPr>
        <w:footnoteReference w:id="37"/>
      </w:r>
      <w:r>
        <w:t xml:space="preserve"> </w:t>
      </w:r>
      <w:r>
        <w:t xml:space="preserve">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w:t>
      </w:r>
      <w:r>
        <w:t xml:space="preserve"> </w:t>
      </w:r>
      <w:r>
        <w:t xml:space="preserve">(Bates, Mächler, Bolker, &amp; Walker, 2015)</w:t>
      </w:r>
      <w:r>
        <w:t xml:space="preserve"> </w:t>
      </w:r>
      <w:r>
        <w:t xml:space="preserve">in R</w:t>
      </w:r>
      <w:r>
        <w:t xml:space="preserve"> </w:t>
      </w:r>
      <w:r>
        <w:t xml:space="preserve">(R Core Team, 2021)</w:t>
      </w:r>
      <w:r>
        <w:t xml:space="preserve"> </w:t>
      </w:r>
      <w:r>
        <w:t xml:space="preserve">to fit an intercept-only mixed effect model with random intercepts at the level of participant and vignette. We then used the performance package</w:t>
      </w:r>
      <w:r>
        <w:t xml:space="preserve"> </w:t>
      </w:r>
      <w:r>
        <w:t xml:space="preserve">(Lüdecke, Ben-Shachar, Patil, Waggoner, &amp; Makowski, 2021)</w:t>
      </w:r>
      <w:r>
        <w:t xml:space="preserve"> </w:t>
      </w:r>
      <w:r>
        <w:t xml:space="preserve">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pPr>
        <w:pStyle w:val="Textkrper"/>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m:t>S</m:t>
        </m:r>
        <m:r>
          <m:t>D</m:t>
        </m:r>
      </m:oMath>
      <w:r>
        <w:t xml:space="preserve"> </w:t>
      </w:r>
      <w:r>
        <w:t xml:space="preserve">= 13.82).</w:t>
      </w:r>
    </w:p>
    <w:bookmarkStart w:id="38" w:name="X50ac5346a764638f68a9356056d1f2c3e87ad60"/>
    <w:p>
      <w:pPr>
        <w:pStyle w:val="berschrift5"/>
      </w:pPr>
      <w:r>
        <w:t xml:space="preserve">Accounting for different demand comparisons.</w:t>
      </w:r>
    </w:p>
    <w:p>
      <w:pPr>
        <w:pStyle w:val="FirstParagraph"/>
      </w:pPr>
      <w:r>
        <w:t xml:space="preserve">As mentioned before, Hedge’s</w:t>
      </w:r>
      <w:r>
        <w:t xml:space="preserve"> </w:t>
      </w:r>
      <m:oMath>
        <m:r>
          <m:t>g</m:t>
        </m:r>
      </m:oMath>
      <w:r>
        <w:t xml:space="preserve"> </w:t>
      </w:r>
      <w:r>
        <w:t xml:space="preserve">represents the standardized difference between</w:t>
      </w:r>
      <w:r>
        <w:t xml:space="preserve"> </w:t>
      </w:r>
      <w:r>
        <w:rPr>
          <w:i/>
          <w:iCs/>
        </w:rPr>
        <w:t xml:space="preserve">two</w:t>
      </w:r>
      <w:r>
        <w:t xml:space="preserve"> </w:t>
      </w:r>
      <w:r>
        <w:t xml:space="preserve">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
          <w:iCs/>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38"/>
    <w:bookmarkEnd w:id="39"/>
    <w:bookmarkEnd w:id="40"/>
    <w:bookmarkStart w:id="43"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
          <w:iCs/>
        </w:rPr>
        <w:t xml:space="preserve">multiple true effects</w:t>
      </w:r>
      <w:r>
        <w:t xml:space="preserve">. To separate variability in these true effects from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(R Core Team, 2021)</w:t>
      </w:r>
      <w:r>
        <w:t xml:space="preserve">. We weighed effect sizes based on their inverse-variance and used cluster-robust methods for estimating variance-covariance matrices</w:t>
      </w:r>
      <w:r>
        <w:t xml:space="preserve"> </w:t>
      </w:r>
      <w:r>
        <w:t xml:space="preserve">(Pustejovsky &amp; Tipton, 2018)</w:t>
      </w:r>
      <w:r>
        <w:t xml:space="preserve">.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w:t>
      </w:r>
      <w:r>
        <w:t xml:space="preserve"> </w:t>
      </w:r>
      <w:r>
        <w:rPr>
          <w:i/>
          <w:iCs/>
        </w:rPr>
        <w:t xml:space="preserve">F</w:t>
      </w:r>
      <w:r>
        <w:t xml:space="preserve">-tests. To estimate effect sizes within each subgroup of the moderator, we used model-derived estimates.</w:t>
      </w:r>
    </w:p>
    <w:bookmarkStart w:id="42"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
          <w:iCs/>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
          <w:iCs/>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41"/>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used the PublicationBias package in R</w:t>
      </w:r>
      <w:r>
        <w:t xml:space="preserve"> </w:t>
      </w:r>
      <w:r>
        <w:t xml:space="preserve">(Mathur &amp; VanderWeele, 2020a)</w:t>
      </w:r>
      <w:r>
        <w:t xml:space="preserve"> </w:t>
      </w:r>
      <w:r>
        <w:t xml:space="preserve">to estimate the ratio in which publication bias would have to favor affirmative studies in order make the overall effect size in a robust random effects model non-significant</w:t>
      </w:r>
      <w:r>
        <w:t xml:space="preserve"> </w:t>
      </w:r>
      <w:r>
        <w:t xml:space="preserve">(Mathur &amp; VanderWeele, 2020b)</w:t>
      </w:r>
      <w:r>
        <w:t xml:space="preserve">. We also estimated the difference in the magnitude of published vs. unpublished effects in a moderator analysis.</w:t>
      </w:r>
    </w:p>
    <w:bookmarkEnd w:id="42"/>
    <w:bookmarkEnd w:id="43"/>
    <w:bookmarkStart w:id="45" w:name="transparency-and-openness"/>
    <w:p>
      <w:pPr>
        <w:pStyle w:val="berschrift3"/>
      </w:pPr>
      <w:r>
        <w:t xml:space="preserve">Transparency and openness.</w:t>
      </w:r>
    </w:p>
    <w:p>
      <w:pPr>
        <w:pStyle w:val="FirstParagraph"/>
      </w:pPr>
      <w:r>
        <w:t xml:space="preserve">The project pre-registration, materials, data, and code are openly available at</w:t>
      </w:r>
      <w:r>
        <w:t xml:space="preserve"> </w:t>
      </w:r>
      <w:hyperlink r:id="rId20">
        <w:r>
          <w:rPr>
            <w:rStyle w:val="Hyperlink"/>
          </w:rPr>
          <w:t xml:space="preserve">https://osf.io/3hkre/?view_only=2dc92af53f194e5eab0d7aecafaf01c2</w:t>
        </w:r>
      </w:hyperlink>
      <w:r>
        <w:t xml:space="preserve">.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w:t>
      </w:r>
      <w:r>
        <w:t xml:space="preserve"> </w:t>
      </w:r>
      <w:r>
        <w:t xml:space="preserve">Coles et al. (2024)</w:t>
      </w:r>
      <w:r>
        <w:t xml:space="preserve"> </w:t>
      </w:r>
      <w:r>
        <w:t xml:space="preserve">record is described in the main text vs. summarized in the meta-analysis, (d) whether to code the quality of included records</w:t>
      </w:r>
      <w:r>
        <w:rPr>
          <w:rStyle w:val="Funotenzeichen"/>
        </w:rPr>
        <w:footnoteReference w:id="44"/>
      </w:r>
      <w:r>
        <w:t xml:space="preserve">, (e) expansions to the literature search, (f) whether to use Cohen’s</w:t>
      </w:r>
      <w:r>
        <w:t xml:space="preserve"> </w:t>
      </w:r>
      <w:r>
        <w:rPr>
          <w:i/>
          <w:iCs/>
        </w:rPr>
        <w:t xml:space="preserve">d</w:t>
      </w:r>
      <w:r>
        <w:t xml:space="preserve"> </w:t>
      </w:r>
      <w:r>
        <w:t xml:space="preserve">or Hedge’s</w:t>
      </w:r>
      <w:r>
        <w:t xml:space="preserve"> </w:t>
      </w:r>
      <w:r>
        <w:rPr>
          <w:i/>
          <w:iCs/>
        </w:rPr>
        <w:t xml:space="preserve">g</w:t>
      </w:r>
      <w:r>
        <w:t xml:space="preserve"> </w:t>
      </w:r>
      <w:r>
        <w:t xml:space="preserve">as our effect size index, and (g) decisions regarding whether to use robust variance estimation, mixed-effects models, or both.</w:t>
      </w:r>
    </w:p>
    <w:p>
      <w:pPr>
        <w:pStyle w:val="Textkrper"/>
      </w:pPr>
      <w:r>
        <w:t xml:space="preserve">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pPr>
        <w:pStyle w:val="Textkrper"/>
      </w:pPr>
      <w:r>
        <w:t xml:space="preserve">Ethics approval was not requested for the meta-analysis because no new data were collected. The vignette rating study was reviewed and approved by the (anonymous for peer review) IRB (protocol #: anonymous for peer review; protocol title: anonymous for peer review).</w:t>
      </w:r>
    </w:p>
    <w:p>
      <w:pPr>
        <w:pStyle w:val="Textkrper"/>
      </w:pPr>
      <w:r>
        <w:t xml:space="preserve">All code has been checked for reproducibility, including the script used to generate a computationally reproducible manuscript using the papaja R package</w:t>
      </w:r>
      <w:r>
        <w:t xml:space="preserve"> </w:t>
      </w:r>
      <w:r>
        <w:t xml:space="preserve">(Aust &amp; Barth, 2022)</w:t>
      </w:r>
      <w:r>
        <w:t xml:space="preserve">.</w:t>
      </w:r>
    </w:p>
    <w:bookmarkEnd w:id="45"/>
    <w:bookmarkStart w:id="61" w:name="results"/>
    <w:p>
      <w:pPr>
        <w:pStyle w:val="berschrift2"/>
      </w:pPr>
      <w:r>
        <w:t xml:space="preserve">Results</w:t>
      </w:r>
    </w:p>
    <w:p>
      <w:pPr>
        <w:pStyle w:val="FirstParagraph"/>
      </w:pPr>
      <w:r>
        <w:t xml:space="preserve">In total, we extracted 252 effect sizes from 52 studies from between the years 1964 and 2024 (</w:t>
      </w:r>
      <w:r>
        <w:rPr>
          <w:i/>
          <w:iCs/>
        </w:rPr>
        <w:t xml:space="preserve">M</w:t>
      </w:r>
      <w:r>
        <w:t xml:space="preserve"> </w:t>
      </w:r>
      <w:r>
        <w:t xml:space="preserve">= 2003,</w:t>
      </w:r>
      <w:r>
        <w:t xml:space="preserve"> </w:t>
      </w:r>
      <w:r>
        <w:rPr>
          <w:i/>
          <w:iCs/>
        </w:rPr>
        <w:t xml:space="preserve">SD</w:t>
      </w:r>
      <w:r>
        <w:t xml:space="preserve"> </w:t>
      </w:r>
      <w:r>
        <w:t xml:space="preserve">= 18.63). 11 of these studies were unpublished.</w:t>
      </w:r>
    </w:p>
    <w:p>
      <w:pPr>
        <w:pStyle w:val="Textkrper"/>
      </w:pPr>
      <w:r>
        <w:t xml:space="preserve">In order of frequency, effect sizes represented a positive demand compared to a control group (</w:t>
      </w:r>
      <w:r>
        <w:rPr>
          <w:i/>
          <w:iCs/>
        </w:rPr>
        <w:t xml:space="preserve">k</w:t>
      </w:r>
      <w:r>
        <w:t xml:space="preserve"> </w:t>
      </w:r>
      <w:r>
        <w:t xml:space="preserve">= 114), positive demand to negative demand (</w:t>
      </w:r>
      <w:r>
        <w:rPr>
          <w:i/>
          <w:iCs/>
        </w:rPr>
        <w:t xml:space="preserve">k</w:t>
      </w:r>
      <w:r>
        <w:t xml:space="preserve"> </w:t>
      </w:r>
      <w:r>
        <w:t xml:space="preserve">= 44), negative demand to a control group (</w:t>
      </w:r>
      <w:r>
        <w:rPr>
          <w:i/>
          <w:iCs/>
        </w:rPr>
        <w:t xml:space="preserve">k</w:t>
      </w:r>
      <w:r>
        <w:t xml:space="preserve"> </w:t>
      </w:r>
      <w:r>
        <w:t xml:space="preserve">= 43), positive demand to a nil demand group (</w:t>
      </w:r>
      <w:r>
        <w:rPr>
          <w:i/>
          <w:iCs/>
        </w:rPr>
        <w:t xml:space="preserve">k</w:t>
      </w:r>
      <w:r>
        <w:t xml:space="preserve"> </w:t>
      </w:r>
      <w:r>
        <w:t xml:space="preserve">= 34), or nil demand to a control group (</w:t>
      </w:r>
      <w:r>
        <w:rPr>
          <w:i/>
          <w:iCs/>
        </w:rPr>
        <w:t xml:space="preserve">k</w:t>
      </w:r>
      <w:r>
        <w:t xml:space="preserve"> </w:t>
      </w:r>
      <w:r>
        <w:t xml:space="preserve">= 17).</w:t>
      </w:r>
    </w:p>
    <w:p>
      <w:pPr>
        <w:pStyle w:val="Textkrper"/>
      </w:pPr>
      <w:r>
        <w:t xml:space="preserve">More broadly, effect sizes tended to compare one demand condition to a control group (</w:t>
      </w:r>
      <w:r>
        <w:rPr>
          <w:i/>
          <w:iCs/>
        </w:rPr>
        <w:t xml:space="preserve">k</w:t>
      </w:r>
      <w:r>
        <w:t xml:space="preserve"> </w:t>
      </w:r>
      <w:r>
        <w:t xml:space="preserve">= 174) – as opposed to a group exposed to a different type of explicit demand cues (</w:t>
      </w:r>
      <w:r>
        <w:rPr>
          <w:i/>
          <w:iCs/>
        </w:rPr>
        <w:t xml:space="preserve">k</w:t>
      </w:r>
      <w:r>
        <w:t xml:space="preserve"> </w:t>
      </w:r>
      <w:r>
        <w:t xml:space="preserve">= 78). Regardless of what type of demand manipulation was used, it was more common to manipulate the cues between (</w:t>
      </w:r>
      <w:r>
        <w:rPr>
          <w:i/>
          <w:iCs/>
        </w:rPr>
        <w:t xml:space="preserve">k</w:t>
      </w:r>
      <w:r>
        <w:t xml:space="preserve"> </w:t>
      </w:r>
      <w:r>
        <w:t xml:space="preserve">= 208) vs. within subjects (</w:t>
      </w:r>
      <w:r>
        <w:rPr>
          <w:i/>
          <w:iCs/>
        </w:rPr>
        <w:t xml:space="preserve">k</w:t>
      </w:r>
      <w:r>
        <w:t xml:space="preserve"> </w:t>
      </w:r>
      <w:r>
        <w:t xml:space="preserve">= 44).</w:t>
      </w:r>
    </w:p>
    <w:p>
      <w:pPr>
        <w:pStyle w:val="Textkrper"/>
      </w:pPr>
      <w:r>
        <w:t xml:space="preserve">Most effect sizes came from student samples (</w:t>
      </w:r>
      <w:r>
        <w:rPr>
          <w:i/>
          <w:iCs/>
        </w:rPr>
        <w:t xml:space="preserve">k</w:t>
      </w:r>
      <w:r>
        <w:t xml:space="preserve"> </w:t>
      </w:r>
      <w:r>
        <w:t xml:space="preserve">= 160), although some samples were non-students (</w:t>
      </w:r>
      <w:r>
        <w:rPr>
          <w:i/>
          <w:iCs/>
        </w:rPr>
        <w:t xml:space="preserve">k</w:t>
      </w:r>
      <w:r>
        <w:t xml:space="preserve"> </w:t>
      </w:r>
      <w:r>
        <w:t xml:space="preserve">= 25), a mix of students and non-students (</w:t>
      </w:r>
      <w:r>
        <w:rPr>
          <w:i/>
          <w:iCs/>
        </w:rPr>
        <w:t xml:space="preserve">k</w:t>
      </w:r>
      <w:r>
        <w:t xml:space="preserve"> </w:t>
      </w:r>
      <w:r>
        <w:t xml:space="preserve">= 19), or not described thoroughly enough to make a determination (</w:t>
      </w:r>
      <w:r>
        <w:rPr>
          <w:i/>
          <w:iCs/>
        </w:rPr>
        <w:t xml:space="preserve">k</w:t>
      </w:r>
      <w:r>
        <w:t xml:space="preserve"> </w:t>
      </w:r>
      <w:r>
        <w:t xml:space="preserve">= 48). Most effect sizes came from unpaid samples (</w:t>
      </w:r>
      <w:r>
        <w:rPr>
          <w:i/>
          <w:iCs/>
        </w:rPr>
        <w:t xml:space="preserve">k</w:t>
      </w:r>
      <w:r>
        <w:t xml:space="preserve"> </w:t>
      </w:r>
      <w:r>
        <w:t xml:space="preserve">= 162), although some were paid (</w:t>
      </w:r>
      <w:r>
        <w:rPr>
          <w:i/>
          <w:iCs/>
        </w:rPr>
        <w:t xml:space="preserve">k</w:t>
      </w:r>
      <w:r>
        <w:t xml:space="preserve"> </w:t>
      </w:r>
      <w:r>
        <w:t xml:space="preserve">= 50) and some were not described thoroughly enough to make a determination (</w:t>
      </w:r>
      <w:r>
        <w:rPr>
          <w:i/>
          <w:iCs/>
        </w:rPr>
        <w:t xml:space="preserve">k</w:t>
      </w:r>
      <w:r>
        <w:t xml:space="preserve"> </w:t>
      </w:r>
      <w:r>
        <w:t xml:space="preserve">= 40). The majority of effect sizes came from in-person studies (</w:t>
      </w:r>
      <w:r>
        <w:rPr>
          <w:i/>
          <w:iCs/>
        </w:rPr>
        <w:t xml:space="preserve">k</w:t>
      </w:r>
      <w:r>
        <w:t xml:space="preserve"> </w:t>
      </w:r>
      <w:r>
        <w:t xml:space="preserve">= 187), but some were from online studies (</w:t>
      </w:r>
      <w:r>
        <w:rPr>
          <w:i/>
          <w:iCs/>
        </w:rPr>
        <w:t xml:space="preserve">k</w:t>
      </w:r>
      <w:r>
        <w:t xml:space="preserve"> </w:t>
      </w:r>
      <w:r>
        <w:t xml:space="preserve">= 52) or not described thoroughly enough to make a determination (</w:t>
      </w:r>
      <w:r>
        <w:rPr>
          <w:i/>
          <w:iCs/>
        </w:rPr>
        <w:t xml:space="preserve">k</w:t>
      </w:r>
      <w:r>
        <w:t xml:space="preserve"> </w:t>
      </w:r>
      <w:r>
        <w:t xml:space="preserve">= 13).</w:t>
      </w:r>
    </w:p>
    <w:bookmarkStart w:id="50" w:name="overall-results"/>
    <w:p>
      <w:pPr>
        <w:pStyle w:val="berschrift3"/>
      </w:pPr>
      <w:r>
        <w:t xml:space="preserve">Overall 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g</m:t>
        </m:r>
      </m:oMath>
      <w:r>
        <w:t xml:space="preserve"> </w:t>
      </w:r>
      <w:r>
        <w:t xml:space="preserve">= 0.21, 95% CI [0.12, 0.31],</w:t>
      </w:r>
      <w:r>
        <w:t xml:space="preserve"> </w:t>
      </w:r>
      <m:oMath>
        <m:r>
          <m:t>t</m:t>
        </m:r>
      </m:oMath>
      <w:r>
        <w:t xml:space="preserve">(47.30) = 4.53,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9000" cy="6097563"/>
            <wp:effectExtent b="0" l="0" r="0" t="0"/>
            <wp:docPr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title="" id="47" name="Picture"/>
            <a:graphic>
              <a:graphicData uri="http://schemas.openxmlformats.org/drawingml/2006/picture">
                <pic:pic>
                  <pic:nvPicPr>
                    <pic:cNvPr descr="metaware_manuscript_files/figure-docx/forest-1.png" id="48" name="Picture"/>
                    <pic:cNvPicPr>
                      <a:picLocks noChangeArrowheads="1" noChangeAspect="1"/>
                    </pic:cNvPicPr>
                  </pic:nvPicPr>
                  <pic:blipFill>
                    <a:blip r:embed="rId46"/>
                    <a:stretch>
                      <a:fillRect/>
                    </a:stretch>
                  </pic:blipFill>
                  <pic:spPr bwMode="auto">
                    <a:xfrm>
                      <a:off x="0" y="0"/>
                      <a:ext cx="5969000" cy="6097563"/>
                    </a:xfrm>
                    <a:prstGeom prst="rect">
                      <a:avLst/>
                    </a:prstGeom>
                    <a:noFill/>
                    <a:ln w="9525">
                      <a:noFill/>
                      <a:headEnd/>
                      <a:tailEnd/>
                    </a:ln>
                  </pic:spPr>
                </pic:pic>
              </a:graphicData>
            </a:graphic>
          </wp:inline>
        </w:drawing>
      </w:r>
    </w:p>
    <w:p>
      <w:pPr>
        <w:pStyle w:val="ImageCaption"/>
      </w:pPr>
      <w:bookmarkStart w:id="49" w:name="fig:forest"/>
      <w:bookmarkEnd w:id="49"/>
      <w:r>
        <w:rPr>
          <w:i/>
          <w:iCs/>
        </w:rPr>
        <w:t xml:space="preserve">Figure</w:t>
      </w:r>
      <w:r>
        <w:t xml:space="preserve"> </w:t>
      </w:r>
      <w:r>
        <w:t xml:space="preserve">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pPr>
        <w:pStyle w:val="Textkrper"/>
      </w:pPr>
      <w:r>
        <w:t xml:space="preserve">As a reminder, rather than assuming that there is a</w:t>
      </w:r>
      <w:r>
        <w:t xml:space="preserve"> </w:t>
      </w:r>
      <w:r>
        <w:rPr>
          <w:i/>
          <w:iCs/>
        </w:rPr>
        <w:t xml:space="preserve">single true effect</w:t>
      </w:r>
      <w:r>
        <w:t xml:space="preserve"> </w:t>
      </w:r>
      <w:r>
        <w:t xml:space="preserve">of demand characteristics, 3LMA assumes a distribution of</w:t>
      </w:r>
      <w:r>
        <w:t xml:space="preserve"> </w:t>
      </w:r>
      <w:r>
        <w:rPr>
          <w:i/>
          <w:iCs/>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0.28; within-study</w:t>
      </w:r>
      <w:r>
        <w:t xml:space="preserve"> </w:t>
      </w:r>
      <m:oMath>
        <m:r>
          <m:t>σ</m:t>
        </m:r>
      </m:oMath>
      <w:r>
        <w:t xml:space="preserve"> </w:t>
      </w:r>
      <w:r>
        <w:t xml:space="preserve">= 0.18;</w:t>
      </w:r>
      <w:r>
        <w:t xml:space="preserve"> </w:t>
      </w:r>
      <m:oMath>
        <m:r>
          <m:t>Q</m:t>
        </m:r>
      </m:oMath>
      <w:r>
        <w:t xml:space="preserve">(251) = 972.42,</w:t>
      </w:r>
      <w:r>
        <w:t xml:space="preserve"> </w:t>
      </w:r>
      <m:oMath>
        <m:r>
          <m:t>p</m:t>
        </m:r>
      </m:oMath>
      <w:r>
        <w:t xml:space="preserve"> </w:t>
      </w:r>
      <w:r>
        <w:t xml:space="preserve">&lt; .001). 3LMA often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3</w:t>
      </w:r>
      <w:r>
        <w:t xml:space="preserve">, this estimated distribution illustrates that demand characteristics can have a wide range of effects. Indeed, the 95% prediction interval for a single future study ranges from</w:t>
      </w:r>
      <w:r>
        <w:t xml:space="preserve"> </w:t>
      </w:r>
      <m:oMath>
        <m:r>
          <m:t>g</m:t>
        </m:r>
      </m:oMath>
      <w:r>
        <w:t xml:space="preserve"> </w:t>
      </w:r>
      <w:r>
        <w:t xml:space="preserve">= -0.46 to</w:t>
      </w:r>
      <w:r>
        <w:t xml:space="preserve"> </w:t>
      </w:r>
      <m:oMath>
        <m:r>
          <m:t>g</m:t>
        </m:r>
      </m:oMath>
      <w:r>
        <w:t xml:space="preserve"> </w:t>
      </w:r>
      <w:r>
        <w:t xml:space="preserve">= -0.46.</w:t>
      </w:r>
    </w:p>
    <w:p>
      <w:pPr>
        <w:pStyle w:val="Textkrper"/>
      </w:pPr>
      <w:r>
        <w:t xml:space="preserve">As a heuristic, we arbitrarily classified any effect size less than 0.10 standard deviation in either direction (i.e., |</w:t>
      </w:r>
      <m:oMath>
        <m:r>
          <m:t>g</m:t>
        </m:r>
      </m:oMath>
      <w:r>
        <w:t xml:space="preserve">| &lt; .10) as</w:t>
      </w:r>
      <w:r>
        <w:t xml:space="preserve"> </w:t>
      </w:r>
      <w:r>
        <w:t xml:space="preserve">“</w:t>
      </w:r>
      <w:r>
        <w:t xml:space="preserve">negligible</w:t>
      </w:r>
      <w:r>
        <w:t xml:space="preserve">”</w:t>
      </w:r>
      <w:r>
        <w:t xml:space="preserve">. Based on this classification, the estimated distribution of effects suggested that demand characteristics most often produce hypothesis-consistent shifts (63%), but sometimes produce negligible shifts (20%) or shifts in the</w:t>
      </w:r>
      <w:r>
        <w:t xml:space="preserve"> </w:t>
      </w:r>
      <w:r>
        <w:rPr>
          <w:i/>
          <w:iCs/>
        </w:rPr>
        <w:t xml:space="preserve">opposite</w:t>
      </w:r>
      <w:r>
        <w:t xml:space="preserve"> </w:t>
      </w:r>
      <w:r>
        <w:t xml:space="preserve">direction of the communicated hypothesis (17%). Such results are consistent with Rosnow and colleagues’ prediction that demand characteristics can lead to both hypothesis-consistent and hypothesis-</w:t>
      </w:r>
      <w:r>
        <w:rPr>
          <w:i/>
          <w:iCs/>
        </w:rPr>
        <w:t xml:space="preserve">inconsistent</w:t>
      </w:r>
      <w:r>
        <w:t xml:space="preserve"> </w:t>
      </w:r>
      <w:r>
        <w:t xml:space="preserve">shifts in participants’ responses.</w:t>
      </w:r>
    </w:p>
    <w:bookmarkEnd w:id="50"/>
    <w:bookmarkStart w:id="55" w:name="moderator-analyses"/>
    <w:p>
      <w:pPr>
        <w:pStyle w:val="berschrift3"/>
      </w:pPr>
      <w:r>
        <w:t xml:space="preserve">Moderator analyses.</w:t>
      </w:r>
    </w:p>
    <w:p>
      <w:pPr>
        <w:pStyle w:val="FirstParagraph"/>
      </w:pPr>
      <w:r>
        <w:t xml:space="preserve">When variability in effect sizes exceeds what would be expected from sampling error alone, it suggests the presence of moderators. Below, we examine several potential candidates.</w:t>
      </w:r>
    </w:p>
    <w:bookmarkStart w:id="52" w:name="study-features"/>
    <w:p>
      <w:pPr>
        <w:pStyle w:val="berschrift4"/>
      </w:pPr>
      <w:r>
        <w:t xml:space="preserve">Study features.</w:t>
      </w:r>
    </w:p>
    <w:p>
      <w:pPr>
        <w:pStyle w:val="FirstParagraph"/>
      </w:pPr>
      <w:r>
        <w:t xml:space="preserve">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pPr>
        <w:pStyle w:val="Textkrper"/>
      </w:pPr>
      <w:r>
        <w:t xml:space="preserve">The average effect sizes was estimated to be twice as large when two demand characteristic conditions were compared (</w:t>
      </w:r>
      <m:oMath>
        <m:r>
          <m:t>d</m:t>
        </m:r>
      </m:oMath>
      <w:r>
        <w:t xml:space="preserve"> </w:t>
      </w:r>
      <w:r>
        <w:t xml:space="preserve">= 0.34, 95% CI [0.19, 0.49],</w:t>
      </w:r>
      <w:r>
        <w:t xml:space="preserve"> </w:t>
      </w:r>
      <m:oMath>
        <m:r>
          <m:t>p</m:t>
        </m:r>
      </m:oMath>
      <w:r>
        <w:t xml:space="preserve"> </w:t>
      </w:r>
      <w:r>
        <w:t xml:space="preserve">&lt; .001), as opposed to one demand characteristic condition being compared to a control group (</w:t>
      </w:r>
      <m:oMath>
        <m:r>
          <m:t>d</m:t>
        </m:r>
      </m:oMath>
      <w:r>
        <w:t xml:space="preserve"> </w:t>
      </w:r>
      <w:r>
        <w:t xml:space="preserve">= 0.16, 95% CI [0.08, 0.25],</w:t>
      </w:r>
      <w:r>
        <w:t xml:space="preserve"> </w:t>
      </w:r>
      <m:oMath>
        <m:r>
          <m:t>p</m:t>
        </m:r>
      </m:oMath>
      <w:r>
        <w:t xml:space="preserve"> </w:t>
      </w:r>
      <w:r>
        <w:t xml:space="preserve">= &lt; .001),</w:t>
      </w:r>
      <w:r>
        <w:t xml:space="preserve"> </w:t>
      </w:r>
      <m:oMath>
        <m:r>
          <m:t>F</m:t>
        </m:r>
      </m:oMath>
      <w:r>
        <w:t xml:space="preserve">(1, 10.41) = 10.55,</w:t>
      </w:r>
      <w:r>
        <w:t xml:space="preserve"> </w:t>
      </w:r>
      <m:oMath>
        <m:r>
          <m:t>p</m:t>
        </m:r>
      </m:oMath>
      <w:r>
        <w:t xml:space="preserve"> </w:t>
      </w:r>
      <w:r>
        <w:t xml:space="preserve">= .008. This provides preliminary evidence that the effects of demand characteristics are additive. However, these results should be interpreted with some caution, as a broader test of whether</w:t>
      </w:r>
      <w:r>
        <w:t xml:space="preserve"> </w:t>
      </w:r>
      <w:r>
        <w:rPr>
          <w:i/>
          <w:iCs/>
        </w:rPr>
        <w:t xml:space="preserve">all</w:t>
      </w:r>
      <w:r>
        <w:t xml:space="preserve"> </w:t>
      </w:r>
      <w:r>
        <w:t xml:space="preserve">specific types of comparisons varied was not statistically significant,</w:t>
      </w:r>
      <w:r>
        <w:t xml:space="preserve"> </w:t>
      </w:r>
      <m:oMath>
        <m:r>
          <m:t>F</m:t>
        </m:r>
      </m:oMath>
      <w:r>
        <w:t xml:space="preserve">(4, 3.55) = 1.89,</w:t>
      </w:r>
      <w:r>
        <w:t xml:space="preserve"> </w:t>
      </w:r>
      <m:oMath>
        <m:r>
          <m:t>p</m:t>
        </m:r>
      </m:oMath>
      <w:r>
        <w:t xml:space="preserve"> </w:t>
      </w:r>
      <w:r>
        <w:t xml:space="preserve">= .292.</w:t>
      </w:r>
    </w:p>
    <w:p>
      <w:pPr>
        <w:pStyle w:val="Textkrper"/>
      </w:pPr>
      <w:r>
        <w:t xml:space="preserve">Instances where a demand characteristic condition was compared to a control group allowed us to test whether participants responses shift more when the researcher hypothesizes an increase (i.e., positive demand;</w:t>
      </w:r>
      <w:r>
        <w:t xml:space="preserve"> </w:t>
      </w:r>
      <m:oMath>
        <m:r>
          <m:t>d</m:t>
        </m:r>
      </m:oMath>
      <w:r>
        <w:t xml:space="preserve"> </w:t>
      </w:r>
      <w:r>
        <w:t xml:space="preserve">= 0.18, 95% CI [0.07, 0.29],</w:t>
      </w:r>
      <w:r>
        <w:t xml:space="preserve"> </w:t>
      </w:r>
      <m:oMath>
        <m:r>
          <m:t>p</m:t>
        </m:r>
      </m:oMath>
      <w:r>
        <w:t xml:space="preserve"> </w:t>
      </w:r>
      <w:r>
        <w:t xml:space="preserve">= .002), a decrease (i.e., negative demand;</w:t>
      </w:r>
      <w:r>
        <w:t xml:space="preserve"> </w:t>
      </w:r>
      <m:oMath>
        <m:r>
          <m:t>d</m:t>
        </m:r>
      </m:oMath>
      <w:r>
        <w:t xml:space="preserve"> </w:t>
      </w:r>
      <w:r>
        <w:t xml:space="preserve">= 0.20, 95% CI [0.07, 0.33],</w:t>
      </w:r>
      <w:r>
        <w:t xml:space="preserve"> </w:t>
      </w:r>
      <m:oMath>
        <m:r>
          <m:t>p</m:t>
        </m:r>
      </m:oMath>
      <w:r>
        <w:t xml:space="preserve"> </w:t>
      </w:r>
      <w:r>
        <w:t xml:space="preserve">= .005), or no change in the dependent variable (i.e., nil demand;</w:t>
      </w:r>
      <w:r>
        <w:t xml:space="preserve"> </w:t>
      </w:r>
      <m:oMath>
        <m:r>
          <m:t>d</m:t>
        </m:r>
      </m:oMath>
      <w:r>
        <w:t xml:space="preserve"> </w:t>
      </w:r>
      <w:r>
        <w:t xml:space="preserve">= 0.27, 95% CI [-0.20, 0.75],</w:t>
      </w:r>
      <w:r>
        <w:t xml:space="preserve"> </w:t>
      </w:r>
      <m:oMath>
        <m:r>
          <m:t>p</m:t>
        </m:r>
      </m:oMath>
      <w:r>
        <w:t xml:space="preserve"> </w:t>
      </w:r>
      <w:r>
        <w:t xml:space="preserve">= .169). We did not find this to be the case,</w:t>
      </w:r>
      <w:r>
        <w:t xml:space="preserve"> </w:t>
      </w:r>
      <m:oMath>
        <m:r>
          <m:t>F</m:t>
        </m:r>
      </m:oMath>
      <w:r>
        <w:t xml:space="preserve">(2, 4.16) = 0.18,</w:t>
      </w:r>
      <w:r>
        <w:t xml:space="preserve"> </w:t>
      </w:r>
      <m:oMath>
        <m:r>
          <m:t>p</m:t>
        </m:r>
      </m:oMath>
      <w:r>
        <w:t xml:space="preserve"> </w:t>
      </w:r>
      <w:r>
        <w:t xml:space="preserve">= .842. We also did not find that demand effects significantly varied depending on whether they were manipulated within- (</w:t>
      </w:r>
      <m:oMath>
        <m:r>
          <m:t>d</m:t>
        </m:r>
      </m:oMath>
      <w:r>
        <w:t xml:space="preserve"> </w:t>
      </w:r>
      <w:r>
        <w:t xml:space="preserve">= 0.23, 95% CI [0.12, 0.35],</w:t>
      </w:r>
      <w:r>
        <w:t xml:space="preserve"> </w:t>
      </w:r>
      <m:oMath>
        <m:r>
          <m:t>p</m:t>
        </m:r>
      </m:oMath>
      <w:r>
        <w:t xml:space="preserve"> </w:t>
      </w:r>
      <w:r>
        <w:t xml:space="preserve">&lt; .001) vs. between-subjects (</w:t>
      </w:r>
      <m:oMath>
        <m:r>
          <m:t>d</m:t>
        </m:r>
      </m:oMath>
      <w:r>
        <w:t xml:space="preserve"> </w:t>
      </w:r>
      <w:r>
        <w:t xml:space="preserve">= 0.14, 95% CI [0.03, 0.25],</w:t>
      </w:r>
      <w:r>
        <w:t xml:space="preserve"> </w:t>
      </w:r>
      <m:oMath>
        <m:r>
          <m:t>p</m:t>
        </m:r>
      </m:oMath>
      <w:r>
        <w:t xml:space="preserve"> </w:t>
      </w:r>
      <w:r>
        <w:t xml:space="preserve">= .016),</w:t>
      </w:r>
      <w:r>
        <w:t xml:space="preserve"> </w:t>
      </w:r>
      <m:oMath>
        <m:r>
          <m:t>F</m:t>
        </m:r>
      </m:oMath>
      <w:r>
        <w:t xml:space="preserve">(1, 10.61) = 1.76,</w:t>
      </w:r>
      <w:r>
        <w:t xml:space="preserve"> </w:t>
      </w:r>
      <m:oMath>
        <m:r>
          <m:t>p</m:t>
        </m:r>
      </m:oMath>
      <w:r>
        <w:t xml:space="preserve"> </w:t>
      </w:r>
      <w:r>
        <w:t xml:space="preserve">= .213</w:t>
      </w:r>
    </w:p>
    <w:p>
      <w:pPr>
        <w:pStyle w:val="Textkrper"/>
      </w:pPr>
      <w:r>
        <w:t xml:space="preserve">Demand effects tended to be slightly more positive for in-person (</w:t>
      </w:r>
      <m:oMath>
        <m:r>
          <m:t>g</m:t>
        </m:r>
      </m:oMath>
      <w:r>
        <w:t xml:space="preserve"> </w:t>
      </w:r>
      <w:r>
        <w:t xml:space="preserve">= 0.31, 95% CI [0.16, 0.46],</w:t>
      </w:r>
      <w:r>
        <w:t xml:space="preserve"> </w:t>
      </w:r>
      <m:oMath>
        <m:r>
          <m:t>p</m:t>
        </m:r>
      </m:oMath>
      <w:r>
        <w:t xml:space="preserve"> </w:t>
      </w:r>
      <w:r>
        <w:t xml:space="preserve">&lt; .001) vs. online (</w:t>
      </w:r>
      <m:oMath>
        <m:r>
          <m:t>g</m:t>
        </m:r>
      </m:oMath>
      <w:r>
        <w:t xml:space="preserve"> </w:t>
      </w:r>
      <w:r>
        <w:t xml:space="preserve">= 0.10, 95% CI [0.01, 0.19],</w:t>
      </w:r>
      <w:r>
        <w:t xml:space="preserve"> </w:t>
      </w:r>
      <m:oMath>
        <m:r>
          <m:t>p</m:t>
        </m:r>
      </m:oMath>
      <w:r>
        <w:t xml:space="preserve"> </w:t>
      </w:r>
      <w:r>
        <w:t xml:space="preserve">= .029) studies,</w:t>
      </w:r>
      <w:r>
        <w:t xml:space="preserve"> </w:t>
      </w:r>
      <m:oMath>
        <m:r>
          <m:t>F</m:t>
        </m:r>
      </m:oMath>
      <w:r>
        <w:t xml:space="preserve">(1, 30.58) = 5.92,</w:t>
      </w:r>
      <w:r>
        <w:t xml:space="preserve"> </w:t>
      </w:r>
      <m:oMath>
        <m:r>
          <m:t>p</m:t>
        </m:r>
      </m:oMath>
      <w:r>
        <w:t xml:space="preserve"> </w:t>
      </w:r>
      <w:r>
        <w:t xml:space="preserve">= .021. However, we did not find that demand effects significantly varied depending on whether students (</w:t>
      </w:r>
      <m:oMath>
        <m:r>
          <m:t>d</m:t>
        </m:r>
      </m:oMath>
      <w:r>
        <w:t xml:space="preserve"> </w:t>
      </w:r>
      <w:r>
        <w:t xml:space="preserve">= 0.27, 95% CI [0.13, 0.40],</w:t>
      </w:r>
      <w:r>
        <w:t xml:space="preserve"> </w:t>
      </w:r>
      <m:oMath>
        <m:r>
          <m:t>p</m:t>
        </m:r>
      </m:oMath>
      <w:r>
        <w:t xml:space="preserve"> </w:t>
      </w:r>
      <w:r>
        <w:t xml:space="preserve">&lt; .001), non-students (</w:t>
      </w:r>
      <m:oMath>
        <m:r>
          <m:t>d</m:t>
        </m:r>
      </m:oMath>
      <w:r>
        <w:t xml:space="preserve"> </w:t>
      </w:r>
      <w:r>
        <w:t xml:space="preserve">= 0.08, 95% CI [-0.01, 0.17],</w:t>
      </w:r>
      <w:r>
        <w:t xml:space="preserve"> </w:t>
      </w:r>
      <m:oMath>
        <m:r>
          <m:t>p</m:t>
        </m:r>
      </m:oMath>
      <w:r>
        <w:t xml:space="preserve"> </w:t>
      </w:r>
      <w:r>
        <w:t xml:space="preserve">= .076), or a mix of students and non-students (</w:t>
      </w:r>
      <m:oMath>
        <m:r>
          <m:t>d</m:t>
        </m:r>
      </m:oMath>
      <w:r>
        <w:t xml:space="preserve"> </w:t>
      </w:r>
      <w:r>
        <w:t xml:space="preserve">= 0.05, 95% CI [-1.00, 1.09],</w:t>
      </w:r>
      <w:r>
        <w:t xml:space="preserve"> </w:t>
      </w:r>
      <m:oMath>
        <m:r>
          <m:t>p</m:t>
        </m:r>
      </m:oMath>
      <w:r>
        <w:t xml:space="preserve"> </w:t>
      </w:r>
      <w:r>
        <w:t xml:space="preserve">= .680) were sampled,</w:t>
      </w:r>
      <w:r>
        <w:t xml:space="preserve"> </w:t>
      </w:r>
      <m:oMath>
        <m:r>
          <m:t>F</m:t>
        </m:r>
      </m:oMath>
      <w:r>
        <w:t xml:space="preserve">(2, 2.11) = 2.20,</w:t>
      </w:r>
      <w:r>
        <w:t xml:space="preserve"> </w:t>
      </w:r>
      <m:oMath>
        <m:r>
          <m:t>p</m:t>
        </m:r>
      </m:oMath>
      <w:r>
        <w:t xml:space="preserve"> </w:t>
      </w:r>
      <w:r>
        <w:t xml:space="preserve">= .304. We also did not find that demand effects significantly varied depending on whether those participants were paid (</w:t>
      </w:r>
      <m:oMath>
        <m:r>
          <m:t>d</m:t>
        </m:r>
      </m:oMath>
      <w:r>
        <w:t xml:space="preserve"> </w:t>
      </w:r>
      <w:r>
        <w:t xml:space="preserve">= 0.13, 95% CI [0.00, 0.26],</w:t>
      </w:r>
      <w:r>
        <w:t xml:space="preserve"> </w:t>
      </w:r>
      <m:oMath>
        <m:r>
          <m:t>p</m:t>
        </m:r>
      </m:oMath>
      <w:r>
        <w:t xml:space="preserve"> </w:t>
      </w:r>
      <w:r>
        <w:t xml:space="preserve">= .048) vs. unpaid (</w:t>
      </w:r>
      <m:oMath>
        <m:r>
          <m:t>d</m:t>
        </m:r>
      </m:oMath>
      <w:r>
        <w:t xml:space="preserve"> </w:t>
      </w:r>
      <w:r>
        <w:t xml:space="preserve">= 0.21, 95% CI [0.09, 0.32],</w:t>
      </w:r>
      <w:r>
        <w:t xml:space="preserve"> </w:t>
      </w:r>
      <m:oMath>
        <m:r>
          <m:t>p</m:t>
        </m:r>
      </m:oMath>
      <w:r>
        <w:t xml:space="preserve"> </w:t>
      </w:r>
      <w:r>
        <w:t xml:space="preserve">= &lt; .001),</w:t>
      </w:r>
      <w:r>
        <w:t xml:space="preserve"> </w:t>
      </w:r>
      <m:oMath>
        <m:r>
          <m:t>F</m:t>
        </m:r>
      </m:oMath>
      <w:r>
        <w:t xml:space="preserve">(1, 20.94) = 0.84,</w:t>
      </w:r>
      <w:r>
        <w:t xml:space="preserve"> </w:t>
      </w:r>
      <m:oMath>
        <m:r>
          <m:t>p</m:t>
        </m:r>
      </m:oMath>
      <w:r>
        <w:t xml:space="preserve"> </w:t>
      </w:r>
      <w:r>
        <w:t xml:space="preserve">= .371.</w:t>
      </w:r>
    </w:p>
    <w:p>
      <w:pPr>
        <w:pStyle w:val="TableCaption"/>
      </w:pPr>
      <w:r>
        <w:t xml:space="preserve">(#tab:f.mod.table) Study</w:t>
      </w:r>
      <w:r>
        <w:t xml:space="preserve"> </w:t>
      </w:r>
      <w:r>
        <w:br/>
      </w:r>
      <w:r>
        <w:rPr>
          <w:i/>
          <w:iCs/>
        </w:rPr>
        <w:t xml:space="preserve"> </w:t>
      </w:r>
      <w:r>
        <w:rPr>
          <w:i/>
          <w:iCs/>
        </w:rPr>
        <w:t xml:space="preserve">moderator</w:t>
      </w:r>
      <w:r>
        <w:rPr>
          <w:i/>
          <w:iCs/>
        </w:rPr>
        <w:t xml:space="preserve"> </w:t>
      </w:r>
      <w:r>
        <w:rPr>
          <w:i/>
          <w:iCs/>
        </w:rPr>
        <w:t xml:space="preserve">and</w:t>
      </w:r>
      <w:r>
        <w:rPr>
          <w:i/>
          <w:iCs/>
        </w:rPr>
        <w:t xml:space="preserve"> </w:t>
      </w:r>
      <w:r>
        <w:rPr>
          <w:i/>
          <w:iCs/>
        </w:rPr>
        <w:t xml:space="preserve">subgroup</w:t>
      </w:r>
      <w:r>
        <w:rPr>
          <w:i/>
          <w:iCs/>
        </w:rPr>
        <w:t xml:space="preserve"> </w:t>
      </w:r>
      <w:r>
        <w:rPr>
          <w:i/>
          <w:iCs/>
        </w:rPr>
        <w:t xml:space="preserve">analyses</w:t>
      </w:r>
    </w:p>
    <w:tbl>
      <w:tblPr>
        <w:tblStyle w:val="Table"/>
        <w:tblW w:type="auto" w:w="0"/>
        <w:tblLook w:firstRow="1" w:lastRow="0" w:firstColumn="0" w:lastColumn="0" w:noHBand="0" w:noVBand="0" w:val="0020"/>
        <w:tblCaption w:val="(#tab:f.mod.table) Study   moderator and subgroup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Group comparison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1.89</w:t>
            </w:r>
          </w:p>
        </w:tc>
        <w:tc>
          <w:tcPr/>
          <w:p>
            <w:pPr>
              <w:pStyle w:val="Compact"/>
              <w:jc w:val="left"/>
            </w:pPr>
            <w:r>
              <w:t xml:space="preserve">.292</w:t>
            </w:r>
          </w:p>
        </w:tc>
      </w:tr>
      <w:tr>
        <w:tc>
          <w:tcPr/>
          <w:p>
            <w:pPr>
              <w:pStyle w:val="Compact"/>
              <w:jc w:val="left"/>
            </w:pPr>
            <w:r>
              <w:t xml:space="preserve">     positive vs. control</w:t>
            </w:r>
          </w:p>
        </w:tc>
        <w:tc>
          <w:tcPr/>
          <w:p>
            <w:pPr>
              <w:pStyle w:val="Compact"/>
              <w:jc w:val="left"/>
            </w:pPr>
            <w:r>
              <w:t xml:space="preserve">41</w:t>
            </w:r>
          </w:p>
        </w:tc>
        <w:tc>
          <w:tcPr/>
          <w:p>
            <w:pPr>
              <w:pStyle w:val="Compact"/>
              <w:jc w:val="left"/>
            </w:pPr>
            <w:r>
              <w:t xml:space="preserve">114</w:t>
            </w:r>
          </w:p>
        </w:tc>
        <w:tc>
          <w:tcPr/>
          <w:p>
            <w:pPr>
              <w:pStyle w:val="Compact"/>
              <w:jc w:val="left"/>
            </w:pPr>
            <w:r>
              <w:t xml:space="preserve">0.16</w:t>
            </w:r>
          </w:p>
        </w:tc>
        <w:tc>
          <w:tcPr/>
          <w:p>
            <w:pPr>
              <w:pStyle w:val="Compact"/>
              <w:jc w:val="left"/>
            </w:pPr>
            <w:r>
              <w:t xml:space="preserve">[0.05, 0.27]</w:t>
            </w:r>
          </w:p>
        </w:tc>
        <w:tc>
          <w:tcPr/>
          <w:p>
            <w:pPr>
              <w:pStyle w:val="Compact"/>
              <w:jc w:val="left"/>
            </w:pPr>
            <w:r>
              <w:t xml:space="preserve">8.35</w:t>
            </w:r>
          </w:p>
        </w:tc>
        <w:tc>
          <w:tcPr/>
          <w:p>
            <w:pPr>
              <w:pStyle w:val="Compact"/>
              <w:jc w:val="left"/>
            </w:pPr>
            <w:r>
              <w:t xml:space="preserve">.006</w:t>
            </w:r>
          </w:p>
        </w:tc>
      </w:tr>
      <w:tr>
        <w:tc>
          <w:tcPr/>
          <w:p>
            <w:pPr>
              <w:pStyle w:val="Compact"/>
              <w:jc w:val="left"/>
            </w:pPr>
            <w:r>
              <w:t xml:space="preserve">     nil vs. control</w:t>
            </w:r>
          </w:p>
        </w:tc>
        <w:tc>
          <w:tcPr/>
          <w:p>
            <w:pPr>
              <w:pStyle w:val="Compact"/>
              <w:jc w:val="left"/>
            </w:pPr>
            <w:r>
              <w:t xml:space="preserve">4</w:t>
            </w:r>
          </w:p>
        </w:tc>
        <w:tc>
          <w:tcPr/>
          <w:p>
            <w:pPr>
              <w:pStyle w:val="Compact"/>
              <w:jc w:val="left"/>
            </w:pPr>
            <w:r>
              <w:t xml:space="preserve">17</w:t>
            </w:r>
          </w:p>
        </w:tc>
        <w:tc>
          <w:tcPr/>
          <w:p>
            <w:pPr>
              <w:pStyle w:val="Compact"/>
              <w:jc w:val="left"/>
            </w:pPr>
            <w:r>
              <w:t xml:space="preserve">0.23</w:t>
            </w:r>
          </w:p>
        </w:tc>
        <w:tc>
          <w:tcPr/>
          <w:p>
            <w:pPr>
              <w:pStyle w:val="Compact"/>
              <w:jc w:val="left"/>
            </w:pPr>
            <w:r>
              <w:t xml:space="preserve">[-0.13, 0.58]</w:t>
            </w:r>
          </w:p>
        </w:tc>
        <w:tc>
          <w:tcPr/>
          <w:p>
            <w:pPr>
              <w:pStyle w:val="Compact"/>
              <w:jc w:val="left"/>
            </w:pPr>
            <w:r>
              <w:t xml:space="preserve">3.15</w:t>
            </w:r>
          </w:p>
        </w:tc>
        <w:tc>
          <w:tcPr/>
          <w:p>
            <w:pPr>
              <w:pStyle w:val="Compact"/>
              <w:jc w:val="left"/>
            </w:pPr>
            <w:r>
              <w:t xml:space="preserve">.152</w:t>
            </w:r>
          </w:p>
        </w:tc>
      </w:tr>
      <w:tr>
        <w:tc>
          <w:tcPr/>
          <w:p>
            <w:pPr>
              <w:pStyle w:val="Compact"/>
              <w:jc w:val="left"/>
            </w:pPr>
            <w:r>
              <w:t xml:space="preserve">     negative vs. control</w:t>
            </w:r>
          </w:p>
        </w:tc>
        <w:tc>
          <w:tcPr/>
          <w:p>
            <w:pPr>
              <w:pStyle w:val="Compact"/>
              <w:jc w:val="left"/>
            </w:pPr>
            <w:r>
              <w:t xml:space="preserve">17</w:t>
            </w:r>
          </w:p>
        </w:tc>
        <w:tc>
          <w:tcPr/>
          <w:p>
            <w:pPr>
              <w:pStyle w:val="Compact"/>
              <w:jc w:val="left"/>
            </w:pPr>
            <w:r>
              <w:t xml:space="preserve">43</w:t>
            </w:r>
          </w:p>
        </w:tc>
        <w:tc>
          <w:tcPr/>
          <w:p>
            <w:pPr>
              <w:pStyle w:val="Compact"/>
              <w:jc w:val="left"/>
            </w:pPr>
            <w:r>
              <w:t xml:space="preserve">0.16</w:t>
            </w:r>
          </w:p>
        </w:tc>
        <w:tc>
          <w:tcPr/>
          <w:p>
            <w:pPr>
              <w:pStyle w:val="Compact"/>
              <w:jc w:val="left"/>
            </w:pPr>
            <w:r>
              <w:t xml:space="preserve">[0.03, 0.29]</w:t>
            </w:r>
          </w:p>
        </w:tc>
        <w:tc>
          <w:tcPr/>
          <w:p>
            <w:pPr>
              <w:pStyle w:val="Compact"/>
              <w:jc w:val="left"/>
            </w:pPr>
            <w:r>
              <w:t xml:space="preserve">7.13</w:t>
            </w:r>
          </w:p>
        </w:tc>
        <w:tc>
          <w:tcPr/>
          <w:p>
            <w:pPr>
              <w:pStyle w:val="Compact"/>
              <w:jc w:val="left"/>
            </w:pPr>
            <w:r>
              <w:t xml:space="preserve">.016</w:t>
            </w:r>
          </w:p>
        </w:tc>
      </w:tr>
      <w:tr>
        <w:tc>
          <w:tcPr/>
          <w:p>
            <w:pPr>
              <w:pStyle w:val="Compact"/>
              <w:jc w:val="left"/>
            </w:pPr>
            <w:r>
              <w:t xml:space="preserve">     positive vs. nil</w:t>
            </w:r>
          </w:p>
        </w:tc>
        <w:tc>
          <w:tcPr/>
          <w:p>
            <w:pPr>
              <w:pStyle w:val="Compact"/>
              <w:jc w:val="left"/>
            </w:pPr>
            <w:r>
              <w:t xml:space="preserve">8</w:t>
            </w:r>
          </w:p>
        </w:tc>
        <w:tc>
          <w:tcPr/>
          <w:p>
            <w:pPr>
              <w:pStyle w:val="Compact"/>
              <w:jc w:val="left"/>
            </w:pPr>
            <w:r>
              <w:t xml:space="preserve">34</w:t>
            </w:r>
          </w:p>
        </w:tc>
        <w:tc>
          <w:tcPr/>
          <w:p>
            <w:pPr>
              <w:pStyle w:val="Compact"/>
              <w:jc w:val="left"/>
            </w:pPr>
            <w:r>
              <w:t xml:space="preserve">0.37</w:t>
            </w:r>
          </w:p>
        </w:tc>
        <w:tc>
          <w:tcPr/>
          <w:p>
            <w:pPr>
              <w:pStyle w:val="Compact"/>
              <w:jc w:val="left"/>
            </w:pPr>
            <w:r>
              <w:t xml:space="preserve">[0.02, 0.72]</w:t>
            </w:r>
          </w:p>
        </w:tc>
        <w:tc>
          <w:tcPr/>
          <w:p>
            <w:pPr>
              <w:pStyle w:val="Compact"/>
              <w:jc w:val="left"/>
            </w:pPr>
            <w:r>
              <w:t xml:space="preserve">6.39</w:t>
            </w:r>
          </w:p>
        </w:tc>
        <w:tc>
          <w:tcPr/>
          <w:p>
            <w:pPr>
              <w:pStyle w:val="Compact"/>
              <w:jc w:val="left"/>
            </w:pPr>
            <w:r>
              <w:t xml:space="preserve">.040</w:t>
            </w:r>
          </w:p>
        </w:tc>
      </w:tr>
      <w:tr>
        <w:tc>
          <w:tcPr/>
          <w:p>
            <w:pPr>
              <w:pStyle w:val="Compact"/>
              <w:jc w:val="left"/>
            </w:pPr>
            <w:r>
              <w:t xml:space="preserve">     positive vs. negative</w:t>
            </w:r>
          </w:p>
        </w:tc>
        <w:tc>
          <w:tcPr/>
          <w:p>
            <w:pPr>
              <w:pStyle w:val="Compact"/>
              <w:jc w:val="left"/>
            </w:pPr>
            <w:r>
              <w:t xml:space="preserve">16</w:t>
            </w:r>
          </w:p>
        </w:tc>
        <w:tc>
          <w:tcPr/>
          <w:p>
            <w:pPr>
              <w:pStyle w:val="Compact"/>
              <w:jc w:val="left"/>
            </w:pPr>
            <w:r>
              <w:t xml:space="preserve">44</w:t>
            </w:r>
          </w:p>
        </w:tc>
        <w:tc>
          <w:tcPr/>
          <w:p>
            <w:pPr>
              <w:pStyle w:val="Compact"/>
              <w:jc w:val="left"/>
            </w:pPr>
            <w:r>
              <w:t xml:space="preserve">0.33</w:t>
            </w:r>
          </w:p>
        </w:tc>
        <w:tc>
          <w:tcPr/>
          <w:p>
            <w:pPr>
              <w:pStyle w:val="Compact"/>
              <w:jc w:val="left"/>
            </w:pPr>
            <w:r>
              <w:t xml:space="preserve">[0.15, 0.51]</w:t>
            </w:r>
          </w:p>
        </w:tc>
        <w:tc>
          <w:tcPr/>
          <w:p>
            <w:pPr>
              <w:pStyle w:val="Compact"/>
              <w:jc w:val="left"/>
            </w:pPr>
            <w:r>
              <w:t xml:space="preserve">15.74</w:t>
            </w:r>
          </w:p>
        </w:tc>
        <w:tc>
          <w:tcPr/>
          <w:p>
            <w:pPr>
              <w:pStyle w:val="Compact"/>
              <w:jc w:val="left"/>
            </w:pPr>
            <w:r>
              <w:t xml:space="preserve">.001</w:t>
            </w:r>
          </w:p>
        </w:tc>
      </w:tr>
      <w:tr>
        <w:tc>
          <w:tcPr/>
          <w:p>
            <w:pPr>
              <w:pStyle w:val="Compact"/>
              <w:jc w:val="left"/>
            </w:pPr>
            <w:r>
              <w:t xml:space="preserve">Control vs. non-control group comparison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10.55</w:t>
            </w:r>
          </w:p>
        </w:tc>
        <w:tc>
          <w:tcPr/>
          <w:p>
            <w:pPr>
              <w:pStyle w:val="Compact"/>
              <w:jc w:val="left"/>
            </w:pPr>
            <w:r>
              <w:t xml:space="preserve">.008</w:t>
            </w:r>
          </w:p>
        </w:tc>
      </w:tr>
      <w:tr>
        <w:tc>
          <w:tcPr/>
          <w:p>
            <w:pPr>
              <w:pStyle w:val="Compact"/>
              <w:jc w:val="left"/>
            </w:pPr>
            <w:r>
              <w:t xml:space="preserve">     control</w:t>
            </w:r>
          </w:p>
        </w:tc>
        <w:tc>
          <w:tcPr/>
          <w:p>
            <w:pPr>
              <w:pStyle w:val="Compact"/>
              <w:jc w:val="left"/>
            </w:pPr>
            <w:r>
              <w:t xml:space="preserve">44</w:t>
            </w:r>
          </w:p>
        </w:tc>
        <w:tc>
          <w:tcPr/>
          <w:p>
            <w:pPr>
              <w:pStyle w:val="Compact"/>
              <w:jc w:val="left"/>
            </w:pPr>
            <w:r>
              <w:t xml:space="preserve">174</w:t>
            </w:r>
          </w:p>
        </w:tc>
        <w:tc>
          <w:tcPr/>
          <w:p>
            <w:pPr>
              <w:pStyle w:val="Compact"/>
              <w:jc w:val="left"/>
            </w:pPr>
            <w:r>
              <w:t xml:space="preserve">0.16</w:t>
            </w:r>
          </w:p>
        </w:tc>
        <w:tc>
          <w:tcPr/>
          <w:p>
            <w:pPr>
              <w:pStyle w:val="Compact"/>
              <w:jc w:val="left"/>
            </w:pPr>
            <w:r>
              <w:t xml:space="preserve">[0.08, 0.25]</w:t>
            </w:r>
          </w:p>
        </w:tc>
        <w:tc>
          <w:tcPr/>
          <w:p>
            <w:pPr>
              <w:pStyle w:val="Compact"/>
              <w:jc w:val="left"/>
            </w:pPr>
            <w:r>
              <w:t xml:space="preserve">14.15</w:t>
            </w:r>
          </w:p>
        </w:tc>
        <w:tc>
          <w:tcPr/>
          <w:p>
            <w:pPr>
              <w:pStyle w:val="Compact"/>
              <w:jc w:val="left"/>
            </w:pPr>
            <w:r>
              <w:t xml:space="preserve">&lt; .001</w:t>
            </w:r>
          </w:p>
        </w:tc>
      </w:tr>
      <w:tr>
        <w:tc>
          <w:tcPr/>
          <w:p>
            <w:pPr>
              <w:pStyle w:val="Compact"/>
              <w:jc w:val="left"/>
            </w:pPr>
            <w:r>
              <w:t xml:space="preserve">     non-control</w:t>
            </w:r>
          </w:p>
        </w:tc>
        <w:tc>
          <w:tcPr/>
          <w:p>
            <w:pPr>
              <w:pStyle w:val="Compact"/>
              <w:jc w:val="left"/>
            </w:pPr>
            <w:r>
              <w:t xml:space="preserve">24</w:t>
            </w:r>
          </w:p>
        </w:tc>
        <w:tc>
          <w:tcPr/>
          <w:p>
            <w:pPr>
              <w:pStyle w:val="Compact"/>
              <w:jc w:val="left"/>
            </w:pPr>
            <w:r>
              <w:t xml:space="preserve">78</w:t>
            </w:r>
          </w:p>
        </w:tc>
        <w:tc>
          <w:tcPr/>
          <w:p>
            <w:pPr>
              <w:pStyle w:val="Compact"/>
              <w:jc w:val="left"/>
            </w:pPr>
            <w:r>
              <w:t xml:space="preserve">0.34</w:t>
            </w:r>
          </w:p>
        </w:tc>
        <w:tc>
          <w:tcPr/>
          <w:p>
            <w:pPr>
              <w:pStyle w:val="Compact"/>
              <w:jc w:val="left"/>
            </w:pPr>
            <w:r>
              <w:t xml:space="preserve">[0.19, 0.49]</w:t>
            </w:r>
          </w:p>
        </w:tc>
        <w:tc>
          <w:tcPr/>
          <w:p>
            <w:pPr>
              <w:pStyle w:val="Compact"/>
              <w:jc w:val="left"/>
            </w:pPr>
            <w:r>
              <w:t xml:space="preserve">22.02</w:t>
            </w:r>
          </w:p>
        </w:tc>
        <w:tc>
          <w:tcPr/>
          <w:p>
            <w:pPr>
              <w:pStyle w:val="Compact"/>
              <w:jc w:val="left"/>
            </w:pPr>
            <w:r>
              <w:t xml:space="preserve">&lt; .001</w:t>
            </w:r>
          </w:p>
        </w:tc>
      </w:tr>
      <w:tr>
        <w:tc>
          <w:tcPr/>
          <w:p>
            <w:pPr>
              <w:pStyle w:val="Compact"/>
              <w:jc w:val="left"/>
            </w:pPr>
            <w:r>
              <w:t xml:space="preserve">Control group comparison (see levels above)</w:t>
            </w:r>
          </w:p>
        </w:tc>
        <w:tc>
          <w:tcPr/>
          <w:p>
            <w:pPr>
              <w:pStyle w:val="Compact"/>
              <w:jc w:val="left"/>
            </w:pPr>
            <w:r>
              <w:t xml:space="preserve">44</w:t>
            </w:r>
          </w:p>
        </w:tc>
        <w:tc>
          <w:tcPr/>
          <w:p>
            <w:pPr>
              <w:pStyle w:val="Compact"/>
              <w:jc w:val="left"/>
            </w:pPr>
            <w:r>
              <w:t xml:space="preserve">174</w:t>
            </w:r>
          </w:p>
        </w:tc>
        <w:tc>
          <w:tcPr/>
          <w:p>
            <w:pPr>
              <w:pStyle w:val="Compact"/>
              <w:jc w:val="left"/>
            </w:pPr>
            <w:r>
              <w:t xml:space="preserve">–</w:t>
            </w:r>
          </w:p>
        </w:tc>
        <w:tc>
          <w:tcPr/>
          <w:p>
            <w:pPr>
              <w:pStyle w:val="Compact"/>
              <w:jc w:val="left"/>
            </w:pPr>
            <w:r>
              <w:t xml:space="preserve">–</w:t>
            </w:r>
          </w:p>
        </w:tc>
        <w:tc>
          <w:tcPr/>
          <w:p>
            <w:pPr>
              <w:pStyle w:val="Compact"/>
              <w:jc w:val="left"/>
            </w:pPr>
            <w:r>
              <w:t xml:space="preserve">0.18</w:t>
            </w:r>
          </w:p>
        </w:tc>
        <w:tc>
          <w:tcPr/>
          <w:p>
            <w:pPr>
              <w:pStyle w:val="Compact"/>
              <w:jc w:val="left"/>
            </w:pPr>
            <w:r>
              <w:t xml:space="preserve">.842</w:t>
            </w:r>
          </w:p>
        </w:tc>
      </w:tr>
      <w:tr>
        <w:tc>
          <w:tcPr/>
          <w:p>
            <w:pPr>
              <w:pStyle w:val="Compact"/>
              <w:jc w:val="left"/>
            </w:pPr>
            <w:r>
              <w:t xml:space="preserve">Design of demand characteristics manipulation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1.76</w:t>
            </w:r>
          </w:p>
        </w:tc>
        <w:tc>
          <w:tcPr/>
          <w:p>
            <w:pPr>
              <w:pStyle w:val="Compact"/>
              <w:jc w:val="left"/>
            </w:pPr>
            <w:r>
              <w:t xml:space="preserve">.213</w:t>
            </w:r>
          </w:p>
        </w:tc>
      </w:tr>
      <w:tr>
        <w:tc>
          <w:tcPr/>
          <w:p>
            <w:pPr>
              <w:pStyle w:val="Compact"/>
              <w:jc w:val="left"/>
            </w:pPr>
            <w:r>
              <w:t xml:space="preserve">     within-subjects</w:t>
            </w:r>
          </w:p>
        </w:tc>
        <w:tc>
          <w:tcPr/>
          <w:p>
            <w:pPr>
              <w:pStyle w:val="Compact"/>
              <w:jc w:val="left"/>
            </w:pPr>
            <w:r>
              <w:t xml:space="preserve">14</w:t>
            </w:r>
          </w:p>
        </w:tc>
        <w:tc>
          <w:tcPr/>
          <w:p>
            <w:pPr>
              <w:pStyle w:val="Compact"/>
              <w:jc w:val="left"/>
            </w:pPr>
            <w:r>
              <w:t xml:space="preserve">44</w:t>
            </w:r>
          </w:p>
        </w:tc>
        <w:tc>
          <w:tcPr/>
          <w:p>
            <w:pPr>
              <w:pStyle w:val="Compact"/>
              <w:jc w:val="left"/>
            </w:pPr>
            <w:r>
              <w:t xml:space="preserve">0.14</w:t>
            </w:r>
          </w:p>
        </w:tc>
        <w:tc>
          <w:tcPr/>
          <w:p>
            <w:pPr>
              <w:pStyle w:val="Compact"/>
              <w:jc w:val="left"/>
            </w:pPr>
            <w:r>
              <w:t xml:space="preserve">[0.03, 0.25]</w:t>
            </w:r>
          </w:p>
        </w:tc>
        <w:tc>
          <w:tcPr/>
          <w:p>
            <w:pPr>
              <w:pStyle w:val="Compact"/>
              <w:jc w:val="left"/>
            </w:pPr>
            <w:r>
              <w:t xml:space="preserve">7.84</w:t>
            </w:r>
          </w:p>
        </w:tc>
        <w:tc>
          <w:tcPr/>
          <w:p>
            <w:pPr>
              <w:pStyle w:val="Compact"/>
              <w:jc w:val="left"/>
            </w:pPr>
            <w:r>
              <w:t xml:space="preserve">.016</w:t>
            </w:r>
          </w:p>
        </w:tc>
      </w:tr>
      <w:tr>
        <w:tc>
          <w:tcPr/>
          <w:p>
            <w:pPr>
              <w:pStyle w:val="Compact"/>
              <w:jc w:val="left"/>
            </w:pPr>
            <w:r>
              <w:t xml:space="preserve">     between-subjects</w:t>
            </w:r>
          </w:p>
        </w:tc>
        <w:tc>
          <w:tcPr/>
          <w:p>
            <w:pPr>
              <w:pStyle w:val="Compact"/>
              <w:jc w:val="left"/>
            </w:pPr>
            <w:r>
              <w:t xml:space="preserve">44</w:t>
            </w:r>
          </w:p>
        </w:tc>
        <w:tc>
          <w:tcPr/>
          <w:p>
            <w:pPr>
              <w:pStyle w:val="Compact"/>
              <w:jc w:val="left"/>
            </w:pPr>
            <w:r>
              <w:t xml:space="preserve">208</w:t>
            </w:r>
          </w:p>
        </w:tc>
        <w:tc>
          <w:tcPr/>
          <w:p>
            <w:pPr>
              <w:pStyle w:val="Compact"/>
              <w:jc w:val="left"/>
            </w:pPr>
            <w:r>
              <w:t xml:space="preserve">0.23</w:t>
            </w:r>
          </w:p>
        </w:tc>
        <w:tc>
          <w:tcPr/>
          <w:p>
            <w:pPr>
              <w:pStyle w:val="Compact"/>
              <w:jc w:val="left"/>
            </w:pPr>
            <w:r>
              <w:t xml:space="preserve">[0.12, 0.35]</w:t>
            </w:r>
          </w:p>
        </w:tc>
        <w:tc>
          <w:tcPr/>
          <w:p>
            <w:pPr>
              <w:pStyle w:val="Compact"/>
              <w:jc w:val="left"/>
            </w:pPr>
            <w:r>
              <w:t xml:space="preserve">16.48</w:t>
            </w:r>
          </w:p>
        </w:tc>
        <w:tc>
          <w:tcPr/>
          <w:p>
            <w:pPr>
              <w:pStyle w:val="Compact"/>
              <w:jc w:val="left"/>
            </w:pPr>
            <w:r>
              <w:t xml:space="preserve">&lt; .001</w:t>
            </w:r>
          </w:p>
        </w:tc>
      </w:tr>
      <w:tr>
        <w:tc>
          <w:tcPr/>
          <w:p>
            <w:pPr>
              <w:pStyle w:val="Compact"/>
              <w:jc w:val="left"/>
            </w:pPr>
            <w:r>
              <w:t xml:space="preserve">Participant pool</w:t>
            </w:r>
          </w:p>
        </w:tc>
        <w:tc>
          <w:tcPr/>
          <w:p>
            <w:pPr>
              <w:pStyle w:val="Compact"/>
              <w:jc w:val="left"/>
            </w:pPr>
            <w:r>
              <w:t xml:space="preserve">48</w:t>
            </w:r>
          </w:p>
        </w:tc>
        <w:tc>
          <w:tcPr/>
          <w:p>
            <w:pPr>
              <w:pStyle w:val="Compact"/>
              <w:jc w:val="left"/>
            </w:pPr>
            <w:r>
              <w:t xml:space="preserve">204</w:t>
            </w:r>
          </w:p>
        </w:tc>
        <w:tc>
          <w:tcPr/>
          <w:p>
            <w:pPr>
              <w:pStyle w:val="Compact"/>
              <w:jc w:val="left"/>
            </w:pPr>
            <w:r>
              <w:t xml:space="preserve">–</w:t>
            </w:r>
          </w:p>
        </w:tc>
        <w:tc>
          <w:tcPr/>
          <w:p>
            <w:pPr>
              <w:pStyle w:val="Compact"/>
              <w:jc w:val="left"/>
            </w:pPr>
            <w:r>
              <w:t xml:space="preserve">–</w:t>
            </w:r>
          </w:p>
        </w:tc>
        <w:tc>
          <w:tcPr/>
          <w:p>
            <w:pPr>
              <w:pStyle w:val="Compact"/>
              <w:jc w:val="left"/>
            </w:pPr>
            <w:r>
              <w:t xml:space="preserve">2.2</w:t>
            </w:r>
          </w:p>
        </w:tc>
        <w:tc>
          <w:tcPr/>
          <w:p>
            <w:pPr>
              <w:pStyle w:val="Compact"/>
              <w:jc w:val="left"/>
            </w:pPr>
            <w:r>
              <w:t xml:space="preserve">.304</w:t>
            </w:r>
          </w:p>
        </w:tc>
      </w:tr>
      <w:tr>
        <w:tc>
          <w:tcPr/>
          <w:p>
            <w:pPr>
              <w:pStyle w:val="Compact"/>
              <w:jc w:val="left"/>
            </w:pPr>
            <w:r>
              <w:t xml:space="preserve">     students</w:t>
            </w:r>
          </w:p>
        </w:tc>
        <w:tc>
          <w:tcPr/>
          <w:p>
            <w:pPr>
              <w:pStyle w:val="Compact"/>
              <w:jc w:val="left"/>
            </w:pPr>
            <w:r>
              <w:t xml:space="preserve">36</w:t>
            </w:r>
          </w:p>
        </w:tc>
        <w:tc>
          <w:tcPr/>
          <w:p>
            <w:pPr>
              <w:pStyle w:val="Compact"/>
              <w:jc w:val="left"/>
            </w:pPr>
            <w:r>
              <w:t xml:space="preserve">160</w:t>
            </w:r>
          </w:p>
        </w:tc>
        <w:tc>
          <w:tcPr/>
          <w:p>
            <w:pPr>
              <w:pStyle w:val="Compact"/>
              <w:jc w:val="left"/>
            </w:pPr>
            <w:r>
              <w:t xml:space="preserve">0.27</w:t>
            </w:r>
          </w:p>
        </w:tc>
        <w:tc>
          <w:tcPr/>
          <w:p>
            <w:pPr>
              <w:pStyle w:val="Compact"/>
              <w:jc w:val="left"/>
            </w:pPr>
            <w:r>
              <w:t xml:space="preserve">[0.13, 0.4]</w:t>
            </w:r>
          </w:p>
        </w:tc>
        <w:tc>
          <w:tcPr/>
          <w:p>
            <w:pPr>
              <w:pStyle w:val="Compact"/>
              <w:jc w:val="left"/>
            </w:pPr>
            <w:r>
              <w:t xml:space="preserve">16.16</w:t>
            </w:r>
          </w:p>
        </w:tc>
        <w:tc>
          <w:tcPr/>
          <w:p>
            <w:pPr>
              <w:pStyle w:val="Compact"/>
              <w:jc w:val="left"/>
            </w:pPr>
            <w:r>
              <w:t xml:space="preserve">&lt; .001</w:t>
            </w:r>
          </w:p>
        </w:tc>
      </w:tr>
      <w:tr>
        <w:tc>
          <w:tcPr/>
          <w:p>
            <w:pPr>
              <w:pStyle w:val="Compact"/>
              <w:jc w:val="left"/>
            </w:pPr>
            <w:r>
              <w:t xml:space="preserve">     non-students</w:t>
            </w:r>
          </w:p>
        </w:tc>
        <w:tc>
          <w:tcPr/>
          <w:p>
            <w:pPr>
              <w:pStyle w:val="Compact"/>
              <w:jc w:val="left"/>
            </w:pPr>
            <w:r>
              <w:t xml:space="preserve">11</w:t>
            </w:r>
          </w:p>
        </w:tc>
        <w:tc>
          <w:tcPr/>
          <w:p>
            <w:pPr>
              <w:pStyle w:val="Compact"/>
              <w:jc w:val="left"/>
            </w:pPr>
            <w:r>
              <w:t xml:space="preserve">25</w:t>
            </w:r>
          </w:p>
        </w:tc>
        <w:tc>
          <w:tcPr/>
          <w:p>
            <w:pPr>
              <w:pStyle w:val="Compact"/>
              <w:jc w:val="left"/>
            </w:pPr>
            <w:r>
              <w:t xml:space="preserve">0.08</w:t>
            </w:r>
          </w:p>
        </w:tc>
        <w:tc>
          <w:tcPr/>
          <w:p>
            <w:pPr>
              <w:pStyle w:val="Compact"/>
              <w:jc w:val="left"/>
            </w:pPr>
            <w:r>
              <w:t xml:space="preserve">[-0.01, 0.17]</w:t>
            </w:r>
          </w:p>
        </w:tc>
        <w:tc>
          <w:tcPr/>
          <w:p>
            <w:pPr>
              <w:pStyle w:val="Compact"/>
              <w:jc w:val="left"/>
            </w:pPr>
            <w:r>
              <w:t xml:space="preserve">3.96</w:t>
            </w:r>
          </w:p>
        </w:tc>
        <w:tc>
          <w:tcPr/>
          <w:p>
            <w:pPr>
              <w:pStyle w:val="Compact"/>
              <w:jc w:val="left"/>
            </w:pPr>
            <w:r>
              <w:t xml:space="preserve">.076</w:t>
            </w:r>
          </w:p>
        </w:tc>
      </w:tr>
      <w:tr>
        <w:tc>
          <w:tcPr/>
          <w:p>
            <w:pPr>
              <w:pStyle w:val="Compact"/>
              <w:jc w:val="left"/>
            </w:pPr>
            <w:r>
              <w:t xml:space="preserve">     mix</w:t>
            </w:r>
          </w:p>
        </w:tc>
        <w:tc>
          <w:tcPr/>
          <w:p>
            <w:pPr>
              <w:pStyle w:val="Compact"/>
              <w:jc w:val="left"/>
            </w:pPr>
            <w:r>
              <w:t xml:space="preserve">2</w:t>
            </w:r>
          </w:p>
        </w:tc>
        <w:tc>
          <w:tcPr/>
          <w:p>
            <w:pPr>
              <w:pStyle w:val="Compact"/>
              <w:jc w:val="left"/>
            </w:pPr>
            <w:r>
              <w:t xml:space="preserve">19</w:t>
            </w:r>
          </w:p>
        </w:tc>
        <w:tc>
          <w:tcPr/>
          <w:p>
            <w:pPr>
              <w:pStyle w:val="Compact"/>
              <w:jc w:val="left"/>
            </w:pPr>
            <w:r>
              <w:t xml:space="preserve">0.05</w:t>
            </w:r>
          </w:p>
        </w:tc>
        <w:tc>
          <w:tcPr/>
          <w:p>
            <w:pPr>
              <w:pStyle w:val="Compact"/>
              <w:jc w:val="left"/>
            </w:pPr>
            <w:r>
              <w:t xml:space="preserve">[-1, 1.09]</w:t>
            </w:r>
          </w:p>
        </w:tc>
        <w:tc>
          <w:tcPr/>
          <w:p>
            <w:pPr>
              <w:pStyle w:val="Compact"/>
              <w:jc w:val="left"/>
            </w:pPr>
            <w:r>
              <w:t xml:space="preserve">0.3</w:t>
            </w:r>
          </w:p>
        </w:tc>
        <w:tc>
          <w:tcPr/>
          <w:p>
            <w:pPr>
              <w:pStyle w:val="Compact"/>
              <w:jc w:val="left"/>
            </w:pPr>
            <w:r>
              <w:t xml:space="preserve">.680</w:t>
            </w:r>
          </w:p>
        </w:tc>
      </w:tr>
      <w:tr>
        <w:tc>
          <w:tcPr/>
          <w:p>
            <w:pPr>
              <w:pStyle w:val="Compact"/>
              <w:jc w:val="left"/>
            </w:pPr>
            <w:r>
              <w:t xml:space="preserve">Setting</w:t>
            </w:r>
          </w:p>
        </w:tc>
        <w:tc>
          <w:tcPr/>
          <w:p>
            <w:pPr>
              <w:pStyle w:val="Compact"/>
              <w:jc w:val="left"/>
            </w:pPr>
            <w:r>
              <w:t xml:space="preserve">49</w:t>
            </w:r>
          </w:p>
        </w:tc>
        <w:tc>
          <w:tcPr/>
          <w:p>
            <w:pPr>
              <w:pStyle w:val="Compact"/>
              <w:jc w:val="left"/>
            </w:pPr>
            <w:r>
              <w:t xml:space="preserve">239</w:t>
            </w:r>
          </w:p>
        </w:tc>
        <w:tc>
          <w:tcPr/>
          <w:p>
            <w:pPr>
              <w:pStyle w:val="Compact"/>
              <w:jc w:val="left"/>
            </w:pPr>
            <w:r>
              <w:t xml:space="preserve">–</w:t>
            </w:r>
          </w:p>
        </w:tc>
        <w:tc>
          <w:tcPr/>
          <w:p>
            <w:pPr>
              <w:pStyle w:val="Compact"/>
              <w:jc w:val="left"/>
            </w:pPr>
            <w:r>
              <w:t xml:space="preserve">–</w:t>
            </w:r>
          </w:p>
        </w:tc>
        <w:tc>
          <w:tcPr/>
          <w:p>
            <w:pPr>
              <w:pStyle w:val="Compact"/>
              <w:jc w:val="left"/>
            </w:pPr>
            <w:r>
              <w:t xml:space="preserve">5.92</w:t>
            </w:r>
          </w:p>
        </w:tc>
        <w:tc>
          <w:tcPr/>
          <w:p>
            <w:pPr>
              <w:pStyle w:val="Compact"/>
              <w:jc w:val="left"/>
            </w:pPr>
            <w:r>
              <w:t xml:space="preserve">.021</w:t>
            </w:r>
          </w:p>
        </w:tc>
      </w:tr>
      <w:tr>
        <w:tc>
          <w:tcPr/>
          <w:p>
            <w:pPr>
              <w:pStyle w:val="Compact"/>
              <w:jc w:val="left"/>
            </w:pPr>
            <w:r>
              <w:t xml:space="preserve">     online</w:t>
            </w:r>
          </w:p>
        </w:tc>
        <w:tc>
          <w:tcPr/>
          <w:p>
            <w:pPr>
              <w:pStyle w:val="Compact"/>
              <w:jc w:val="left"/>
            </w:pPr>
            <w:r>
              <w:t xml:space="preserve">18</w:t>
            </w:r>
          </w:p>
        </w:tc>
        <w:tc>
          <w:tcPr/>
          <w:p>
            <w:pPr>
              <w:pStyle w:val="Compact"/>
              <w:jc w:val="left"/>
            </w:pPr>
            <w:r>
              <w:t xml:space="preserve">52</w:t>
            </w:r>
          </w:p>
        </w:tc>
        <w:tc>
          <w:tcPr/>
          <w:p>
            <w:pPr>
              <w:pStyle w:val="Compact"/>
              <w:jc w:val="left"/>
            </w:pPr>
            <w:r>
              <w:t xml:space="preserve">0.1</w:t>
            </w:r>
          </w:p>
        </w:tc>
        <w:tc>
          <w:tcPr/>
          <w:p>
            <w:pPr>
              <w:pStyle w:val="Compact"/>
              <w:jc w:val="left"/>
            </w:pPr>
            <w:r>
              <w:t xml:space="preserve">[0.01, 0.19]</w:t>
            </w:r>
          </w:p>
        </w:tc>
        <w:tc>
          <w:tcPr/>
          <w:p>
            <w:pPr>
              <w:pStyle w:val="Compact"/>
              <w:jc w:val="left"/>
            </w:pPr>
            <w:r>
              <w:t xml:space="preserve">5.75</w:t>
            </w:r>
          </w:p>
        </w:tc>
        <w:tc>
          <w:tcPr/>
          <w:p>
            <w:pPr>
              <w:pStyle w:val="Compact"/>
              <w:jc w:val="left"/>
            </w:pPr>
            <w:r>
              <w:t xml:space="preserve">.029</w:t>
            </w:r>
          </w:p>
        </w:tc>
      </w:tr>
      <w:tr>
        <w:tc>
          <w:tcPr/>
          <w:p>
            <w:pPr>
              <w:pStyle w:val="Compact"/>
              <w:jc w:val="left"/>
            </w:pPr>
            <w:r>
              <w:t xml:space="preserve">     in-person</w:t>
            </w:r>
          </w:p>
        </w:tc>
        <w:tc>
          <w:tcPr/>
          <w:p>
            <w:pPr>
              <w:pStyle w:val="Compact"/>
              <w:jc w:val="left"/>
            </w:pPr>
            <w:r>
              <w:t xml:space="preserve">32</w:t>
            </w:r>
          </w:p>
        </w:tc>
        <w:tc>
          <w:tcPr/>
          <w:p>
            <w:pPr>
              <w:pStyle w:val="Compact"/>
              <w:jc w:val="left"/>
            </w:pPr>
            <w:r>
              <w:t xml:space="preserve">187</w:t>
            </w:r>
          </w:p>
        </w:tc>
        <w:tc>
          <w:tcPr/>
          <w:p>
            <w:pPr>
              <w:pStyle w:val="Compact"/>
              <w:jc w:val="left"/>
            </w:pPr>
            <w:r>
              <w:t xml:space="preserve">0.31</w:t>
            </w:r>
          </w:p>
        </w:tc>
        <w:tc>
          <w:tcPr/>
          <w:p>
            <w:pPr>
              <w:pStyle w:val="Compact"/>
              <w:jc w:val="left"/>
            </w:pPr>
            <w:r>
              <w:t xml:space="preserve">[0.16, 0.46]</w:t>
            </w:r>
          </w:p>
        </w:tc>
        <w:tc>
          <w:tcPr/>
          <w:p>
            <w:pPr>
              <w:pStyle w:val="Compact"/>
              <w:jc w:val="left"/>
            </w:pPr>
            <w:r>
              <w:t xml:space="preserve">18.03</w:t>
            </w:r>
          </w:p>
        </w:tc>
        <w:tc>
          <w:tcPr/>
          <w:p>
            <w:pPr>
              <w:pStyle w:val="Compact"/>
              <w:jc w:val="left"/>
            </w:pPr>
            <w:r>
              <w:t xml:space="preserve">&lt; .001</w:t>
            </w:r>
          </w:p>
        </w:tc>
      </w:tr>
      <w:tr>
        <w:tc>
          <w:tcPr/>
          <w:p>
            <w:pPr>
              <w:pStyle w:val="Compact"/>
              <w:jc w:val="left"/>
            </w:pPr>
            <w:r>
              <w:t xml:space="preserve">Payment</w:t>
            </w:r>
          </w:p>
        </w:tc>
        <w:tc>
          <w:tcPr/>
          <w:p>
            <w:pPr>
              <w:pStyle w:val="Compact"/>
              <w:jc w:val="left"/>
            </w:pPr>
            <w:r>
              <w:t xml:space="preserve">48</w:t>
            </w:r>
          </w:p>
        </w:tc>
        <w:tc>
          <w:tcPr/>
          <w:p>
            <w:pPr>
              <w:pStyle w:val="Compact"/>
              <w:jc w:val="left"/>
            </w:pPr>
            <w:r>
              <w:t xml:space="preserve">212</w:t>
            </w:r>
          </w:p>
        </w:tc>
        <w:tc>
          <w:tcPr/>
          <w:p>
            <w:pPr>
              <w:pStyle w:val="Compact"/>
              <w:jc w:val="left"/>
            </w:pPr>
            <w:r>
              <w:t xml:space="preserve">–</w:t>
            </w:r>
          </w:p>
        </w:tc>
        <w:tc>
          <w:tcPr/>
          <w:p>
            <w:pPr>
              <w:pStyle w:val="Compact"/>
              <w:jc w:val="left"/>
            </w:pPr>
            <w:r>
              <w:t xml:space="preserve">–</w:t>
            </w:r>
          </w:p>
        </w:tc>
        <w:tc>
          <w:tcPr/>
          <w:p>
            <w:pPr>
              <w:pStyle w:val="Compact"/>
              <w:jc w:val="left"/>
            </w:pPr>
            <w:r>
              <w:t xml:space="preserve">0.84</w:t>
            </w:r>
          </w:p>
        </w:tc>
        <w:tc>
          <w:tcPr/>
          <w:p>
            <w:pPr>
              <w:pStyle w:val="Compact"/>
              <w:jc w:val="left"/>
            </w:pPr>
            <w:r>
              <w:t xml:space="preserve">.371</w:t>
            </w:r>
          </w:p>
        </w:tc>
      </w:tr>
      <w:tr>
        <w:tc>
          <w:tcPr/>
          <w:p>
            <w:pPr>
              <w:pStyle w:val="Compact"/>
              <w:jc w:val="left"/>
            </w:pPr>
            <w:r>
              <w:t xml:space="preserve">     yes</w:t>
            </w:r>
          </w:p>
        </w:tc>
        <w:tc>
          <w:tcPr/>
          <w:p>
            <w:pPr>
              <w:pStyle w:val="Compact"/>
              <w:jc w:val="left"/>
            </w:pPr>
            <w:r>
              <w:t xml:space="preserve">13</w:t>
            </w:r>
          </w:p>
        </w:tc>
        <w:tc>
          <w:tcPr/>
          <w:p>
            <w:pPr>
              <w:pStyle w:val="Compact"/>
              <w:jc w:val="left"/>
            </w:pPr>
            <w:r>
              <w:t xml:space="preserve">50</w:t>
            </w:r>
          </w:p>
        </w:tc>
        <w:tc>
          <w:tcPr/>
          <w:p>
            <w:pPr>
              <w:pStyle w:val="Compact"/>
              <w:jc w:val="left"/>
            </w:pPr>
            <w:r>
              <w:t xml:space="preserve">0.13</w:t>
            </w:r>
          </w:p>
        </w:tc>
        <w:tc>
          <w:tcPr/>
          <w:p>
            <w:pPr>
              <w:pStyle w:val="Compact"/>
              <w:jc w:val="left"/>
            </w:pPr>
            <w:r>
              <w:t xml:space="preserve">[0, 0.26]</w:t>
            </w:r>
          </w:p>
        </w:tc>
        <w:tc>
          <w:tcPr/>
          <w:p>
            <w:pPr>
              <w:pStyle w:val="Compact"/>
              <w:jc w:val="left"/>
            </w:pPr>
            <w:r>
              <w:t xml:space="preserve">4.91</w:t>
            </w:r>
          </w:p>
        </w:tc>
        <w:tc>
          <w:tcPr/>
          <w:p>
            <w:pPr>
              <w:pStyle w:val="Compact"/>
              <w:jc w:val="left"/>
            </w:pPr>
            <w:r>
              <w:t xml:space="preserve">.048</w:t>
            </w:r>
          </w:p>
        </w:tc>
      </w:tr>
      <w:tr>
        <w:tc>
          <w:tcPr/>
          <w:p>
            <w:pPr>
              <w:pStyle w:val="Compact"/>
              <w:jc w:val="left"/>
            </w:pPr>
            <w:r>
              <w:t xml:space="preserve">     no</w:t>
            </w:r>
          </w:p>
        </w:tc>
        <w:tc>
          <w:tcPr/>
          <w:p>
            <w:pPr>
              <w:pStyle w:val="Compact"/>
              <w:jc w:val="left"/>
            </w:pPr>
            <w:r>
              <w:t xml:space="preserve">36</w:t>
            </w:r>
          </w:p>
        </w:tc>
        <w:tc>
          <w:tcPr/>
          <w:p>
            <w:pPr>
              <w:pStyle w:val="Compact"/>
              <w:jc w:val="left"/>
            </w:pPr>
            <w:r>
              <w:t xml:space="preserve">162</w:t>
            </w:r>
          </w:p>
        </w:tc>
        <w:tc>
          <w:tcPr/>
          <w:p>
            <w:pPr>
              <w:pStyle w:val="Compact"/>
              <w:jc w:val="left"/>
            </w:pPr>
            <w:r>
              <w:t xml:space="preserve">0.21</w:t>
            </w:r>
          </w:p>
        </w:tc>
        <w:tc>
          <w:tcPr/>
          <w:p>
            <w:pPr>
              <w:pStyle w:val="Compact"/>
              <w:jc w:val="left"/>
            </w:pPr>
            <w:r>
              <w:t xml:space="preserve">[0.09, 0.32]</w:t>
            </w:r>
          </w:p>
        </w:tc>
        <w:tc>
          <w:tcPr/>
          <w:p>
            <w:pPr>
              <w:pStyle w:val="Compact"/>
              <w:jc w:val="left"/>
            </w:pPr>
            <w:r>
              <w:t xml:space="preserve">13.75</w:t>
            </w:r>
          </w:p>
        </w:tc>
        <w:tc>
          <w:tcPr/>
          <w:p>
            <w:pPr>
              <w:pStyle w:val="Compact"/>
              <w:jc w:val="left"/>
            </w:pPr>
            <w:r>
              <w:t xml:space="preserve">&lt; .001</w:t>
            </w:r>
          </w:p>
        </w:tc>
      </w:tr>
      <w:tr>
        <w:tc>
          <w:tcPr/>
          <w:p>
            <w:pPr>
              <w:pStyle w:val="Compact"/>
              <w:jc w:val="left"/>
            </w:pPr>
            <w:r>
              <w:t xml:space="preserve">Publication status</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0.11</w:t>
            </w:r>
          </w:p>
        </w:tc>
        <w:tc>
          <w:tcPr/>
          <w:p>
            <w:pPr>
              <w:pStyle w:val="Compact"/>
              <w:jc w:val="left"/>
            </w:pPr>
            <w:r>
              <w:t xml:space="preserve">.748</w:t>
            </w:r>
          </w:p>
        </w:tc>
      </w:tr>
      <w:tr>
        <w:tc>
          <w:tcPr/>
          <w:p>
            <w:pPr>
              <w:pStyle w:val="Compact"/>
              <w:jc w:val="left"/>
            </w:pPr>
            <w:r>
              <w:t xml:space="preserve">     published</w:t>
            </w:r>
          </w:p>
        </w:tc>
        <w:tc>
          <w:tcPr/>
          <w:p>
            <w:pPr>
              <w:pStyle w:val="Compact"/>
              <w:jc w:val="left"/>
            </w:pPr>
            <w:r>
              <w:t xml:space="preserve">41</w:t>
            </w:r>
          </w:p>
        </w:tc>
        <w:tc>
          <w:tcPr/>
          <w:p>
            <w:pPr>
              <w:pStyle w:val="Compact"/>
              <w:jc w:val="left"/>
            </w:pPr>
            <w:r>
              <w:t xml:space="preserve">239</w:t>
            </w:r>
          </w:p>
        </w:tc>
        <w:tc>
          <w:tcPr/>
          <w:p>
            <w:pPr>
              <w:pStyle w:val="Compact"/>
              <w:jc w:val="left"/>
            </w:pPr>
            <w:r>
              <w:t xml:space="preserve">0.22</w:t>
            </w:r>
          </w:p>
        </w:tc>
        <w:tc>
          <w:tcPr/>
          <w:p>
            <w:pPr>
              <w:pStyle w:val="Compact"/>
              <w:jc w:val="left"/>
            </w:pPr>
            <w:r>
              <w:t xml:space="preserve">[0.13, 0.32]</w:t>
            </w:r>
          </w:p>
        </w:tc>
        <w:tc>
          <w:tcPr/>
          <w:p>
            <w:pPr>
              <w:pStyle w:val="Compact"/>
              <w:jc w:val="left"/>
            </w:pPr>
            <w:r>
              <w:t xml:space="preserve">21.9</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11</w:t>
            </w:r>
          </w:p>
        </w:tc>
        <w:tc>
          <w:tcPr/>
          <w:p>
            <w:pPr>
              <w:pStyle w:val="Compact"/>
              <w:jc w:val="left"/>
            </w:pPr>
            <w:r>
              <w:t xml:space="preserve">13</w:t>
            </w:r>
          </w:p>
        </w:tc>
        <w:tc>
          <w:tcPr/>
          <w:p>
            <w:pPr>
              <w:pStyle w:val="Compact"/>
              <w:jc w:val="left"/>
            </w:pPr>
            <w:r>
              <w:t xml:space="preserve">0.17</w:t>
            </w:r>
          </w:p>
        </w:tc>
        <w:tc>
          <w:tcPr/>
          <w:p>
            <w:pPr>
              <w:pStyle w:val="Compact"/>
              <w:jc w:val="left"/>
            </w:pPr>
            <w:r>
              <w:t xml:space="preserve">[-0.17, 0.51]</w:t>
            </w:r>
          </w:p>
        </w:tc>
        <w:tc>
          <w:tcPr/>
          <w:p>
            <w:pPr>
              <w:pStyle w:val="Compact"/>
              <w:jc w:val="left"/>
            </w:pPr>
            <w:r>
              <w:t xml:space="preserve">1.27</w:t>
            </w:r>
          </w:p>
        </w:tc>
        <w:tc>
          <w:tcPr/>
          <w:p>
            <w:pPr>
              <w:pStyle w:val="Compact"/>
              <w:jc w:val="left"/>
            </w:pPr>
            <w:r>
              <w:t xml:space="preserve">.287</w:t>
            </w:r>
          </w:p>
        </w:tc>
      </w:tr>
    </w:tbl>
    <w:p>
      <w:pPr>
        <w:pStyle w:val="table-note"/>
      </w:pPr>
      <w:r>
        <w:rPr>
          <w:i/>
          <w:iCs/>
        </w:rPr>
        <w:t xml:space="preserve">Note.</w:t>
      </w:r>
      <w:r>
        <w:t xml:space="preserve"> </w:t>
      </w:r>
      <w:r>
        <w:t xml:space="preserve">s = number of studies; k = number of effect size estimates; g = Hedge’s g; 95% CI corresponds to the estimated value of Hedge’s g; F-values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pPr>
        <w:pStyle w:val="Textkrper"/>
      </w:pPr>
      <w:r>
        <w:t xml:space="preserve"> </w:t>
      </w:r>
    </w:p>
    <w:bookmarkStart w:id="51" w:name="residual-variability"/>
    <w:p>
      <w:pPr>
        <w:pStyle w:val="berschrift5"/>
      </w:pPr>
      <w:r>
        <w:t xml:space="preserve">Residual variability.</w:t>
      </w:r>
    </w:p>
    <w:p>
      <w:pPr>
        <w:pStyle w:val="FirstParagraph"/>
      </w:pPr>
      <w:r>
        <w:t xml:space="preserve">To evaluate how much in-sample variability in demand effects is currently accounted for by study feature moderators,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bookmarkEnd w:id="51"/>
    <w:bookmarkEnd w:id="52"/>
    <w:bookmarkStart w:id="54" w:name="X644b31017b5320026d77df6b129e2f86e0cabcc"/>
    <w:p>
      <w:pPr>
        <w:pStyle w:val="berschrift4"/>
      </w:pPr>
      <w:r>
        <w:t xml:space="preserve">Can participants help us understand demand effects?.</w:t>
      </w:r>
    </w:p>
    <w:p>
      <w:pPr>
        <w:pStyle w:val="FirstParagraph"/>
      </w:pPr>
      <w:r>
        <w:t xml:space="preserve">Participants correctly identified the described hypothesis 83% of the time Participants did not generally report having strong beliefs about whether such hypothesized effects would occur (</w:t>
      </w:r>
      <w:r>
        <w:rPr>
          <w:i/>
          <w:iCs/>
        </w:rPr>
        <w:t xml:space="preserve">M</w:t>
      </w:r>
      <w:r>
        <w:t xml:space="preserve"> </w:t>
      </w:r>
      <w:r>
        <w:t xml:space="preserve">= 0.50,</w:t>
      </w:r>
      <w:r>
        <w:t xml:space="preserve"> </w:t>
      </w:r>
      <w:r>
        <w:rPr>
          <w:i/>
          <w:iCs/>
        </w:rPr>
        <w:t xml:space="preserve">SD</w:t>
      </w:r>
      <w:r>
        <w:t xml:space="preserve"> </w:t>
      </w:r>
      <w:r>
        <w:t xml:space="preserve">= 0.72). Participants reported that they would be highly capable of adjusting their responses (</w:t>
      </w:r>
      <w:r>
        <w:rPr>
          <w:i/>
          <w:iCs/>
        </w:rPr>
        <w:t xml:space="preserve">M</w:t>
      </w:r>
      <w:r>
        <w:t xml:space="preserve"> </w:t>
      </w:r>
      <w:r>
        <w:t xml:space="preserve">= 2.24,</w:t>
      </w:r>
      <w:r>
        <w:t xml:space="preserve"> </w:t>
      </w:r>
      <w:r>
        <w:rPr>
          <w:i/>
          <w:iCs/>
        </w:rPr>
        <w:t xml:space="preserve">SD</w:t>
      </w:r>
      <w:r>
        <w:t xml:space="preserve"> </w:t>
      </w:r>
      <w:r>
        <w:t xml:space="preserve">= 0.44), but not very motivated to do so (</w:t>
      </w:r>
      <w:r>
        <w:rPr>
          <w:i/>
          <w:iCs/>
        </w:rPr>
        <w:t xml:space="preserve">M</w:t>
      </w:r>
      <w:r>
        <w:t xml:space="preserve"> </w:t>
      </w:r>
      <w:r>
        <w:t xml:space="preserve">= 0.33,</w:t>
      </w:r>
      <w:r>
        <w:t xml:space="preserve"> </w:t>
      </w:r>
      <w:r>
        <w:rPr>
          <w:i/>
          <w:iCs/>
        </w:rPr>
        <w:t xml:space="preserve">SD</w:t>
      </w:r>
      <w:r>
        <w:t xml:space="preserve"> </w:t>
      </w:r>
      <w:r>
        <w:t xml:space="preserve">= 0.37). Participants also predicted that other subjects would be generally unlikely to adjust their responses to fit the experimenter’s hypothesis (</w:t>
      </w:r>
      <w:r>
        <w:rPr>
          <w:i/>
          <w:iCs/>
        </w:rPr>
        <w:t xml:space="preserve">M</w:t>
      </w:r>
      <w:r>
        <w:t xml:space="preserve"> </w:t>
      </w:r>
      <w:r>
        <w:t xml:space="preserve">= 0.74,</w:t>
      </w:r>
      <w:r>
        <w:t xml:space="preserve"> </w:t>
      </w:r>
      <w:r>
        <w:rPr>
          <w:i/>
          <w:iCs/>
        </w:rPr>
        <w:t xml:space="preserve">SD</w:t>
      </w:r>
      <w:r>
        <w:t xml:space="preserve"> </w:t>
      </w:r>
      <w:r>
        <w:t xml:space="preserve">= 0.41).</w:t>
      </w:r>
    </w:p>
    <w:p>
      <w:pPr>
        <w:pStyle w:val="Textkrper"/>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w:t>
      </w:r>
      <w:r>
        <w:t xml:space="preserve"> </w:t>
      </w:r>
      <w:r>
        <w:rPr>
          <w:i/>
          <w:iCs/>
        </w:rPr>
        <w:t xml:space="preserve">Limitations</w:t>
      </w:r>
      <w:r>
        <w:t xml:space="preserve">).</w:t>
      </w:r>
    </w:p>
    <w:p>
      <w:pPr>
        <w:pStyle w:val="Textkrper"/>
      </w:pPr>
      <w:r>
        <w:t xml:space="preserve">As shown in Table 2, we did not uncover a significant association between observed demand effects and (a) the extent to which participants correctly identified the hypothesis described in the vignettes, (</w:t>
      </w:r>
      <m:oMath>
        <m:r>
          <m:t>β</m:t>
        </m:r>
      </m:oMath>
      <w:r>
        <w:t xml:space="preserve"> </w:t>
      </w:r>
      <w:r>
        <w:t xml:space="preserve">= 0.14, 95% CI [-0.02, 0.31],</w:t>
      </w:r>
      <w:r>
        <w:t xml:space="preserve"> </w:t>
      </w:r>
      <m:oMath>
        <m:r>
          <m:t>t</m:t>
        </m:r>
      </m:oMath>
      <w:r>
        <w:t xml:space="preserve">(8.23) = 1.99,</w:t>
      </w:r>
      <w:r>
        <w:t xml:space="preserve"> </w:t>
      </w:r>
      <m:oMath>
        <m:r>
          <m:t>p</m:t>
        </m:r>
      </m:oMath>
      <w:r>
        <w:t xml:space="preserve"> </w:t>
      </w:r>
      <w:r>
        <w:t xml:space="preserve">= .081), (b) ratings of motivation to adjust responses (</w:t>
      </w:r>
      <m:oMath>
        <m:r>
          <m:t>β</m:t>
        </m:r>
      </m:oMath>
      <w:r>
        <w:t xml:space="preserve"> </w:t>
      </w:r>
      <w:r>
        <w:t xml:space="preserve">= 0.01, 95% CI [-0.21, 0.22],</w:t>
      </w:r>
      <w:r>
        <w:t xml:space="preserve"> </w:t>
      </w:r>
      <m:oMath>
        <m:r>
          <m:t>t</m:t>
        </m:r>
      </m:oMath>
      <w:r>
        <w:t xml:space="preserve">(11.18) = 0.09,</w:t>
      </w:r>
      <w:r>
        <w:t xml:space="preserve"> </w:t>
      </w:r>
      <m:oMath>
        <m:r>
          <m:t>p</m:t>
        </m:r>
      </m:oMath>
      <w:r>
        <w:t xml:space="preserve"> </w:t>
      </w:r>
      <w:r>
        <w:t xml:space="preserve">= .932), (c) ratings of opportunity to adjust responses (</w:t>
      </w:r>
      <m:oMath>
        <m:r>
          <m:t>β</m:t>
        </m:r>
      </m:oMath>
      <w:r>
        <w:t xml:space="preserve"> </w:t>
      </w:r>
      <w:r>
        <w:t xml:space="preserve">= 0.04, 95% CI [-0.02, 0.10],</w:t>
      </w:r>
      <w:r>
        <w:t xml:space="preserve"> </w:t>
      </w:r>
      <m:oMath>
        <m:r>
          <m:t>t</m:t>
        </m:r>
      </m:oMath>
      <w:r>
        <w:t xml:space="preserve">(8.66) = 1.56,</w:t>
      </w:r>
      <w:r>
        <w:t xml:space="preserve"> </w:t>
      </w:r>
      <m:oMath>
        <m:r>
          <m:t>p</m:t>
        </m:r>
      </m:oMath>
      <w:r>
        <w:t xml:space="preserve"> </w:t>
      </w:r>
      <w:r>
        <w:t xml:space="preserve">= .155), and (d) rated belief in the hypothesized effect (</w:t>
      </w:r>
      <m:oMath>
        <m:r>
          <m:t>β</m:t>
        </m:r>
      </m:oMath>
      <w:r>
        <w:t xml:space="preserve"> </w:t>
      </w:r>
      <w:r>
        <w:t xml:space="preserve">= 0.06, 95% CI [-0.05, 0.18],</w:t>
      </w:r>
      <w:r>
        <w:t xml:space="preserve"> </w:t>
      </w:r>
      <m:oMath>
        <m:r>
          <m:t>t</m:t>
        </m:r>
      </m:oMath>
      <w:r>
        <w:t xml:space="preserve">(11.11) = 1.21,</w:t>
      </w:r>
      <w:r>
        <w:t xml:space="preserve"> </w:t>
      </w:r>
      <m:oMath>
        <m:r>
          <m:t>p</m:t>
        </m:r>
      </m:oMath>
      <w:r>
        <w:t xml:space="preserve"> </w:t>
      </w:r>
      <w:r>
        <w:t xml:space="preserve">= .252). Of course, Rosnow and colleagues posited that receptivity, motivation, and opportunity</w:t>
      </w:r>
      <w:r>
        <w:t xml:space="preserve"> </w:t>
      </w:r>
      <w:r>
        <w:rPr>
          <w:i/>
          <w:iCs/>
        </w:rPr>
        <w:t xml:space="preserve">interact</w:t>
      </w:r>
      <w:r>
        <w:t xml:space="preserve"> </w:t>
      </w:r>
      <w:r>
        <w:t xml:space="preserve">to shape demand effects. However, when we explored this question, we did not find robust evidence that including all possible higher order interactions significantly improved model fit,</w:t>
      </w:r>
      <w:r>
        <w:t xml:space="preserve"> </w:t>
      </w:r>
      <w:r>
        <w:rPr>
          <w:i/>
          <w:iCs/>
        </w:rPr>
        <w:t xml:space="preserve">F</w:t>
      </w:r>
      <w:r>
        <w:t xml:space="preserve">(7, 2.43) = 1.36,</w:t>
      </w:r>
      <w:r>
        <w:t xml:space="preserve"> </w:t>
      </w:r>
      <w:r>
        <w:rPr>
          <w:i/>
          <w:iCs/>
        </w:rPr>
        <w:t xml:space="preserve">p</w:t>
      </w:r>
      <w:r>
        <w:t xml:space="preserve"> </w:t>
      </w:r>
      <w:r>
        <w:t xml:space="preserve">= .463.</w:t>
      </w:r>
    </w:p>
    <w:p>
      <w:pPr>
        <w:pStyle w:val="Textkrper"/>
      </w:pPr>
      <w:r>
        <w:t xml:space="preserve">Even after averaging across a large number of noisy forecasts (ICC = 0.22,</w:t>
      </w:r>
      <w:r>
        <w:t xml:space="preserve"> </w:t>
      </w:r>
      <w:r>
        <w:rPr>
          <w:i/>
          <w:iCs/>
        </w:rPr>
        <w:t xml:space="preserve">M</w:t>
      </w:r>
      <w:r>
        <w:t xml:space="preserve"> </w:t>
      </w:r>
      <w:r>
        <w:t xml:space="preserve">= 0.74,</w:t>
      </w:r>
      <w:r>
        <w:t xml:space="preserve"> </w:t>
      </w:r>
      <w:r>
        <w:rPr>
          <w:i/>
          <w:iCs/>
        </w:rPr>
        <w:t xml:space="preserve">SD</w:t>
      </w:r>
      <w:r>
        <w:t xml:space="preserve"> </w:t>
      </w:r>
      <w:r>
        <w:t xml:space="preserve">= 0.41), we also failed to find that participants were able to predict the magnitude of demand effects,</w:t>
      </w:r>
      <w:r>
        <w:t xml:space="preserve"> </w:t>
      </w:r>
      <m:oMath>
        <m:r>
          <m:t>β</m:t>
        </m:r>
      </m:oMath>
      <w:r>
        <w:t xml:space="preserve"> </w:t>
      </w:r>
      <w:r>
        <w:t xml:space="preserve">= 0.07, 95% CI [-0.06, 0.21],</w:t>
      </w:r>
      <w:r>
        <w:t xml:space="preserve"> </w:t>
      </w:r>
      <m:oMath>
        <m:r>
          <m:t>t</m:t>
        </m:r>
      </m:oMath>
      <w:r>
        <w:t xml:space="preserve">(12.66) = 1.14,</w:t>
      </w:r>
      <w:r>
        <w:t xml:space="preserve"> </w:t>
      </w:r>
      <m:oMath>
        <m:r>
          <m:t>p</m:t>
        </m:r>
      </m:oMath>
      <w:r>
        <w:t xml:space="preserve"> </w:t>
      </w:r>
      <w:r>
        <w:t xml:space="preserve">= .274.</w:t>
      </w:r>
    </w:p>
    <w:p>
      <w:pPr>
        <w:pStyle w:val="TableCaption"/>
      </w:pPr>
      <w:bookmarkStart w:id="53" w:name="tab:unnamed-chunk-1"/>
      <w:bookmarkEnd w:id="53"/>
      <w:r>
        <w:t xml:space="preserve">Table 1</w:t>
      </w:r>
      <w:r>
        <w:br/>
      </w:r>
      <w:r>
        <w:rPr>
          <w:i/>
          <w:iCs/>
        </w:rPr>
        <w:t xml:space="preserve">Participant</w:t>
      </w:r>
      <w:r>
        <w:rPr>
          <w:i/>
          <w:iCs/>
        </w:rPr>
        <w:t xml:space="preserve"> </w:t>
      </w:r>
      <w:r>
        <w:rPr>
          <w:i/>
          <w:iCs/>
        </w:rPr>
        <w:t xml:space="preserve">rating</w:t>
      </w:r>
      <w:r>
        <w:rPr>
          <w:i/>
          <w:iCs/>
        </w:rPr>
        <w:t xml:space="preserve"> </w:t>
      </w:r>
      <w:r>
        <w:rPr>
          <w:i/>
          <w:iCs/>
        </w:rPr>
        <w:t xml:space="preserve">moderator</w:t>
      </w:r>
      <w:r>
        <w:rPr>
          <w:i/>
          <w:iCs/>
        </w:rPr>
        <w:t xml:space="preserve"> </w:t>
      </w:r>
      <w:r>
        <w:rPr>
          <w:i/>
          <w:iCs/>
        </w:rPr>
        <w:t xml:space="preserve">analyses</w:t>
      </w:r>
    </w:p>
    <w:tbl>
      <w:tblPr>
        <w:tblStyle w:val="Table"/>
        <w:tblW w:type="auto" w:w="0"/>
        <w:tblLook w:firstRow="1" w:lastRow="0" w:firstColumn="0" w:lastColumn="0" w:noHBand="0" w:noVBand="0" w:val="0020"/>
        <w:tblCaption w:val="Table 1 Participant rating moderator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B1</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predicted demand effects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0.07</w:t>
            </w:r>
          </w:p>
        </w:tc>
        <w:tc>
          <w:tcPr/>
          <w:p>
            <w:pPr>
              <w:pStyle w:val="Compact"/>
              <w:jc w:val="left"/>
            </w:pPr>
            <w:r>
              <w:t xml:space="preserve">[-0.06, 0.21]</w:t>
            </w:r>
          </w:p>
        </w:tc>
        <w:tc>
          <w:tcPr/>
          <w:p>
            <w:pPr>
              <w:pStyle w:val="Compact"/>
              <w:jc w:val="left"/>
            </w:pPr>
            <w:r>
              <w:t xml:space="preserve">1.31</w:t>
            </w:r>
          </w:p>
        </w:tc>
        <w:tc>
          <w:tcPr/>
          <w:p>
            <w:pPr>
              <w:pStyle w:val="Compact"/>
              <w:jc w:val="left"/>
            </w:pPr>
            <w:r>
              <w:t xml:space="preserve">.274</w:t>
            </w:r>
          </w:p>
        </w:tc>
      </w:tr>
      <w:tr>
        <w:tc>
          <w:tcPr/>
          <w:p>
            <w:pPr>
              <w:pStyle w:val="Compact"/>
              <w:jc w:val="left"/>
            </w:pPr>
            <w:r>
              <w:t xml:space="preserve">understanding of study hypothesis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0.14</w:t>
            </w:r>
          </w:p>
        </w:tc>
        <w:tc>
          <w:tcPr/>
          <w:p>
            <w:pPr>
              <w:pStyle w:val="Compact"/>
              <w:jc w:val="left"/>
            </w:pPr>
            <w:r>
              <w:t xml:space="preserve">[-0.02, 0.31]</w:t>
            </w:r>
          </w:p>
        </w:tc>
        <w:tc>
          <w:tcPr/>
          <w:p>
            <w:pPr>
              <w:pStyle w:val="Compact"/>
              <w:jc w:val="left"/>
            </w:pPr>
            <w:r>
              <w:t xml:space="preserve">3.96</w:t>
            </w:r>
          </w:p>
        </w:tc>
        <w:tc>
          <w:tcPr/>
          <w:p>
            <w:pPr>
              <w:pStyle w:val="Compact"/>
              <w:jc w:val="left"/>
            </w:pPr>
            <w:r>
              <w:t xml:space="preserve">.081</w:t>
            </w:r>
          </w:p>
        </w:tc>
      </w:tr>
      <w:tr>
        <w:tc>
          <w:tcPr/>
          <w:p>
            <w:pPr>
              <w:pStyle w:val="Compact"/>
              <w:jc w:val="left"/>
            </w:pPr>
            <w:r>
              <w:t xml:space="preserve">motivation to adjust responses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0.01</w:t>
            </w:r>
          </w:p>
        </w:tc>
        <w:tc>
          <w:tcPr/>
          <w:p>
            <w:pPr>
              <w:pStyle w:val="Compact"/>
              <w:jc w:val="left"/>
            </w:pPr>
            <w:r>
              <w:t xml:space="preserve">[-0.21, 0.22]</w:t>
            </w:r>
          </w:p>
        </w:tc>
        <w:tc>
          <w:tcPr/>
          <w:p>
            <w:pPr>
              <w:pStyle w:val="Compact"/>
              <w:jc w:val="left"/>
            </w:pPr>
            <w:r>
              <w:t xml:space="preserve">0.01</w:t>
            </w:r>
          </w:p>
        </w:tc>
        <w:tc>
          <w:tcPr/>
          <w:p>
            <w:pPr>
              <w:pStyle w:val="Compact"/>
              <w:jc w:val="left"/>
            </w:pPr>
            <w:r>
              <w:t xml:space="preserve">.932</w:t>
            </w:r>
          </w:p>
        </w:tc>
      </w:tr>
      <w:tr>
        <w:tc>
          <w:tcPr/>
          <w:p>
            <w:pPr>
              <w:pStyle w:val="Compact"/>
              <w:jc w:val="left"/>
            </w:pPr>
            <w:r>
              <w:t xml:space="preserve">opportunity to adjust responses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0.04</w:t>
            </w:r>
          </w:p>
        </w:tc>
        <w:tc>
          <w:tcPr/>
          <w:p>
            <w:pPr>
              <w:pStyle w:val="Compact"/>
              <w:jc w:val="left"/>
            </w:pPr>
            <w:r>
              <w:t xml:space="preserve">[-0.02, 0.1]</w:t>
            </w:r>
          </w:p>
        </w:tc>
        <w:tc>
          <w:tcPr/>
          <w:p>
            <w:pPr>
              <w:pStyle w:val="Compact"/>
              <w:jc w:val="left"/>
            </w:pPr>
            <w:r>
              <w:t xml:space="preserve">2.43</w:t>
            </w:r>
          </w:p>
        </w:tc>
        <w:tc>
          <w:tcPr/>
          <w:p>
            <w:pPr>
              <w:pStyle w:val="Compact"/>
              <w:jc w:val="left"/>
            </w:pPr>
            <w:r>
              <w:t xml:space="preserve">.155</w:t>
            </w:r>
          </w:p>
        </w:tc>
      </w:tr>
      <w:tr>
        <w:tc>
          <w:tcPr/>
          <w:p>
            <w:pPr>
              <w:pStyle w:val="Compact"/>
              <w:jc w:val="left"/>
            </w:pPr>
            <w:r>
              <w:t xml:space="preserve">belief in communicated hypothesis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0.06</w:t>
            </w:r>
          </w:p>
        </w:tc>
        <w:tc>
          <w:tcPr/>
          <w:p>
            <w:pPr>
              <w:pStyle w:val="Compact"/>
              <w:jc w:val="left"/>
            </w:pPr>
            <w:r>
              <w:t xml:space="preserve">[-0.05, 0.18]</w:t>
            </w:r>
          </w:p>
        </w:tc>
        <w:tc>
          <w:tcPr/>
          <w:p>
            <w:pPr>
              <w:pStyle w:val="Compact"/>
              <w:jc w:val="left"/>
            </w:pPr>
            <w:r>
              <w:t xml:space="preserve">1.46</w:t>
            </w:r>
          </w:p>
        </w:tc>
        <w:tc>
          <w:tcPr/>
          <w:p>
            <w:pPr>
              <w:pStyle w:val="Compact"/>
              <w:jc w:val="left"/>
            </w:pPr>
            <w:r>
              <w:t xml:space="preserve">.252</w:t>
            </w:r>
          </w:p>
        </w:tc>
      </w:tr>
    </w:tbl>
    <w:p>
      <w:pPr>
        <w:pStyle w:val="table-note"/>
      </w:pPr>
      <w:r>
        <w:rPr>
          <w:i/>
          <w:iCs/>
        </w:rPr>
        <w:t xml:space="preserve">Note.</w:t>
      </w:r>
      <w:r>
        <w:t xml:space="preserve"> </w:t>
      </w:r>
      <w:r>
        <w:t xml:space="preserve">s = number of studies; k = number of effect size estimates; B1 = estimated linear relationship between participant ratings and observed Hedge’s g scores; 95% CI corresponds to the estimated value of B1.</w:t>
      </w:r>
    </w:p>
    <w:p>
      <w:pPr>
        <w:pStyle w:val="Textkrper"/>
      </w:pPr>
      <w:r>
        <w:t xml:space="preserve"> </w:t>
      </w:r>
    </w:p>
    <w:bookmarkEnd w:id="54"/>
    <w:bookmarkEnd w:id="55"/>
    <w:bookmarkStart w:id="60" w:name="publication-bias-analyses-1"/>
    <w:p>
      <w:pPr>
        <w:pStyle w:val="berschrift3"/>
      </w:pPr>
      <w:r>
        <w:t xml:space="preserve">Publication bias analyses.</w:t>
      </w:r>
    </w:p>
    <w:p>
      <w:pPr>
        <w:pStyle w:val="FirstParagraph"/>
      </w:pPr>
      <w:r>
        <w:t xml:space="preserve">Overall, publication bias analyses were inconclusive. Both precision-effect tests with 3LMA (</w:t>
      </w:r>
      <m:oMath>
        <m:r>
          <m:t>β</m:t>
        </m:r>
      </m:oMath>
      <w:r>
        <w:t xml:space="preserve"> </w:t>
      </w:r>
      <w:r>
        <w:t xml:space="preserve">= 0.71, 95% CI [0.06, 1.37],</w:t>
      </w:r>
      <w:r>
        <w:t xml:space="preserve"> </w:t>
      </w:r>
      <m:oMath>
        <m:r>
          <m:t>p</m:t>
        </m:r>
      </m:oMath>
      <w:r>
        <w:t xml:space="preserve"> </w:t>
      </w:r>
      <w:r>
        <w:t xml:space="preserve">= .033) and aggregated dependencies (</w:t>
      </w:r>
      <m:oMath>
        <m:r>
          <m:t>β</m:t>
        </m:r>
      </m:oMath>
      <w:r>
        <w:t xml:space="preserve"> </w:t>
      </w:r>
      <w:r>
        <w:t xml:space="preserve">= 0.31, 95% CI [-0.60, 1.21],</w:t>
      </w:r>
      <w:r>
        <w:t xml:space="preserve"> </w:t>
      </w:r>
      <m:oMath>
        <m:r>
          <m:t>p</m:t>
        </m:r>
      </m:oMath>
      <w:r>
        <w:t xml:space="preserve"> </w:t>
      </w:r>
      <w:r>
        <w:t xml:space="preserve">= .507) estimated that publication bias that favored hypothesis-consistent shifts in participants’ responses. The estimate, however, was only significant when using 3LMA. The bias-corrected overall effect size estimates with both 3LMA (</w:t>
      </w:r>
      <m:oMath>
        <m:r>
          <m:t>g</m:t>
        </m:r>
      </m:oMath>
      <w:r>
        <w:t xml:space="preserve"> </w:t>
      </w:r>
      <w:r>
        <w:t xml:space="preserve">= 0.05, 95% CI [-0.12, 0.23],</w:t>
      </w:r>
      <w:r>
        <w:t xml:space="preserve"> </w:t>
      </w:r>
      <m:oMath>
        <m:r>
          <m:t>p</m:t>
        </m:r>
      </m:oMath>
      <w:r>
        <w:t xml:space="preserve"> </w:t>
      </w:r>
      <w:r>
        <w:t xml:space="preserve">= .562) and aggregated dependencies (</w:t>
      </w:r>
      <m:oMath>
        <m:r>
          <m:t>g</m:t>
        </m:r>
      </m:oMath>
      <w:r>
        <w:t xml:space="preserve"> </w:t>
      </w:r>
      <w:r>
        <w:t xml:space="preserve">= 0.12, 95% CI [-0.05, 0.30],</w:t>
      </w:r>
      <w:r>
        <w:t xml:space="preserve"> </w:t>
      </w:r>
      <m:oMath>
        <m:r>
          <m:t>p</m:t>
        </m:r>
      </m:oMath>
      <w:r>
        <w:t xml:space="preserve"> </w:t>
      </w:r>
      <w:r>
        <w:t xml:space="preserve">=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w:t>
      </w:r>
      <w:r>
        <w:t xml:space="preserve"> </w:t>
      </w:r>
      <w:r>
        <w:t xml:space="preserve">4</w:t>
      </w:r>
      <w:r>
        <w:t xml:space="preserve">).</w:t>
      </w:r>
    </w:p>
    <w:p>
      <w:pPr>
        <w:pStyle w:val="Textkrper"/>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w:t>
      </w:r>
      <w:r>
        <w:t xml:space="preserve"> </w:t>
      </w:r>
      <m:oMath>
        <m:sSup>
          <m:e>
            <m:r>
              <m:t>χ</m:t>
            </m:r>
          </m:e>
          <m:sup>
            <m:r>
              <m:t>2</m:t>
            </m:r>
          </m:sup>
        </m:sSup>
      </m:oMath>
      <w:r>
        <w:t xml:space="preserve">(1) = 6.50,</w:t>
      </w:r>
      <w:r>
        <w:t xml:space="preserve"> </w:t>
      </w:r>
      <m:oMath>
        <m:r>
          <m:t>p</m:t>
        </m:r>
      </m:oMath>
      <w:r>
        <w:t xml:space="preserve"> </w:t>
      </w:r>
      <w:r>
        <w:t xml:space="preserve">= .01. The bias-corrected overall effect size was thus upward-adjusted,</w:t>
      </w:r>
      <w:r>
        <w:t xml:space="preserve"> </w:t>
      </w:r>
      <m:oMath>
        <m:r>
          <m:t>g</m:t>
        </m:r>
      </m:oMath>
      <w:r>
        <w:t xml:space="preserve"> </w:t>
      </w:r>
      <w:r>
        <w:t xml:space="preserve">= 0.32, 95% CI [0.15, 0.49],</w:t>
      </w:r>
      <w:r>
        <w:t xml:space="preserve"> </w:t>
      </w:r>
      <m:oMath>
        <m:r>
          <m:t>p</m:t>
        </m:r>
      </m:oMath>
      <w:r>
        <w:t xml:space="preserve"> </w:t>
      </w:r>
      <w:r>
        <w:t xml:space="preserve">&lt; .001. The discrepancy between precision-effect tests and weight-function modeling may be driven by the unusual distribution of the funnel plots (see Figure</w:t>
      </w:r>
      <w:r>
        <w:t xml:space="preserve"> </w:t>
      </w:r>
      <w:r>
        <w:t xml:space="preserve">4</w:t>
      </w:r>
      <w:r>
        <w:t xml:space="preserve">).</w:t>
      </w:r>
    </w:p>
    <w:p>
      <w:pPr>
        <w:pStyle w:val="Textkrper"/>
      </w:pPr>
      <w:r>
        <w:t xml:space="preserve">We did not find significant differences in the magnitude of demand effects between published (</w:t>
      </w:r>
      <m:oMath>
        <m:r>
          <m:t>g</m:t>
        </m:r>
      </m:oMath>
      <w:r>
        <w:t xml:space="preserve"> </w:t>
      </w:r>
      <w:r>
        <w:t xml:space="preserve">= 0.22, 95% CI [0.13, 0.32],</w:t>
      </w:r>
      <w:r>
        <w:t xml:space="preserve"> </w:t>
      </w:r>
      <m:oMath>
        <m:r>
          <m:t>p</m:t>
        </m:r>
      </m:oMath>
      <w:r>
        <w:t xml:space="preserve"> </w:t>
      </w:r>
      <w:r>
        <w:t xml:space="preserve">= &lt; .001) and unpublished (</w:t>
      </w:r>
      <m:oMath>
        <m:r>
          <m:t>g</m:t>
        </m:r>
      </m:oMath>
      <w:r>
        <w:t xml:space="preserve"> </w:t>
      </w:r>
      <w:r>
        <w:t xml:space="preserve">= 0.17, 95% CI [-0.17, 0.51],</w:t>
      </w:r>
      <w:r>
        <w:t xml:space="preserve"> </w:t>
      </w:r>
      <m:oMath>
        <m:r>
          <m:t>p</m:t>
        </m:r>
      </m:oMath>
      <w:r>
        <w:t xml:space="preserve"> </w:t>
      </w:r>
      <w:r>
        <w:t xml:space="preserve">= .287) studies,</w:t>
      </w:r>
      <w:r>
        <w:t xml:space="preserve"> </w:t>
      </w:r>
      <m:oMath>
        <m:r>
          <m:t>F</m:t>
        </m:r>
      </m:oMath>
      <w:r>
        <w:t xml:space="preserve">(1, 14.38) = 0.11,</w:t>
      </w:r>
      <w:r>
        <w:t xml:space="preserve"> </w:t>
      </w:r>
      <m:oMath>
        <m:r>
          <m:t>p</m:t>
        </m:r>
      </m:oMath>
      <w:r>
        <w:t xml:space="preserve"> </w:t>
      </w:r>
      <w:r>
        <w:t xml:space="preserve">= .748. If there is a biased selection of instances where participants responses shift in a hypothesis consistent manner, sensitivity analyses indicated that it would have to be extreme selection pressure to make the effect size non-significant</w:t>
      </w:r>
      <w:r>
        <w:t xml:space="preserve"> </w:t>
      </w:r>
      <w:r>
        <w:t xml:space="preserve">(Mathur &amp; VanderWeele, 2020b)</w:t>
      </w:r>
      <w:r>
        <w:t xml:space="preserve">. Even if hypothesis-consistent shifts were 10000000 times more likely to be published, the overall effect would still be 0.07, 95% CI [0.01, 0.12],</w:t>
      </w:r>
      <w:r>
        <w:t xml:space="preserve"> </w:t>
      </w:r>
      <w:r>
        <w:rPr>
          <w:i/>
          <w:iCs/>
        </w:rPr>
        <w:t xml:space="preserve">p</w:t>
      </w:r>
      <w:r>
        <w:t xml:space="preserve"> </w:t>
      </w:r>
      <w:r>
        <w:t xml:space="preserve">= .019.</w:t>
      </w:r>
    </w:p>
    <w:p>
      <w:pPr>
        <w:pStyle w:val="CaptionedFigure"/>
      </w:pPr>
      <w:r>
        <w:drawing>
          <wp:inline>
            <wp:extent cx="5969000" cy="3443653"/>
            <wp:effectExtent b="0" l="0" r="0" t="0"/>
            <wp:docPr descr="Figure 4: Raw (Panel A) or aggregated (Panel B) effect sizes plotted against their corresponding standard errors. Funnel plot is inverted to illustrate correspondence with slope estimates from precision-effect tests." title="" id="57" name="Picture"/>
            <a:graphic>
              <a:graphicData uri="http://schemas.openxmlformats.org/drawingml/2006/picture">
                <pic:pic>
                  <pic:nvPicPr>
                    <pic:cNvPr descr="metaware_manuscript_files/figure-docx/funnel-1.png" id="58" name="Picture"/>
                    <pic:cNvPicPr>
                      <a:picLocks noChangeArrowheads="1" noChangeAspect="1"/>
                    </pic:cNvPicPr>
                  </pic:nvPicPr>
                  <pic:blipFill>
                    <a:blip r:embed="rId56"/>
                    <a:stretch>
                      <a:fillRect/>
                    </a:stretch>
                  </pic:blipFill>
                  <pic:spPr bwMode="auto">
                    <a:xfrm>
                      <a:off x="0" y="0"/>
                      <a:ext cx="5969000" cy="3443653"/>
                    </a:xfrm>
                    <a:prstGeom prst="rect">
                      <a:avLst/>
                    </a:prstGeom>
                    <a:noFill/>
                    <a:ln w="9525">
                      <a:noFill/>
                      <a:headEnd/>
                      <a:tailEnd/>
                    </a:ln>
                  </pic:spPr>
                </pic:pic>
              </a:graphicData>
            </a:graphic>
          </wp:inline>
        </w:drawing>
      </w:r>
    </w:p>
    <w:p>
      <w:pPr>
        <w:pStyle w:val="ImageCaption"/>
      </w:pPr>
      <w:bookmarkStart w:id="59" w:name="fig:funnel"/>
      <w:bookmarkEnd w:id="59"/>
      <w:r>
        <w:rPr>
          <w:i/>
          <w:iCs/>
        </w:rPr>
        <w:t xml:space="preserve">Figure</w:t>
      </w:r>
      <w:r>
        <w:t xml:space="preserve"> </w:t>
      </w:r>
      <w:r>
        <w:t xml:space="preserve">4. Raw (Panel A) or aggregated (Panel B) effect sizes plotted against their corresponding standard errors. Funnel plot is inverted to illustrate correspondence with slope estimates from precision-effect tests.</w:t>
      </w:r>
    </w:p>
    <w:bookmarkEnd w:id="60"/>
    <w:bookmarkEnd w:id="61"/>
    <w:bookmarkEnd w:id="62"/>
    <w:bookmarkStart w:id="67" w:name="discussion"/>
    <w:p>
      <w:pPr>
        <w:pStyle w:val="berschrift1"/>
      </w:pPr>
      <w:r>
        <w:t xml:space="preserve">Discussion</w:t>
      </w:r>
    </w:p>
    <w:p>
      <w:pPr>
        <w:pStyle w:val="FirstParagraph"/>
      </w:pPr>
      <w:r>
        <w:t xml:space="preserve">In the</w:t>
      </w:r>
      <w:r>
        <w:t xml:space="preserve"> </w:t>
      </w:r>
      <w:r>
        <w:rPr>
          <w:i/>
          <w:iCs/>
        </w:rPr>
        <w:t xml:space="preserve">Introduction</w:t>
      </w:r>
      <w:r>
        <w:t xml:space="preserve">,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pPr>
        <w:pStyle w:val="Textkrper"/>
      </w:pPr>
      <w:r>
        <w:t xml:space="preserve">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w:t>
      </w:r>
      <w:r>
        <w:t xml:space="preserve"> </w:t>
      </w:r>
      <w:r>
        <w:t xml:space="preserve">(Rosnow &amp; Aiken, 1973; Rosnow &amp; Rosenthal, 1997; Strohmetz, 2008)</w:t>
      </w:r>
      <w:r>
        <w:t xml:space="preserve">, the observed and estimated true distribution of these effects suggest that demand characteristics can create false positives</w:t>
      </w:r>
      <w:r>
        <w:t xml:space="preserve"> </w:t>
      </w:r>
      <w:r>
        <w:t xml:space="preserve">(Orne, 1959)</w:t>
      </w:r>
      <w:r>
        <w:t xml:space="preserve">, false negatives</w:t>
      </w:r>
      <w:r>
        <w:t xml:space="preserve"> </w:t>
      </w:r>
      <w:r>
        <w:t xml:space="preserve">(Hayes &amp; King, 1967)</w:t>
      </w:r>
      <w:r>
        <w:t xml:space="preserve">, and upward and downward bias</w:t>
      </w:r>
      <w:r>
        <w:t xml:space="preserve"> </w:t>
      </w:r>
      <w:r>
        <w:t xml:space="preserve">(Coles et al., 2022)</w:t>
      </w:r>
      <w:r>
        <w:t xml:space="preserve">. Such heterogeneity leads to a wide prediction interval, ranging from</w:t>
      </w:r>
      <w:r>
        <w:t xml:space="preserve"> </w:t>
      </w:r>
      <m:oMath>
        <m:r>
          <m:t>g</m:t>
        </m:r>
      </m:oMath>
      <w:r>
        <w:t xml:space="preserve"> </w:t>
      </w:r>
      <w:r>
        <w:t xml:space="preserve">= 0.89 (a medium-sized decrease in hypothesis-consistent responding) to</w:t>
      </w:r>
      <w:r>
        <w:t xml:space="preserve"> </w:t>
      </w:r>
      <m:oMath>
        <m:r>
          <m:t>g</m:t>
        </m:r>
      </m:oMath>
      <w:r>
        <w:t xml:space="preserve"> </w:t>
      </w:r>
      <w:r>
        <w:t xml:space="preserve">= -0.46 (a medium-sized</w:t>
      </w:r>
      <w:r>
        <w:t xml:space="preserve"> </w:t>
      </w:r>
      <w:r>
        <w:rPr>
          <w:i/>
          <w:iCs/>
        </w:rPr>
        <w:t xml:space="preserve">increase</w:t>
      </w:r>
      <w:r>
        <w:t xml:space="preserve"> </w:t>
      </w:r>
      <w:r>
        <w:t xml:space="preserve">in hypothesis-consistent responding).</w:t>
      </w:r>
    </w:p>
    <w:p>
      <w:pPr>
        <w:pStyle w:val="Textkrper"/>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w:t>
      </w:r>
      <w:r>
        <w:t xml:space="preserve"> </w:t>
      </w:r>
      <m:oMath>
        <m:sSup>
          <m:e>
            <m:r>
              <m:t>R</m:t>
            </m:r>
          </m:e>
          <m:sup>
            <m:r>
              <m:t>2</m:t>
            </m:r>
          </m:sup>
        </m:sSup>
      </m:oMath>
      <w:r>
        <w:t xml:space="preserve"> </w:t>
      </w:r>
      <w:r>
        <w:t xml:space="preserve">are often inflated by overfitting</w:t>
      </w:r>
      <w:r>
        <w:t xml:space="preserve"> </w:t>
      </w:r>
      <w:r>
        <w:t xml:space="preserve">(De Rooij &amp; Weeda, 2020)</w:t>
      </w:r>
      <w:r>
        <w:t xml:space="preserve">, we suspect that the true proportion of explained variability is even lower.</w:t>
      </w:r>
    </w:p>
    <w:p>
      <w:pPr>
        <w:pStyle w:val="Textkrper"/>
      </w:pPr>
      <w:r>
        <w:t xml:space="preserve">We next examined a popular and influential framework developed by Rosnow and colleagues, who successfully predicted that demand effects are heterogeneous</w:t>
      </w:r>
      <w:r>
        <w:t xml:space="preserve"> </w:t>
      </w:r>
      <w:r>
        <w:t xml:space="preserve">(Rosnow &amp; Aiken, 1973; Rosnow &amp; Rosenthal, 1997; Strohmetz, 2008)</w:t>
      </w:r>
      <w:r>
        <w:t xml:space="preserve">. However, we found few attempts to test their proposed explanation for such heterogeneity: differences in the extent to which participants are (a) receptive, (b) motivated, and (c) able to respond to demand characteristics.</w:t>
      </w:r>
      <w:r>
        <w:t xml:space="preserve"> </w:t>
      </w:r>
      <w:r>
        <w:t xml:space="preserve">(One exception is an</w:t>
      </w:r>
      <w:r>
        <w:t xml:space="preserve"> </w:t>
      </w:r>
      <w:r>
        <w:rPr>
          <w:i/>
          <w:iCs/>
        </w:rPr>
        <w:t xml:space="preserve">unpublished</w:t>
      </w:r>
      <w:r>
        <w:t xml:space="preserve"> </w:t>
      </w:r>
      <w:r>
        <w:t xml:space="preserve">record by Coles, Wyatt, &amp; Frank, 2023)</w:t>
      </w:r>
    </w:p>
    <w:p>
      <w:pPr>
        <w:pStyle w:val="Textkrper"/>
      </w:pPr>
      <w:r>
        <w:t xml:space="preserve">Contrary to early advice by Orne</w:t>
      </w:r>
      <w:r>
        <w:t xml:space="preserve"> </w:t>
      </w:r>
      <w:r>
        <w:t xml:space="preserve">(1969)</w:t>
      </w:r>
      <w:r>
        <w:t xml:space="preserve">,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pPr>
        <w:pStyle w:val="Textkrper"/>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pPr>
        <w:pStyle w:val="Textkrper"/>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w:t>
      </w:r>
      <w:r>
        <w:t xml:space="preserve"> </w:t>
      </w:r>
      <w:r>
        <w:t xml:space="preserve">Rosnow and Rosenthal (1997)</w:t>
      </w:r>
      <w:r>
        <w:t xml:space="preserve"> </w:t>
      </w:r>
      <w:r>
        <w:t xml:space="preserve">argued that opportunity was the least important mechanism because</w:t>
      </w:r>
      <w:r>
        <w:t xml:space="preserve"> </w:t>
      </w:r>
      <w:r>
        <w:t xml:space="preserve">“</w:t>
      </w:r>
      <w:r>
        <w:t xml:space="preserve">…not many experimenters would design a study so that a participant would be</w:t>
      </w:r>
      <w:r>
        <w:t xml:space="preserve"> </w:t>
      </w:r>
      <w:r>
        <w:rPr>
          <w:i/>
          <w:iCs/>
        </w:rPr>
        <w:t xml:space="preserve">incapable</w:t>
      </w:r>
      <w:r>
        <w:t xml:space="preserve"> </w:t>
      </w:r>
      <w:r>
        <w:t xml:space="preserve">of responding to cues closely tied to the experimenter’s own expectation.</w:t>
      </w:r>
      <w:r>
        <w:t xml:space="preserve">”</w:t>
      </w:r>
      <w:r>
        <w:t xml:space="preserve"> </w:t>
      </w:r>
      <w:r>
        <w:t xml:space="preserve">A second possibility is that these mechanisms are not as essential as Rosnow and colleagues expected. For example,</w:t>
      </w:r>
      <w:r>
        <w:t xml:space="preserve"> </w:t>
      </w:r>
      <w:r>
        <w:t xml:space="preserve">Coles et al. (2022)</w:t>
      </w:r>
      <w:r>
        <w:t xml:space="preserve"> </w:t>
      </w:r>
      <w:r>
        <w:t xml:space="preserve">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w:t>
      </w:r>
      <w:r>
        <w:t xml:space="preserve"> </w:t>
      </w:r>
      <w:r>
        <w:t xml:space="preserve">Corneille and Lush (2023)</w:t>
      </w:r>
      <w:r>
        <w:t xml:space="preserve"> </w:t>
      </w:r>
      <w:r>
        <w:t xml:space="preserve">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bookmarkStart w:id="65" w:name="limitations"/>
    <w:p>
      <w:pPr>
        <w:pStyle w:val="berschrift2"/>
      </w:pPr>
      <w:r>
        <w:t xml:space="preserve">Limitations</w:t>
      </w:r>
    </w:p>
    <w:p>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t>
      </w:r>
    </w:p>
    <w:p>
      <w:pPr>
        <w:pStyle w:val="Textkrper"/>
      </w:pPr>
      <w:r>
        <w:t xml:space="preserve">Orne (1969)</w:t>
      </w:r>
      <w:r>
        <w:t xml:space="preserve"> </w:t>
      </w:r>
      <w:r>
        <w:t xml:space="preserve">suggested that participants themselves may help researchers understand demand effects. At first glance, this assumption seems reasonable. Participants are capable of predicting a variety of effects in psychology when exposed to information about the study procedures</w:t>
      </w:r>
      <w:r>
        <w:t xml:space="preserve"> </w:t>
      </w:r>
      <w:r>
        <w:t xml:space="preserve">(Corneille &amp; Béna, 2023)</w:t>
      </w:r>
      <w:r>
        <w:t xml:space="preserve"> </w:t>
      </w:r>
      <w:r>
        <w:t xml:space="preserve">– and this very procedure is often used to raise concerns about demand characteristics</w:t>
      </w:r>
      <w:r>
        <w:t xml:space="preserve"> </w:t>
      </w:r>
      <w:r>
        <w:t xml:space="preserve">(Bartels, 2019)</w:t>
      </w:r>
      <w:r>
        <w:t xml:space="preserve">.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w:t>
      </w:r>
      <w:r>
        <w:t xml:space="preserve"> </w:t>
      </w:r>
      <w:r>
        <w:t xml:space="preserve">(Gergen, 1973)</w:t>
      </w:r>
      <w:r>
        <w:t xml:space="preserve">, perhaps they need to experience the study context first-hand</w:t>
      </w:r>
      <w:r>
        <w:t xml:space="preserve"> </w:t>
      </w:r>
      <w:r>
        <w:t xml:space="preserve">(Orne, 1969)</w:t>
      </w:r>
      <w:r>
        <w:t xml:space="preserve">, and perhaps they need better measures of the psychological mechanisms that may underlie demand effects</w:t>
      </w:r>
      <w:r>
        <w:t xml:space="preserve"> </w:t>
      </w:r>
      <w:r>
        <w:t xml:space="preserve">(Flake &amp; Fried, 2020)</w:t>
      </w:r>
      <w:r>
        <w:t xml:space="preserve">.</w:t>
      </w:r>
    </w:p>
    <w:p>
      <w:pPr>
        <w:pStyle w:val="Textkrper"/>
      </w:pPr>
      <w:r>
        <w:t xml:space="preserve">Broad definitions of the demand characteristics construct presented us with yet another challenge. At its broadest, demand characteristics are defined as almost</w:t>
      </w:r>
      <w:r>
        <w:t xml:space="preserve"> </w:t>
      </w:r>
      <w:r>
        <w:rPr>
          <w:i/>
          <w:iCs/>
        </w:rPr>
        <w:t xml:space="preserve">any</w:t>
      </w:r>
      <w:r>
        <w:t xml:space="preserve"> </w:t>
      </w:r>
      <w:r>
        <w:t xml:space="preserve">cue that may impact participants’ understanding of the purpose of the study, including instructions, rumors, and experimenter behavior</w:t>
      </w:r>
      <w:r>
        <w:t xml:space="preserve"> </w:t>
      </w:r>
      <w:r>
        <w:t xml:space="preserve">(Orne, 1962)</w:t>
      </w:r>
      <w:r>
        <w:t xml:space="preserve">.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pPr>
        <w:pStyle w:val="Textkrper"/>
      </w:pPr>
      <w:r>
        <w:t xml:space="preserve">Even with our relatively narrow subset of the demand characteristics literature, there are commensurability challenges. Researchers have tested the effects of explicit hypothesis cues on a variety of outcomes, including hypnosis symptoms</w:t>
      </w:r>
      <w:r>
        <w:t xml:space="preserve"> </w:t>
      </w:r>
      <w:r>
        <w:t xml:space="preserve">(e.g., Orne &amp; Scheibe, 1964)</w:t>
      </w:r>
      <w:r>
        <w:t xml:space="preserve">, eating behavior</w:t>
      </w:r>
      <w:r>
        <w:t xml:space="preserve"> </w:t>
      </w:r>
      <w:r>
        <w:t xml:space="preserve">(e.g., Kersbergen, Whitelock, Haynes, Schroor, &amp; Robinson, 2019)</w:t>
      </w:r>
      <w:r>
        <w:t xml:space="preserve">, visual judgments</w:t>
      </w:r>
      <w:r>
        <w:t xml:space="preserve"> </w:t>
      </w:r>
      <w:r>
        <w:t xml:space="preserve">(e.g., Durgin, Klein, Spiegel, Strawser, &amp; Williams, 2012)</w:t>
      </w:r>
      <w:r>
        <w:t xml:space="preserve">, relationship satisfaction</w:t>
      </w:r>
      <w:r>
        <w:t xml:space="preserve"> </w:t>
      </w:r>
      <w:r>
        <w:t xml:space="preserve">(e.g., Cramer, 2005)</w:t>
      </w:r>
      <w:r>
        <w:t xml:space="preserve">, mood</w:t>
      </w:r>
      <w:r>
        <w:t xml:space="preserve"> </w:t>
      </w:r>
      <w:r>
        <w:t xml:space="preserve">(e.g., Coles et al., 2022)</w:t>
      </w:r>
      <w:r>
        <w:t xml:space="preserve">, policy support</w:t>
      </w:r>
      <w:r>
        <w:t xml:space="preserve"> </w:t>
      </w:r>
      <w:r>
        <w:t xml:space="preserve">(e.g., Mummolo &amp; Peterson, 2019)</w:t>
      </w:r>
      <w:r>
        <w:t xml:space="preserve">, test scores</w:t>
      </w:r>
      <w:r>
        <w:t xml:space="preserve"> </w:t>
      </w:r>
      <w:r>
        <w:t xml:space="preserve">(e.g., Veitch, Gifford, &amp; Hine, 1991)</w:t>
      </w:r>
      <w:r>
        <w:t xml:space="preserve">, and so on. Researchers also varied in how they conducted their investigations – e.g., in whether they (a) conducted their studies in-person</w:t>
      </w:r>
      <w:r>
        <w:t xml:space="preserve"> </w:t>
      </w:r>
      <w:r>
        <w:t xml:space="preserve">(e.g., Orne &amp; Scheibe, 1964)</w:t>
      </w:r>
      <w:r>
        <w:t xml:space="preserve"> </w:t>
      </w:r>
      <w:r>
        <w:t xml:space="preserve">vs. online</w:t>
      </w:r>
      <w:r>
        <w:t xml:space="preserve"> </w:t>
      </w:r>
      <w:r>
        <w:t xml:space="preserve">(e.g., Mummolo &amp; Peterson, 2019)</w:t>
      </w:r>
      <w:r>
        <w:t xml:space="preserve">, (b) sampled students</w:t>
      </w:r>
      <w:r>
        <w:t xml:space="preserve"> </w:t>
      </w:r>
      <w:r>
        <w:t xml:space="preserve">(e.g., Rose, Geers, Fowler, &amp; Rasinski, 2014)</w:t>
      </w:r>
      <w:r>
        <w:t xml:space="preserve"> </w:t>
      </w:r>
      <w:r>
        <w:t xml:space="preserve">vs. non-students</w:t>
      </w:r>
      <w:r>
        <w:t xml:space="preserve"> </w:t>
      </w:r>
      <w:r>
        <w:t xml:space="preserve">(e.g., Terhune &amp; Smith, 2006)</w:t>
      </w:r>
      <w:r>
        <w:t xml:space="preserve">, and (c) manipulated hypothesis cues within-</w:t>
      </w:r>
      <w:r>
        <w:t xml:space="preserve"> </w:t>
      </w:r>
      <w:r>
        <w:t xml:space="preserve">(e.g., Martin, Sackur, &amp; Dienes, 2018)</w:t>
      </w:r>
      <w:r>
        <w:t xml:space="preserve"> </w:t>
      </w:r>
      <w:r>
        <w:t xml:space="preserve">vs. between-subjects</w:t>
      </w:r>
      <w:r>
        <w:t xml:space="preserve"> </w:t>
      </w:r>
      <w:r>
        <w:t xml:space="preserve">(e.g., Coles et al., 2022)</w:t>
      </w:r>
      <w:r>
        <w:t xml:space="preserve">.</w:t>
      </w:r>
      <w:r>
        <w:rPr>
          <w:rStyle w:val="Funotenzeichen"/>
        </w:rPr>
        <w:footnoteReference w:id="63"/>
      </w:r>
      <w:r>
        <w:t xml:space="preserve"> </w:t>
      </w:r>
      <w:r>
        <w:t xml:space="preserve">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note that high heterogeneity was also observed in a six-lab investigation of demand effects in conformity research</w:t>
      </w:r>
      <w:r>
        <w:t xml:space="preserve"> </w:t>
      </w:r>
      <w:r>
        <w:t xml:space="preserve">(Coles et al., 2024)</w:t>
      </w:r>
      <w:r>
        <w:rPr>
          <w:rStyle w:val="Funotenzeichen"/>
        </w:rPr>
        <w:footnoteReference w:id="64"/>
      </w:r>
      <w:r>
        <w:t xml:space="preserve">.</w:t>
      </w:r>
    </w:p>
    <w:p>
      <w:pPr>
        <w:pStyle w:val="Textkrper"/>
      </w:pPr>
      <w:r>
        <w:t xml:space="preserve">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pPr>
        <w:pStyle w:val="Textkrper"/>
      </w:pPr>
      <w:r>
        <w:t xml:space="preserve">We do not deny the importance of these methodological limitations. Instead, we point out that we suspect they do little to change our conclusion: demand effects can be inferentially consequential – but are unreliable, difficult to predict, and challenging to explain.</w:t>
      </w:r>
    </w:p>
    <w:bookmarkEnd w:id="65"/>
    <w:bookmarkStart w:id="66" w:name="concluding-remarks"/>
    <w:p>
      <w:pPr>
        <w:pStyle w:val="berschrift2"/>
      </w:pPr>
      <w:r>
        <w:t xml:space="preserve">Concluding Remarks</w:t>
      </w:r>
    </w:p>
    <w:p>
      <w:pPr>
        <w:pStyle w:val="FirstParagraph"/>
      </w:pPr>
      <w:r>
        <w:t xml:space="preserve">Since</w:t>
      </w:r>
      <w:r>
        <w:t xml:space="preserve"> </w:t>
      </w:r>
      <w:r>
        <w:t xml:space="preserve">Orne (1962)</w:t>
      </w:r>
      <w:r>
        <w:t xml:space="preserve"> </w:t>
      </w:r>
      <w:r>
        <w:t xml:space="preserve">famously described the idea over 50 years ago, demand characteristics have become a literal textbook methodological concern in experimental psychology</w:t>
      </w:r>
      <w:r>
        <w:t xml:space="preserve"> </w:t>
      </w:r>
      <w:r>
        <w:t xml:space="preserve">(Sharpe &amp; Whelton, 2016)</w:t>
      </w:r>
      <w:r>
        <w:t xml:space="preserve">.</w:t>
      </w:r>
      <w:r>
        <w:t xml:space="preserve"> </w:t>
      </w:r>
      <w:r>
        <w:t xml:space="preserve">Orne (1962)</w:t>
      </w:r>
      <w:r>
        <w:t xml:space="preserve"> </w:t>
      </w:r>
      <w:r>
        <w:t xml:space="preserve">further suggested that demand characteristics constituted an omnipresent threat to the validity of experimental psychology, arguing that</w:t>
      </w:r>
      <w:r>
        <w:t xml:space="preserve"> </w:t>
      </w:r>
      <w:r>
        <w:t xml:space="preserve">“</w:t>
      </w:r>
      <w:r>
        <w:t xml:space="preserve">…all experiments will have demand characteristics, and these will always have some effects</w:t>
      </w:r>
      <w:r>
        <w:t xml:space="preserve">”</w:t>
      </w:r>
      <w:r>
        <w:t xml:space="preserve"> </w:t>
      </w:r>
      <w:r>
        <w:t xml:space="preserve">(1962, p. 779)</w:t>
      </w:r>
      <w:r>
        <w:t xml:space="preserve">. Consequently, it is perhaps not surprising that significant effort has been dedicated to their study.</w:t>
      </w:r>
    </w:p>
    <w:p>
      <w:pPr>
        <w:pStyle w:val="Textkrper"/>
      </w:pPr>
      <w:r>
        <w:t xml:space="preserve">Unfortunately, it is not clear if much has been learned in these 50+ years since Orne warned of this</w:t>
      </w:r>
      <w:r>
        <w:t xml:space="preserve"> </w:t>
      </w:r>
      <w:r>
        <w:t xml:space="preserve">“</w:t>
      </w:r>
      <w:r>
        <w:t xml:space="preserve">omnipresent threat</w:t>
      </w:r>
      <w:r>
        <w:t xml:space="preserve">”</w:t>
      </w:r>
      <w:r>
        <w:t xml:space="preserve">. Our review suggests that demand effects can indeed be inferentially consequential – but are also unreliable, difficult to predict, and 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bookmarkEnd w:id="66"/>
    <w:bookmarkEnd w:id="67"/>
    <w:bookmarkStart w:id="157" w:name="references"/>
    <w:p>
      <w:pPr>
        <w:pStyle w:val="berschrift1"/>
      </w:pPr>
      <w:r>
        <w:t xml:space="preserve">References</w:t>
      </w:r>
    </w:p>
    <w:p>
      <w:pPr>
        <w:pStyle w:val="FirstParagraph"/>
      </w:pPr>
      <w:r>
        <w:t xml:space="preserve">References marked with an asterisk indicate studies included in the meta-analysis.</w:t>
      </w:r>
    </w:p>
    <w:bookmarkStart w:id="156" w:name="refs"/>
    <w:bookmarkStart w:id="68"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
          <w:iCs/>
        </w:rPr>
        <w:t xml:space="preserve">Appetite</w:t>
      </w:r>
      <w:r>
        <w:t xml:space="preserve">,</w:t>
      </w:r>
      <w:r>
        <w:t xml:space="preserve"> </w:t>
      </w:r>
      <w:r>
        <w:rPr>
          <w:i/>
          <w:iCs/>
        </w:rPr>
        <w:t xml:space="preserve">59</w:t>
      </w:r>
      <w:r>
        <w:t xml:space="preserve">(2), 349–356.</w:t>
      </w:r>
    </w:p>
    <w:bookmarkEnd w:id="68"/>
    <w:bookmarkStart w:id="70" w:name="ref-R-papaja"/>
    <w:p>
      <w:pPr>
        <w:pStyle w:val="Literaturverzeichnis"/>
      </w:pPr>
      <w:r>
        <w:t xml:space="preserve">Aust, F., &amp; Barth, M. (2022).</w:t>
      </w:r>
      <w:r>
        <w:t xml:space="preserve"> </w:t>
      </w:r>
      <w:r>
        <w:rPr>
          <w:i/>
          <w:iCs/>
        </w:rPr>
        <w:t xml:space="preserve">papaja</w:t>
      </w:r>
      <w:r>
        <w:rPr>
          <w:i/>
          <w:iCs/>
        </w:rPr>
        <w:t xml:space="preserve">:</w:t>
      </w:r>
      <w:r>
        <w:rPr>
          <w:i/>
          <w:iCs/>
        </w:rPr>
        <w:t xml:space="preserve"> </w:t>
      </w:r>
      <w:r>
        <w:rPr>
          <w:i/>
          <w:iCs/>
        </w:rPr>
        <w:t xml:space="preserve">Prepare</w:t>
      </w:r>
      <w:r>
        <w:rPr>
          <w:i/>
          <w:iCs/>
        </w:rPr>
        <w:t xml:space="preserve"> </w:t>
      </w:r>
      <w:r>
        <w:rPr>
          <w:i/>
          <w:iCs/>
        </w:rPr>
        <w:t xml:space="preserve">reproducible</w:t>
      </w:r>
      <w:r>
        <w:rPr>
          <w:i/>
          <w:iCs/>
        </w:rPr>
        <w:t xml:space="preserve"> </w:t>
      </w:r>
      <w:r>
        <w:rPr>
          <w:i/>
          <w:iCs/>
        </w:rPr>
        <w:t xml:space="preserve">APA</w:t>
      </w:r>
      <w:r>
        <w:rPr>
          <w:i/>
          <w:iCs/>
        </w:rPr>
        <w:t xml:space="preserve"> </w:t>
      </w:r>
      <w:r>
        <w:rPr>
          <w:i/>
          <w:iCs/>
        </w:rPr>
        <w:t xml:space="preserve">journal articles with</w:t>
      </w:r>
      <w:r>
        <w:rPr>
          <w:i/>
          <w:iCs/>
        </w:rPr>
        <w:t xml:space="preserve"> </w:t>
      </w:r>
      <w:r>
        <w:rPr>
          <w:i/>
          <w:iCs/>
        </w:rPr>
        <w:t xml:space="preserve">R Markdown</w:t>
      </w:r>
      <w:r>
        <w:t xml:space="preserve">. Retrieved from</w:t>
      </w:r>
      <w:r>
        <w:t xml:space="preserve"> </w:t>
      </w:r>
      <w:hyperlink r:id="rId69">
        <w:r>
          <w:rPr>
            <w:rStyle w:val="Hyperlink"/>
          </w:rPr>
          <w:t xml:space="preserve">https://github.com/crsh/papaja</w:t>
        </w:r>
      </w:hyperlink>
    </w:p>
    <w:bookmarkEnd w:id="70"/>
    <w:bookmarkStart w:id="71" w:name="ref-balze1998role"/>
    <w:p>
      <w:pPr>
        <w:pStyle w:val="Literaturverzeichnis"/>
      </w:pPr>
      <w:r>
        <w:rPr>
          <w:vertAlign w:val="superscript"/>
        </w:rPr>
        <w:t xml:space="preserve">*</w:t>
      </w:r>
      <w:r>
        <w:t xml:space="preserve"> </w:t>
      </w:r>
      <w:r>
        <w:t xml:space="preserve">Balze, E. M. (1998).</w:t>
      </w:r>
      <w:r>
        <w:t xml:space="preserve"> </w:t>
      </w:r>
      <w:r>
        <w:rPr>
          <w:i/>
          <w:iCs/>
        </w:rPr>
        <w:t xml:space="preserve">The role of expectancy in treatment efficacy: The use of a therapeutic" frame" to enhance performance</w:t>
      </w:r>
      <w:r>
        <w:t xml:space="preserve"> </w:t>
      </w:r>
      <w:r>
        <w:t xml:space="preserve">(PhD thesis).</w:t>
      </w:r>
    </w:p>
    <w:bookmarkEnd w:id="71"/>
    <w:bookmarkStart w:id="72"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
          <w:iCs/>
        </w:rPr>
        <w:t xml:space="preserve">Perceptual and Motor Skills</w:t>
      </w:r>
      <w:r>
        <w:t xml:space="preserve">,</w:t>
      </w:r>
      <w:r>
        <w:t xml:space="preserve"> </w:t>
      </w:r>
      <w:r>
        <w:rPr>
          <w:i/>
          <w:iCs/>
        </w:rPr>
        <w:t xml:space="preserve">73</w:t>
      </w:r>
      <w:r>
        <w:t xml:space="preserve">(1), 83–92.</w:t>
      </w:r>
    </w:p>
    <w:bookmarkEnd w:id="72"/>
    <w:bookmarkStart w:id="73" w:name="ref-bartels2019revisiting"/>
    <w:p>
      <w:pPr>
        <w:pStyle w:val="Literaturverzeichnis"/>
      </w:pPr>
      <w:r>
        <w:t xml:space="preserve">Bartels, J. (2019). Revisiting the stanford prison experiment, again: Examining demand characteristics in the guard orientation.</w:t>
      </w:r>
      <w:r>
        <w:t xml:space="preserve"> </w:t>
      </w:r>
      <w:r>
        <w:rPr>
          <w:i/>
          <w:iCs/>
        </w:rPr>
        <w:t xml:space="preserve">The Journal of Social Psychology</w:t>
      </w:r>
      <w:r>
        <w:t xml:space="preserve">,</w:t>
      </w:r>
      <w:r>
        <w:t xml:space="preserve"> </w:t>
      </w:r>
      <w:r>
        <w:rPr>
          <w:i/>
          <w:iCs/>
        </w:rPr>
        <w:t xml:space="preserve">159</w:t>
      </w:r>
      <w:r>
        <w:t xml:space="preserve">(6), 780–790.</w:t>
      </w:r>
    </w:p>
    <w:bookmarkEnd w:id="73"/>
    <w:bookmarkStart w:id="74"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iCs/>
        </w:rPr>
        <w:t xml:space="preserve">Journal of Statistical Software</w:t>
      </w:r>
      <w:r>
        <w:t xml:space="preserve">,</w:t>
      </w:r>
      <w:r>
        <w:t xml:space="preserve"> </w:t>
      </w:r>
      <w:r>
        <w:rPr>
          <w:i/>
          <w:iCs/>
        </w:rPr>
        <w:t xml:space="preserve">67</w:t>
      </w:r>
      <w:r>
        <w:t xml:space="preserve">(1), 1–48.</w:t>
      </w:r>
    </w:p>
    <w:bookmarkEnd w:id="74"/>
    <w:bookmarkStart w:id="75" w:name="ref-borenstein2009effect"/>
    <w:p>
      <w:pPr>
        <w:pStyle w:val="Literaturverzeichnis"/>
      </w:pPr>
      <w:r>
        <w:t xml:space="preserve">Borenstein, M. (2009). Effect sizes for continuous data. In H. Cooper, L. V. Hedges, &amp; J. C. Valentine (Eds.),</w:t>
      </w:r>
      <w:r>
        <w:t xml:space="preserve"> </w:t>
      </w:r>
      <w:r>
        <w:rPr>
          <w:i/>
          <w:iCs/>
        </w:rPr>
        <w:t xml:space="preserve">The handbook of synthesis and meta-analysis</w:t>
      </w:r>
      <w:r>
        <w:t xml:space="preserve"> </w:t>
      </w:r>
      <w:r>
        <w:t xml:space="preserve">(pp. 221–235). New York, NY: Russell Sage Foundation.</w:t>
      </w:r>
    </w:p>
    <w:bookmarkEnd w:id="75"/>
    <w:bookmarkStart w:id="76" w:name="ref-borenstein2011introduction"/>
    <w:p>
      <w:pPr>
        <w:pStyle w:val="Literaturverzeichnis"/>
      </w:pPr>
      <w:r>
        <w:t xml:space="preserve">Borenstein, M., Hedges, L. V., Higgins, J. P., &amp; Rothstein, H. R. (2011).</w:t>
      </w:r>
      <w:r>
        <w:t xml:space="preserve"> </w:t>
      </w:r>
      <w:r>
        <w:rPr>
          <w:i/>
          <w:iCs/>
        </w:rPr>
        <w:t xml:space="preserve">Introduction to meta-analysis</w:t>
      </w:r>
      <w:r>
        <w:t xml:space="preserve">. John Wiley &amp; Sons.</w:t>
      </w:r>
    </w:p>
    <w:bookmarkEnd w:id="76"/>
    <w:bookmarkStart w:id="77"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
          <w:iCs/>
        </w:rPr>
        <w:t xml:space="preserve">Cognitive Therapy and Research</w:t>
      </w:r>
      <w:r>
        <w:t xml:space="preserve">,</w:t>
      </w:r>
      <w:r>
        <w:t xml:space="preserve"> </w:t>
      </w:r>
      <w:r>
        <w:rPr>
          <w:i/>
          <w:iCs/>
        </w:rPr>
        <w:t xml:space="preserve">31</w:t>
      </w:r>
      <w:r>
        <w:t xml:space="preserve">, 805–815.</w:t>
      </w:r>
    </w:p>
    <w:bookmarkEnd w:id="77"/>
    <w:bookmarkStart w:id="79" w:name="ref-R-weightr"/>
    <w:p>
      <w:pPr>
        <w:pStyle w:val="Literaturverzeichnis"/>
      </w:pPr>
      <w:r>
        <w:t xml:space="preserve">Coburn, K. M., &amp; Vevea, J. L. (2019).</w:t>
      </w:r>
      <w:r>
        <w:t xml:space="preserve"> </w:t>
      </w:r>
      <w:r>
        <w:rPr>
          <w:i/>
          <w:iCs/>
        </w:rPr>
        <w:t xml:space="preserve">Weightr: Estimating weight-function models for publication bias</w:t>
      </w:r>
      <w:r>
        <w:t xml:space="preserve">. Retrieved from</w:t>
      </w:r>
      <w:r>
        <w:t xml:space="preserve"> </w:t>
      </w:r>
      <w:hyperlink r:id="rId78">
        <w:r>
          <w:rPr>
            <w:rStyle w:val="Hyperlink"/>
          </w:rPr>
          <w:t xml:space="preserve">https://CRAN.R-project.org/package=weightr</w:t>
        </w:r>
      </w:hyperlink>
    </w:p>
    <w:bookmarkEnd w:id="79"/>
    <w:bookmarkStart w:id="80" w:name="ref-cohen1988statistical"/>
    <w:p>
      <w:pPr>
        <w:pStyle w:val="Literaturverzeichnis"/>
      </w:pPr>
      <w:r>
        <w:t xml:space="preserve">Cohen, J. (2013).</w:t>
      </w:r>
      <w:r>
        <w:t xml:space="preserve"> </w:t>
      </w:r>
      <w:r>
        <w:rPr>
          <w:i/>
          <w:iCs/>
        </w:rPr>
        <w:t xml:space="preserve">Statistical power analysis for the behavioral sciences</w:t>
      </w:r>
      <w:r>
        <w:t xml:space="preserve"> </w:t>
      </w:r>
      <w:r>
        <w:t xml:space="preserve">(Vol. 2). New York, NY: Lawrence Erlbaum Associates.</w:t>
      </w:r>
    </w:p>
    <w:bookmarkEnd w:id="80"/>
    <w:bookmarkStart w:id="81"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
          <w:iCs/>
        </w:rPr>
        <w:t xml:space="preserve">Journal of Personality and Social Psychology</w:t>
      </w:r>
      <w:r>
        <w:t xml:space="preserve">.</w:t>
      </w:r>
    </w:p>
    <w:bookmarkEnd w:id="81"/>
    <w:bookmarkStart w:id="82" w:name="ref-coles2024replication"/>
    <w:p>
      <w:pPr>
        <w:pStyle w:val="Literaturverzeichnis"/>
      </w:pPr>
      <w:r>
        <w:rPr>
          <w:vertAlign w:val="superscript"/>
        </w:rPr>
        <w:t xml:space="preserve">*</w:t>
      </w:r>
      <w:r>
        <w:t xml:space="preserve"> </w:t>
      </w:r>
      <w:r>
        <w:t xml:space="preserve">Coles, N. A., McCullough, M., Oishi, S., Dang, A., McCauley, T., Pfattheicher, S., … Sarabia, V. (2024).</w:t>
      </w:r>
      <w:r>
        <w:t xml:space="preserve"> </w:t>
      </w:r>
      <w:r>
        <w:rPr>
          <w:i/>
          <w:iCs/>
        </w:rPr>
        <w:t xml:space="preserve">Unpublished conceptual replication of berry, 1967</w:t>
      </w:r>
      <w:r>
        <w:t xml:space="preserve">.</w:t>
      </w:r>
    </w:p>
    <w:bookmarkEnd w:id="82"/>
    <w:bookmarkStart w:id="83" w:name="ref-coles2023replication"/>
    <w:p>
      <w:pPr>
        <w:pStyle w:val="Literaturverzeichnis"/>
      </w:pPr>
      <w:r>
        <w:rPr>
          <w:vertAlign w:val="superscript"/>
        </w:rPr>
        <w:t xml:space="preserve">*</w:t>
      </w:r>
      <w:r>
        <w:t xml:space="preserve"> </w:t>
      </w:r>
      <w:r>
        <w:t xml:space="preserve">Coles, N. A., Wyatt, M., &amp; Frank, M. C. (2023).</w:t>
      </w:r>
      <w:r>
        <w:t xml:space="preserve"> </w:t>
      </w:r>
      <w:r>
        <w:rPr>
          <w:i/>
          <w:iCs/>
        </w:rPr>
        <w:t xml:space="preserve">Coles, wyatt, and frank replication of coles et al. 2022</w:t>
      </w:r>
      <w:r>
        <w:t xml:space="preserve">.</w:t>
      </w:r>
    </w:p>
    <w:bookmarkEnd w:id="83"/>
    <w:bookmarkStart w:id="84"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
          <w:iCs/>
        </w:rPr>
        <w:t xml:space="preserve">Journal of Personality and Social Psychology</w:t>
      </w:r>
      <w:r>
        <w:t xml:space="preserve">,</w:t>
      </w:r>
      <w:r>
        <w:t xml:space="preserve"> </w:t>
      </w:r>
      <w:r>
        <w:rPr>
          <w:i/>
          <w:iCs/>
        </w:rPr>
        <w:t xml:space="preserve">14</w:t>
      </w:r>
      <w:r>
        <w:t xml:space="preserve">(3), 185–194.</w:t>
      </w:r>
    </w:p>
    <w:bookmarkEnd w:id="84"/>
    <w:bookmarkStart w:id="85" w:name="ref-corneille2023instruction"/>
    <w:p>
      <w:pPr>
        <w:pStyle w:val="Literaturverzeichnis"/>
      </w:pPr>
      <w:r>
        <w:t xml:space="preserve">Corneille, O., &amp; Béna, J. (2023). Instruction-based replication studies raise challenging questions for psychological science.</w:t>
      </w:r>
      <w:r>
        <w:t xml:space="preserve"> </w:t>
      </w:r>
      <w:r>
        <w:rPr>
          <w:i/>
          <w:iCs/>
        </w:rPr>
        <w:t xml:space="preserve">Collabra: Psychology</w:t>
      </w:r>
      <w:r>
        <w:t xml:space="preserve">,</w:t>
      </w:r>
      <w:r>
        <w:t xml:space="preserve"> </w:t>
      </w:r>
      <w:r>
        <w:rPr>
          <w:i/>
          <w:iCs/>
        </w:rPr>
        <w:t xml:space="preserve">9</w:t>
      </w:r>
      <w:r>
        <w:t xml:space="preserve">(1).</w:t>
      </w:r>
    </w:p>
    <w:bookmarkEnd w:id="85"/>
    <w:bookmarkStart w:id="86" w:name="ref-corneille2022sixty"/>
    <w:p>
      <w:pPr>
        <w:pStyle w:val="Literaturverzeichnis"/>
      </w:pPr>
      <w:r>
        <w:t xml:space="preserve">Corneille, O., &amp; Lush, P. (2023). Sixty years after orne’s american psychologist article: A conceptual framework for subjective experiences elicited by demand characteristics.</w:t>
      </w:r>
      <w:r>
        <w:t xml:space="preserve"> </w:t>
      </w:r>
      <w:r>
        <w:rPr>
          <w:i/>
          <w:iCs/>
        </w:rPr>
        <w:t xml:space="preserve">Personality and Social Psychology Review</w:t>
      </w:r>
      <w:r>
        <w:t xml:space="preserve">,</w:t>
      </w:r>
      <w:r>
        <w:t xml:space="preserve"> </w:t>
      </w:r>
      <w:r>
        <w:rPr>
          <w:i/>
          <w:iCs/>
        </w:rPr>
        <w:t xml:space="preserve">27</w:t>
      </w:r>
      <w:r>
        <w:t xml:space="preserve">(1), 81–101.</w:t>
      </w:r>
    </w:p>
    <w:bookmarkEnd w:id="86"/>
    <w:bookmarkStart w:id="87"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
          <w:iCs/>
        </w:rPr>
        <w:t xml:space="preserve">Psychology and Psychotherapy: Theory, Research and Practice</w:t>
      </w:r>
      <w:r>
        <w:t xml:space="preserve">,</w:t>
      </w:r>
      <w:r>
        <w:t xml:space="preserve"> </w:t>
      </w:r>
      <w:r>
        <w:rPr>
          <w:i/>
          <w:iCs/>
        </w:rPr>
        <w:t xml:space="preserve">77</w:t>
      </w:r>
      <w:r>
        <w:t xml:space="preserve">(1), 121–133.</w:t>
      </w:r>
    </w:p>
    <w:bookmarkEnd w:id="87"/>
    <w:bookmarkStart w:id="88"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
          <w:iCs/>
        </w:rPr>
        <w:t xml:space="preserve">The Journal of Psychology</w:t>
      </w:r>
      <w:r>
        <w:t xml:space="preserve">,</w:t>
      </w:r>
      <w:r>
        <w:t xml:space="preserve"> </w:t>
      </w:r>
      <w:r>
        <w:rPr>
          <w:i/>
          <w:iCs/>
        </w:rPr>
        <w:t xml:space="preserve">139</w:t>
      </w:r>
      <w:r>
        <w:t xml:space="preserve">(1), 57–66.</w:t>
      </w:r>
    </w:p>
    <w:bookmarkEnd w:id="88"/>
    <w:bookmarkStart w:id="89"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
          <w:iCs/>
        </w:rPr>
        <w:t xml:space="preserve">The Journal of Psychology</w:t>
      </w:r>
      <w:r>
        <w:t xml:space="preserve">,</w:t>
      </w:r>
      <w:r>
        <w:t xml:space="preserve"> </w:t>
      </w:r>
      <w:r>
        <w:rPr>
          <w:i/>
          <w:iCs/>
        </w:rPr>
        <w:t xml:space="preserve">129</w:t>
      </w:r>
      <w:r>
        <w:t xml:space="preserve">(3), 269–275.</w:t>
      </w:r>
    </w:p>
    <w:bookmarkEnd w:id="89"/>
    <w:bookmarkStart w:id="90" w:name="ref-de2020cross"/>
    <w:p>
      <w:pPr>
        <w:pStyle w:val="Literaturverzeichnis"/>
      </w:pPr>
      <w:r>
        <w:t xml:space="preserve">De Rooij, M., &amp; Weeda, W. (2020). Cross-validation: A method every psychologist should know.</w:t>
      </w:r>
      <w:r>
        <w:t xml:space="preserve"> </w:t>
      </w:r>
      <w:r>
        <w:rPr>
          <w:i/>
          <w:iCs/>
        </w:rPr>
        <w:t xml:space="preserve">Advances in Methods and Practices in Psychological Science</w:t>
      </w:r>
      <w:r>
        <w:t xml:space="preserve">,</w:t>
      </w:r>
      <w:r>
        <w:t xml:space="preserve"> </w:t>
      </w:r>
      <w:r>
        <w:rPr>
          <w:i/>
          <w:iCs/>
        </w:rPr>
        <w:t xml:space="preserve">3</w:t>
      </w:r>
      <w:r>
        <w:t xml:space="preserve">(2), 248–263.</w:t>
      </w:r>
    </w:p>
    <w:bookmarkEnd w:id="90"/>
    <w:bookmarkStart w:id="91" w:name="ref-downs1998feasibility"/>
    <w:p>
      <w:pPr>
        <w:pStyle w:val="Literaturverzeichnis"/>
      </w:pPr>
      <w:r>
        <w:t xml:space="preserve">Downs, S. H., &amp; Black, N. (1998). The feasibility of creating a checklist for the assessment of the methodological quality both of randomised and non-randomised studies of health care interventions.</w:t>
      </w:r>
      <w:r>
        <w:t xml:space="preserve"> </w:t>
      </w:r>
      <w:r>
        <w:rPr>
          <w:i/>
          <w:iCs/>
        </w:rPr>
        <w:t xml:space="preserve">Journal of Epidemiology &amp; Community Health</w:t>
      </w:r>
      <w:r>
        <w:t xml:space="preserve">,</w:t>
      </w:r>
      <w:r>
        <w:t xml:space="preserve"> </w:t>
      </w:r>
      <w:r>
        <w:rPr>
          <w:i/>
          <w:iCs/>
        </w:rPr>
        <w:t xml:space="preserve">52</w:t>
      </w:r>
      <w:r>
        <w:t xml:space="preserve">(6), 377–384.</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
          <w:iCs/>
        </w:rPr>
        <w:t xml:space="preserve">Behavior Modification</w:t>
      </w:r>
      <w:r>
        <w:t xml:space="preserve">,</w:t>
      </w:r>
      <w:r>
        <w:t xml:space="preserve"> </w:t>
      </w:r>
      <w:r>
        <w:rPr>
          <w:i/>
          <w:iCs/>
        </w:rPr>
        <w:t xml:space="preserve">41</w:t>
      </w:r>
      <w:r>
        <w:t xml:space="preserve">(2), 323–339.</w:t>
      </w:r>
    </w:p>
    <w:bookmarkEnd w:id="92"/>
    <w:bookmarkStart w:id="93"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
          <w:iCs/>
        </w:rPr>
        <w:t xml:space="preserve">Journal of Experimental Psychology: Human Perception and Performance</w:t>
      </w:r>
      <w:r>
        <w:t xml:space="preserve">,</w:t>
      </w:r>
      <w:r>
        <w:t xml:space="preserve"> </w:t>
      </w:r>
      <w:r>
        <w:rPr>
          <w:i/>
          <w:iCs/>
        </w:rPr>
        <w:t xml:space="preserve">38</w:t>
      </w:r>
      <w:r>
        <w:t xml:space="preserve">(6), 1582.</w:t>
      </w:r>
    </w:p>
    <w:bookmarkEnd w:id="93"/>
    <w:bookmarkStart w:id="94" w:name="ref-earn1979experimental"/>
    <w:p>
      <w:pPr>
        <w:pStyle w:val="Literaturverzeichnis"/>
      </w:pPr>
      <w:r>
        <w:rPr>
          <w:vertAlign w:val="superscript"/>
        </w:rPr>
        <w:t xml:space="preserve">*</w:t>
      </w:r>
      <w:r>
        <w:t xml:space="preserve"> </w:t>
      </w:r>
      <w:r>
        <w:t xml:space="preserve">Earn, B. M. (1979).</w:t>
      </w:r>
      <w:r>
        <w:t xml:space="preserve"> </w:t>
      </w:r>
      <w:r>
        <w:rPr>
          <w:i/>
          <w:iCs/>
        </w:rPr>
        <w:t xml:space="preserve">Experimental compensation, task interest and the cooperation with demand characteristics of volunteer and sign-up subjects.</w:t>
      </w:r>
      <w:r>
        <w:t xml:space="preserve"> </w:t>
      </w:r>
      <w:r>
        <w:t xml:space="preserve">(PhD thesis).</w:t>
      </w:r>
    </w:p>
    <w:bookmarkEnd w:id="94"/>
    <w:bookmarkStart w:id="95" w:name="ref-fillenbaun1970more"/>
    <w:p>
      <w:pPr>
        <w:pStyle w:val="Literaturverzeichnis"/>
      </w:pPr>
      <w:r>
        <w:t xml:space="preserve">Fillenbaun, S., &amp; Frey, R. (1970). More on the" faithful" behavior of suspicious subjects.</w:t>
      </w:r>
      <w:r>
        <w:t xml:space="preserve"> </w:t>
      </w:r>
      <w:r>
        <w:rPr>
          <w:i/>
          <w:iCs/>
        </w:rPr>
        <w:t xml:space="preserve">Journal of Personality</w:t>
      </w:r>
      <w:r>
        <w:t xml:space="preserve">,</w:t>
      </w:r>
      <w:r>
        <w:t xml:space="preserve"> </w:t>
      </w:r>
      <w:r>
        <w:rPr>
          <w:i/>
          <w:iCs/>
        </w:rPr>
        <w:t xml:space="preserve">38</w:t>
      </w:r>
      <w:r>
        <w:t xml:space="preserve">(1), 43–51.</w:t>
      </w:r>
    </w:p>
    <w:bookmarkEnd w:id="95"/>
    <w:bookmarkStart w:id="96" w:name="ref-flake2020measurement"/>
    <w:p>
      <w:pPr>
        <w:pStyle w:val="Literaturverzeichnis"/>
      </w:pPr>
      <w:r>
        <w:t xml:space="preserve">Flake, J. K., &amp; Fried, E. I. (2020). Measurement schmeasurement: Questionable measurement practices and how to avoid them.</w:t>
      </w:r>
      <w:r>
        <w:t xml:space="preserve"> </w:t>
      </w:r>
      <w:r>
        <w:rPr>
          <w:i/>
          <w:iCs/>
        </w:rPr>
        <w:t xml:space="preserve">Advances in Methods and Practices in Psychological Science</w:t>
      </w:r>
      <w:r>
        <w:t xml:space="preserve">,</w:t>
      </w:r>
      <w:r>
        <w:t xml:space="preserve"> </w:t>
      </w:r>
      <w:r>
        <w:rPr>
          <w:i/>
          <w:iCs/>
        </w:rPr>
        <w:t xml:space="preserve">3</w:t>
      </w:r>
      <w:r>
        <w:t xml:space="preserve">(4), 456–465.</w:t>
      </w:r>
    </w:p>
    <w:bookmarkEnd w:id="96"/>
    <w:bookmarkStart w:id="97" w:name="ref-franco2014publication"/>
    <w:p>
      <w:pPr>
        <w:pStyle w:val="Literaturverzeichnis"/>
      </w:pPr>
      <w:r>
        <w:t xml:space="preserve">Franco, A., Malhotra, N., &amp; Simonovits, G. (2014). Publication bias in the social sciences: Unlocking the file drawer.</w:t>
      </w:r>
      <w:r>
        <w:t xml:space="preserve"> </w:t>
      </w:r>
      <w:r>
        <w:rPr>
          <w:i/>
          <w:iCs/>
        </w:rPr>
        <w:t xml:space="preserve">Science</w:t>
      </w:r>
      <w:r>
        <w:t xml:space="preserve">,</w:t>
      </w:r>
      <w:r>
        <w:t xml:space="preserve"> </w:t>
      </w:r>
      <w:r>
        <w:rPr>
          <w:i/>
          <w:iCs/>
        </w:rPr>
        <w:t xml:space="preserve">345</w:t>
      </w:r>
      <w:r>
        <w:t xml:space="preserve">(6203), 1502–1505.</w:t>
      </w:r>
    </w:p>
    <w:bookmarkEnd w:id="97"/>
    <w:bookmarkStart w:id="98" w:name="ref-frank2023experimentology"/>
    <w:p>
      <w:pPr>
        <w:pStyle w:val="Literaturverzeichnis"/>
      </w:pPr>
      <w:r>
        <w:t xml:space="preserve">Frank, M. C., Braginsky, M., Cachia, J., Coles, N., Hardwicke, T., Hawkins, R., … Williams, R. (2023).</w:t>
      </w:r>
      <w:r>
        <w:t xml:space="preserve"> </w:t>
      </w:r>
      <w:r>
        <w:rPr>
          <w:i/>
          <w:iCs/>
        </w:rPr>
        <w:t xml:space="preserve">Experimentology: An open science approach to experimental psychology methods</w:t>
      </w:r>
      <w:r>
        <w:t xml:space="preserve">. Boston, MA: MIT Press.</w:t>
      </w:r>
    </w:p>
    <w:bookmarkEnd w:id="98"/>
    <w:bookmarkStart w:id="99" w:name="ref-fresson2017role"/>
    <w:p>
      <w:pPr>
        <w:pStyle w:val="Literaturverzeichnis"/>
      </w:pPr>
      <w:r>
        <w:rPr>
          <w:vertAlign w:val="superscript"/>
        </w:rPr>
        <w:t xml:space="preserve">*</w:t>
      </w:r>
      <w:r>
        <w:t xml:space="preserve"> </w:t>
      </w:r>
      <w:r>
        <w:t xml:space="preserve">Fresson, M., Dardenne, B., Geurten, M., Anzaldi, L., &amp; Meulemans, T. (2017). The role of self-transcendence and cognitive processes in the response expectancy effect.</w:t>
      </w:r>
      <w:r>
        <w:t xml:space="preserve"> </w:t>
      </w:r>
      <w:r>
        <w:rPr>
          <w:i/>
          <w:iCs/>
        </w:rPr>
        <w:t xml:space="preserve">Psychologica Belgica</w:t>
      </w:r>
      <w:r>
        <w:t xml:space="preserve">,</w:t>
      </w:r>
      <w:r>
        <w:t xml:space="preserve"> </w:t>
      </w:r>
      <w:r>
        <w:rPr>
          <w:i/>
          <w:iCs/>
        </w:rPr>
        <w:t xml:space="preserve">57</w:t>
      </w:r>
      <w:r>
        <w:t xml:space="preserve">(2), 77–92.</w:t>
      </w:r>
    </w:p>
    <w:bookmarkEnd w:id="99"/>
    <w:bookmarkStart w:id="100" w:name="ref-gergen1973social"/>
    <w:p>
      <w:pPr>
        <w:pStyle w:val="Literaturverzeichnis"/>
      </w:pPr>
      <w:r>
        <w:t xml:space="preserve">Gergen, K. J. (1973). Social psychology as history.</w:t>
      </w:r>
      <w:r>
        <w:t xml:space="preserve"> </w:t>
      </w:r>
      <w:r>
        <w:rPr>
          <w:i/>
          <w:iCs/>
        </w:rPr>
        <w:t xml:space="preserve">Journal of Personality and Social Psychology</w:t>
      </w:r>
      <w:r>
        <w:t xml:space="preserve">,</w:t>
      </w:r>
      <w:r>
        <w:t xml:space="preserve"> </w:t>
      </w:r>
      <w:r>
        <w:rPr>
          <w:i/>
          <w:iCs/>
        </w:rPr>
        <w:t xml:space="preserve">26</w:t>
      </w:r>
      <w:r>
        <w:t xml:space="preserve">(2), 309.</w:t>
      </w:r>
    </w:p>
    <w:bookmarkEnd w:id="100"/>
    <w:bookmarkStart w:id="101" w:name="ref-hayes1967two"/>
    <w:p>
      <w:pPr>
        <w:pStyle w:val="Literaturverzeichnis"/>
      </w:pPr>
      <w:r>
        <w:t xml:space="preserve">Hayes, C., &amp; King, W. (1967). Two types of phenomenal instructions for size and distance judgments of objects presented on a two-dimensional plane.</w:t>
      </w:r>
      <w:r>
        <w:t xml:space="preserve"> </w:t>
      </w:r>
      <w:r>
        <w:rPr>
          <w:i/>
          <w:iCs/>
        </w:rPr>
        <w:t xml:space="preserve">Perception &amp; Psychophysics</w:t>
      </w:r>
      <w:r>
        <w:t xml:space="preserve">,</w:t>
      </w:r>
      <w:r>
        <w:t xml:space="preserve"> </w:t>
      </w:r>
      <w:r>
        <w:rPr>
          <w:i/>
          <w:iCs/>
        </w:rPr>
        <w:t xml:space="preserve">2</w:t>
      </w:r>
      <w:r>
        <w:t xml:space="preserve">(11), 556–558.</w:t>
      </w:r>
    </w:p>
    <w:bookmarkEnd w:id="101"/>
    <w:bookmarkStart w:id="102"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
          <w:iCs/>
        </w:rPr>
        <w:t xml:space="preserve">Journal of Cognitive Neuroscience</w:t>
      </w:r>
      <w:r>
        <w:t xml:space="preserve">,</w:t>
      </w:r>
      <w:r>
        <w:t xml:space="preserve"> </w:t>
      </w:r>
      <w:r>
        <w:rPr>
          <w:i/>
          <w:iCs/>
        </w:rPr>
        <w:t xml:space="preserve">30</w:t>
      </w:r>
      <w:r>
        <w:t xml:space="preserve">(11), 1720–1733.</w:t>
      </w:r>
    </w:p>
    <w:bookmarkEnd w:id="102"/>
    <w:bookmarkStart w:id="103" w:name="ref-hyman1954interviewing"/>
    <w:p>
      <w:pPr>
        <w:pStyle w:val="Literaturverzeichnis"/>
      </w:pPr>
      <w:r>
        <w:t xml:space="preserve">Hyman, H. H. (1954).</w:t>
      </w:r>
      <w:r>
        <w:t xml:space="preserve"> </w:t>
      </w:r>
      <w:r>
        <w:rPr>
          <w:i/>
          <w:iCs/>
        </w:rPr>
        <w:t xml:space="preserve">Interviewing in social research</w:t>
      </w:r>
      <w:r>
        <w:t xml:space="preserve">. Chicago, IL: University of Chicago Press.</w:t>
      </w:r>
    </w:p>
    <w:bookmarkEnd w:id="103"/>
    <w:bookmarkStart w:id="104" w:name="ref-isager2022student"/>
    <w:p>
      <w:pPr>
        <w:pStyle w:val="Literaturverzeichnis"/>
      </w:pPr>
      <w:r>
        <w:rPr>
          <w:vertAlign w:val="superscript"/>
        </w:rPr>
        <w:t xml:space="preserve">*</w:t>
      </w:r>
      <w:r>
        <w:t xml:space="preserve"> </w:t>
      </w:r>
      <w:r>
        <w:t xml:space="preserve">Isager, P. (2022).</w:t>
      </w:r>
      <w:r>
        <w:t xml:space="preserve"> </w:t>
      </w:r>
      <w:r>
        <w:rPr>
          <w:i/>
          <w:iCs/>
        </w:rPr>
        <w:t xml:space="preserve">Student replication of coles et al. 2022</w:t>
      </w:r>
      <w:r>
        <w:t xml:space="preserve">.</w:t>
      </w:r>
    </w:p>
    <w:bookmarkEnd w:id="104"/>
    <w:bookmarkStart w:id="105"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
          <w:iCs/>
        </w:rPr>
        <w:t xml:space="preserve">Cognitive Therapy and Research</w:t>
      </w:r>
      <w:r>
        <w:t xml:space="preserve">,</w:t>
      </w:r>
      <w:r>
        <w:t xml:space="preserve"> </w:t>
      </w:r>
      <w:r>
        <w:rPr>
          <w:i/>
          <w:iCs/>
        </w:rPr>
        <w:t xml:space="preserve">28</w:t>
      </w:r>
      <w:r>
        <w:t xml:space="preserve">, 229–239.</w:t>
      </w:r>
    </w:p>
    <w:bookmarkEnd w:id="105"/>
    <w:bookmarkStart w:id="106"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
          <w:iCs/>
        </w:rPr>
        <w:t xml:space="preserve">Cognition &amp; Emotion</w:t>
      </w:r>
      <w:r>
        <w:t xml:space="preserve">,</w:t>
      </w:r>
      <w:r>
        <w:t xml:space="preserve"> </w:t>
      </w:r>
      <w:r>
        <w:rPr>
          <w:i/>
          <w:iCs/>
        </w:rPr>
        <w:t xml:space="preserve">2</w:t>
      </w:r>
      <w:r>
        <w:t xml:space="preserve">(1), 41–48.</w:t>
      </w:r>
    </w:p>
    <w:bookmarkEnd w:id="106"/>
    <w:bookmarkStart w:id="107"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
          <w:iCs/>
        </w:rPr>
        <w:t xml:space="preserve">Appetite</w:t>
      </w:r>
      <w:r>
        <w:t xml:space="preserve">,</w:t>
      </w:r>
      <w:r>
        <w:t xml:space="preserve"> </w:t>
      </w:r>
      <w:r>
        <w:rPr>
          <w:i/>
          <w:iCs/>
        </w:rPr>
        <w:t xml:space="preserve">141</w:t>
      </w:r>
      <w:r>
        <w:t xml:space="preserve">, 104318.</w:t>
      </w:r>
    </w:p>
    <w:bookmarkEnd w:id="107"/>
    <w:bookmarkStart w:id="108"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
          <w:iCs/>
        </w:rPr>
        <w:t xml:space="preserve">Personality</w:t>
      </w:r>
      <w:r>
        <w:t xml:space="preserve">,</w:t>
      </w:r>
      <w:r>
        <w:t xml:space="preserve"> </w:t>
      </w:r>
      <w:r>
        <w:rPr>
          <w:i/>
          <w:iCs/>
        </w:rPr>
        <w:t xml:space="preserve">2</w:t>
      </w:r>
      <w:r>
        <w:t xml:space="preserve">(2), 77–91.</w:t>
      </w:r>
    </w:p>
    <w:bookmarkEnd w:id="108"/>
    <w:bookmarkStart w:id="109"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
          <w:iCs/>
        </w:rPr>
        <w:t xml:space="preserve">Journal of Personality and Social Psychology</w:t>
      </w:r>
      <w:r>
        <w:t xml:space="preserve">,</w:t>
      </w:r>
      <w:r>
        <w:t xml:space="preserve"> </w:t>
      </w:r>
      <w:r>
        <w:rPr>
          <w:i/>
          <w:iCs/>
        </w:rPr>
        <w:t xml:space="preserve">20</w:t>
      </w:r>
      <w:r>
        <w:t xml:space="preserve">(2), 136.</w:t>
      </w:r>
    </w:p>
    <w:bookmarkEnd w:id="109"/>
    <w:bookmarkStart w:id="110"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
          <w:iCs/>
        </w:rPr>
        <w:t xml:space="preserve">Journal of Personality and Social Psychology</w:t>
      </w:r>
      <w:r>
        <w:t xml:space="preserve">,</w:t>
      </w:r>
      <w:r>
        <w:t xml:space="preserve"> </w:t>
      </w:r>
      <w:r>
        <w:rPr>
          <w:i/>
          <w:iCs/>
        </w:rPr>
        <w:t xml:space="preserve">100</w:t>
      </w:r>
      <w:r>
        <w:t xml:space="preserve">(6), 1095–1110.</w:t>
      </w:r>
    </w:p>
    <w:bookmarkEnd w:id="110"/>
    <w:bookmarkStart w:id="112" w:name="ref-R-performance"/>
    <w:p>
      <w:pPr>
        <w:pStyle w:val="Literaturverzeichnis"/>
      </w:pPr>
      <w:r>
        <w:t xml:space="preserve">Lüdecke, D., Ben-Shachar, M. S.,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w:t>
      </w:r>
      <w:r>
        <w:t xml:space="preserve"> </w:t>
      </w:r>
      <w:r>
        <w:rPr>
          <w:i/>
          <w:iCs/>
        </w:rPr>
        <w:t xml:space="preserve">6</w:t>
      </w:r>
      <w:r>
        <w:t xml:space="preserve">(60), 3139.</w:t>
      </w:r>
      <w:r>
        <w:t xml:space="preserve"> </w:t>
      </w:r>
      <w:hyperlink r:id="rId111">
        <w:r>
          <w:rPr>
            <w:rStyle w:val="Hyperlink"/>
          </w:rPr>
          <w:t xml:space="preserve">https://doi.org/10.21105/joss.03139</w:t>
        </w:r>
      </w:hyperlink>
    </w:p>
    <w:bookmarkEnd w:id="112"/>
    <w:bookmarkStart w:id="113"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
          <w:iCs/>
        </w:rPr>
        <w:t xml:space="preserve">Psychological Research</w:t>
      </w:r>
      <w:r>
        <w:t xml:space="preserve">,</w:t>
      </w:r>
      <w:r>
        <w:t xml:space="preserve"> </w:t>
      </w:r>
      <w:r>
        <w:rPr>
          <w:i/>
          <w:iCs/>
        </w:rPr>
        <w:t xml:space="preserve">82</w:t>
      </w:r>
      <w:r>
        <w:t xml:space="preserve">(4), 700–707.</w:t>
      </w:r>
    </w:p>
    <w:bookmarkEnd w:id="113"/>
    <w:bookmarkStart w:id="114" w:name="ref-masling1966role"/>
    <w:p>
      <w:pPr>
        <w:pStyle w:val="Literaturverzeichnis"/>
      </w:pPr>
      <w:r>
        <w:t xml:space="preserve">Masling, J. (1966). Role-related behavior of the subject and psychologist and its effects upon psychological data.</w:t>
      </w:r>
      <w:r>
        <w:t xml:space="preserve"> </w:t>
      </w:r>
      <w:r>
        <w:rPr>
          <w:i/>
          <w:iCs/>
        </w:rPr>
        <w:t xml:space="preserve">Nebraska Symposium on Motivation</w:t>
      </w:r>
      <w:r>
        <w:t xml:space="preserve">,</w:t>
      </w:r>
      <w:r>
        <w:t xml:space="preserve"> </w:t>
      </w:r>
      <w:r>
        <w:rPr>
          <w:i/>
          <w:iCs/>
        </w:rPr>
        <w:t xml:space="preserve">14</w:t>
      </w:r>
      <w:r>
        <w:t xml:space="preserve">, 67–103.</w:t>
      </w:r>
    </w:p>
    <w:bookmarkEnd w:id="114"/>
    <w:bookmarkStart w:id="116" w:name="ref-R-PublicationBias"/>
    <w:p>
      <w:pPr>
        <w:pStyle w:val="Literaturverzeichnis"/>
      </w:pPr>
      <w:r>
        <w:t xml:space="preserve">Mathur, M. B., &amp; VanderWeele, T. J. (2020a).</w:t>
      </w:r>
      <w:r>
        <w:t xml:space="preserve"> </w:t>
      </w:r>
      <w:r>
        <w:rPr>
          <w:i/>
          <w:iCs/>
        </w:rPr>
        <w:t xml:space="preserve">PublicationBias: Sensitivity analysis for publication bias in meta-analyses</w:t>
      </w:r>
      <w:r>
        <w:t xml:space="preserve">. Retrieved from</w:t>
      </w:r>
      <w:r>
        <w:t xml:space="preserve"> </w:t>
      </w:r>
      <w:hyperlink r:id="rId115">
        <w:r>
          <w:rPr>
            <w:rStyle w:val="Hyperlink"/>
          </w:rPr>
          <w:t xml:space="preserve">https://CRAN.R-project.org/package=PublicationBias</w:t>
        </w:r>
      </w:hyperlink>
    </w:p>
    <w:bookmarkEnd w:id="116"/>
    <w:bookmarkStart w:id="117" w:name="ref-mathur2020sensitivity"/>
    <w:p>
      <w:pPr>
        <w:pStyle w:val="Literaturverzeichnis"/>
      </w:pPr>
      <w:r>
        <w:t xml:space="preserve">Mathur, M. B., &amp; VanderWeele, T. J. (2020b). Sensitivity analysis for publication bias in meta-analyses.</w:t>
      </w:r>
      <w:r>
        <w:t xml:space="preserve"> </w:t>
      </w:r>
      <w:r>
        <w:rPr>
          <w:i/>
          <w:iCs/>
        </w:rPr>
        <w:t xml:space="preserve">Journal of the Royal Statistical Society Series C: Applied Statistics</w:t>
      </w:r>
      <w:r>
        <w:t xml:space="preserve">,</w:t>
      </w:r>
      <w:r>
        <w:t xml:space="preserve"> </w:t>
      </w:r>
      <w:r>
        <w:rPr>
          <w:i/>
          <w:iCs/>
        </w:rPr>
        <w:t xml:space="preserve">69</w:t>
      </w:r>
      <w:r>
        <w:t xml:space="preserve">(5), 1091–1119.</w:t>
      </w:r>
    </w:p>
    <w:bookmarkEnd w:id="117"/>
    <w:bookmarkStart w:id="118"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
          <w:iCs/>
        </w:rPr>
        <w:t xml:space="preserve">Psychological Reports</w:t>
      </w:r>
      <w:r>
        <w:t xml:space="preserve">,</w:t>
      </w:r>
      <w:r>
        <w:t xml:space="preserve"> </w:t>
      </w:r>
      <w:r>
        <w:rPr>
          <w:i/>
          <w:iCs/>
        </w:rPr>
        <w:t xml:space="preserve">36</w:t>
      </w:r>
      <w:r>
        <w:t xml:space="preserve">(1), 267–278.</w:t>
      </w:r>
    </w:p>
    <w:bookmarkEnd w:id="118"/>
    <w:bookmarkStart w:id="119"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
          <w:iCs/>
        </w:rPr>
        <w:t xml:space="preserve">Journal of Clinical Psychology</w:t>
      </w:r>
      <w:r>
        <w:t xml:space="preserve">.</w:t>
      </w:r>
    </w:p>
    <w:bookmarkEnd w:id="119"/>
    <w:bookmarkStart w:id="120" w:name="ref-morris2002combining"/>
    <w:p>
      <w:pPr>
        <w:pStyle w:val="Literaturverzeichnis"/>
      </w:pPr>
      <w:r>
        <w:t xml:space="preserve">Morris, R. P., Scott B ad DeShon. (2002). Combining effect size estimates in meta-analysis with repeated measures and independent-groups designs.</w:t>
      </w:r>
      <w:r>
        <w:t xml:space="preserve"> </w:t>
      </w:r>
      <w:r>
        <w:rPr>
          <w:i/>
          <w:iCs/>
        </w:rPr>
        <w:t xml:space="preserve">Psychological Methods</w:t>
      </w:r>
      <w:r>
        <w:t xml:space="preserve">,</w:t>
      </w:r>
      <w:r>
        <w:t xml:space="preserve"> </w:t>
      </w:r>
      <w:r>
        <w:rPr>
          <w:i/>
          <w:iCs/>
        </w:rPr>
        <w:t xml:space="preserve">7</w:t>
      </w:r>
      <w:r>
        <w:t xml:space="preserve">(1), 105–125.</w:t>
      </w:r>
    </w:p>
    <w:bookmarkEnd w:id="120"/>
    <w:bookmarkStart w:id="121"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
          <w:iCs/>
        </w:rPr>
        <w:t xml:space="preserve">American Political Science Review</w:t>
      </w:r>
      <w:r>
        <w:t xml:space="preserve">,</w:t>
      </w:r>
      <w:r>
        <w:t xml:space="preserve"> </w:t>
      </w:r>
      <w:r>
        <w:rPr>
          <w:i/>
          <w:iCs/>
        </w:rPr>
        <w:t xml:space="preserve">113</w:t>
      </w:r>
      <w:r>
        <w:t xml:space="preserve">(2), 517–529.</w:t>
      </w:r>
    </w:p>
    <w:bookmarkEnd w:id="121"/>
    <w:bookmarkStart w:id="122" w:name="ref-orne1959nature"/>
    <w:p>
      <w:pPr>
        <w:pStyle w:val="Literaturverzeichnis"/>
      </w:pPr>
      <w:r>
        <w:t xml:space="preserve">Orne, M. T. (1959). The nature of hypnosis: Artifact and essence.</w:t>
      </w:r>
      <w:r>
        <w:t xml:space="preserve"> </w:t>
      </w:r>
      <w:r>
        <w:rPr>
          <w:i/>
          <w:iCs/>
        </w:rPr>
        <w:t xml:space="preserve">The Journal of Abnormal and Social Psychology</w:t>
      </w:r>
      <w:r>
        <w:t xml:space="preserve">,</w:t>
      </w:r>
      <w:r>
        <w:t xml:space="preserve"> </w:t>
      </w:r>
      <w:r>
        <w:rPr>
          <w:i/>
          <w:iCs/>
        </w:rPr>
        <w:t xml:space="preserve">58</w:t>
      </w:r>
      <w:r>
        <w:t xml:space="preserve">(3), 277–299.</w:t>
      </w:r>
    </w:p>
    <w:bookmarkEnd w:id="122"/>
    <w:bookmarkStart w:id="123"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
          <w:iCs/>
        </w:rPr>
        <w:t xml:space="preserve">American Psychologist</w:t>
      </w:r>
      <w:r>
        <w:t xml:space="preserve">,</w:t>
      </w:r>
      <w:r>
        <w:t xml:space="preserve"> </w:t>
      </w:r>
      <w:r>
        <w:rPr>
          <w:i/>
          <w:iCs/>
        </w:rPr>
        <w:t xml:space="preserve">17</w:t>
      </w:r>
      <w:r>
        <w:t xml:space="preserve">(11), 776–783.</w:t>
      </w:r>
    </w:p>
    <w:bookmarkEnd w:id="123"/>
    <w:bookmarkStart w:id="124" w:name="ref-orne1969demand"/>
    <w:p>
      <w:pPr>
        <w:pStyle w:val="Literaturverzeichnis"/>
      </w:pPr>
      <w:r>
        <w:t xml:space="preserve">Orne, M. T. (1969). Demand characteristics and the concept of quasi-controls. In R. Rosenthal &amp; R. L. Rosnow (Eds.),</w:t>
      </w:r>
      <w:r>
        <w:t xml:space="preserve"> </w:t>
      </w:r>
      <w:r>
        <w:rPr>
          <w:i/>
          <w:iCs/>
        </w:rPr>
        <w:t xml:space="preserve">Artifacts in behavioral research</w:t>
      </w:r>
      <w:r>
        <w:t xml:space="preserve"> </w:t>
      </w:r>
      <w:r>
        <w:t xml:space="preserve">(pp. 143–179). New York, NY: Academic Press.</w:t>
      </w:r>
    </w:p>
    <w:bookmarkEnd w:id="124"/>
    <w:bookmarkStart w:id="125"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
          <w:iCs/>
        </w:rPr>
        <w:t xml:space="preserve">The Journal of Abnormal and Social Psychology</w:t>
      </w:r>
      <w:r>
        <w:t xml:space="preserve">,</w:t>
      </w:r>
      <w:r>
        <w:t xml:space="preserve"> </w:t>
      </w:r>
      <w:r>
        <w:rPr>
          <w:i/>
          <w:iCs/>
        </w:rPr>
        <w:t xml:space="preserve">68</w:t>
      </w:r>
      <w:r>
        <w:t xml:space="preserve">(1), 3.</w:t>
      </w:r>
    </w:p>
    <w:bookmarkEnd w:id="125"/>
    <w:bookmarkStart w:id="126" w:name="ref-page2021prisma"/>
    <w:p>
      <w:pPr>
        <w:pStyle w:val="Literaturverzeichnis"/>
      </w:pPr>
      <w:r>
        <w:t xml:space="preserve">Page, M. J., McKenzie, J. E., Bossuyt, P. M., Boutron, I., Hoffmann, T. C., Mulrow, C. D., et al.others. (2021). The PRISMA 2020 statement: An updated guideline for reporting systematic reviews.</w:t>
      </w:r>
      <w:r>
        <w:t xml:space="preserve"> </w:t>
      </w:r>
      <w:r>
        <w:rPr>
          <w:i/>
          <w:iCs/>
        </w:rPr>
        <w:t xml:space="preserve">BMJ</w:t>
      </w:r>
      <w:r>
        <w:t xml:space="preserve">,</w:t>
      </w:r>
      <w:r>
        <w:t xml:space="preserve"> </w:t>
      </w:r>
      <w:r>
        <w:rPr>
          <w:i/>
          <w:iCs/>
        </w:rPr>
        <w:t xml:space="preserve">372</w:t>
      </w:r>
      <w:r>
        <w:t xml:space="preserve">.</w:t>
      </w:r>
    </w:p>
    <w:bookmarkEnd w:id="126"/>
    <w:bookmarkStart w:id="127" w:name="ref-palomba1995dissociation"/>
    <w:p>
      <w:pPr>
        <w:pStyle w:val="Literaturverzeichnis"/>
      </w:pPr>
      <w:r>
        <w:rPr>
          <w:vertAlign w:val="superscript"/>
        </w:rPr>
        <w:t xml:space="preserve">*</w:t>
      </w:r>
      <w:r>
        <w:t xml:space="preserve"> </w:t>
      </w:r>
      <w:r>
        <w:t xml:space="preserve">Palomba, D., &amp; Stegagno, L. (1995). Dissociation between actual and expected cardiac changes: Interoception and emotional experience. In D. Vaitl &amp; R. Schandry (Eds.),</w:t>
      </w:r>
      <w:r>
        <w:t xml:space="preserve"> </w:t>
      </w:r>
      <w:r>
        <w:rPr>
          <w:i/>
          <w:iCs/>
        </w:rPr>
        <w:t xml:space="preserve">From the heart to the brain: The psychophysiology of circulation – brain interaction</w:t>
      </w:r>
      <w:r>
        <w:t xml:space="preserve"> </w:t>
      </w:r>
      <w:r>
        <w:t xml:space="preserve">(pp. 283–298). Peter Lang Publishing.</w:t>
      </w:r>
    </w:p>
    <w:bookmarkEnd w:id="127"/>
    <w:bookmarkStart w:id="128"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
          <w:iCs/>
        </w:rPr>
        <w:t xml:space="preserve">The Journal of Social Psychology</w:t>
      </w:r>
      <w:r>
        <w:t xml:space="preserve">,</w:t>
      </w:r>
      <w:r>
        <w:t xml:space="preserve"> </w:t>
      </w:r>
      <w:r>
        <w:rPr>
          <w:i/>
          <w:iCs/>
        </w:rPr>
        <w:t xml:space="preserve">105</w:t>
      </w:r>
      <w:r>
        <w:t xml:space="preserve">(2), 265–275.</w:t>
      </w:r>
    </w:p>
    <w:bookmarkEnd w:id="128"/>
    <w:bookmarkStart w:id="129"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
          <w:iCs/>
        </w:rPr>
        <w:t xml:space="preserve">Journal of Abnormal Psychology</w:t>
      </w:r>
      <w:r>
        <w:t xml:space="preserve">,</w:t>
      </w:r>
      <w:r>
        <w:t xml:space="preserve"> </w:t>
      </w:r>
      <w:r>
        <w:rPr>
          <w:i/>
          <w:iCs/>
        </w:rPr>
        <w:t xml:space="preserve">89</w:t>
      </w:r>
      <w:r>
        <w:t xml:space="preserve">(2), 286.</w:t>
      </w:r>
    </w:p>
    <w:bookmarkEnd w:id="129"/>
    <w:bookmarkStart w:id="130" w:name="ref-pustejovsky2018small"/>
    <w:p>
      <w:pPr>
        <w:pStyle w:val="Literaturverzeichnis"/>
      </w:pPr>
      <w:r>
        <w:t xml:space="preserve">Pustejovsky, J. E., &amp; Tipton, E. (2018). Small-sample methods for cluster-robust variance estimation and hypothesis testing in fixed effects models.</w:t>
      </w:r>
      <w:r>
        <w:t xml:space="preserve"> </w:t>
      </w:r>
      <w:r>
        <w:rPr>
          <w:i/>
          <w:iCs/>
        </w:rPr>
        <w:t xml:space="preserve">Journal of Business &amp; Economic Statistics</w:t>
      </w:r>
      <w:r>
        <w:t xml:space="preserve">,</w:t>
      </w:r>
      <w:r>
        <w:t xml:space="preserve"> </w:t>
      </w:r>
      <w:r>
        <w:rPr>
          <w:i/>
          <w:iCs/>
        </w:rPr>
        <w:t xml:space="preserve">36</w:t>
      </w:r>
      <w:r>
        <w:t xml:space="preserve">(4), 672–683.</w:t>
      </w:r>
    </w:p>
    <w:bookmarkEnd w:id="130"/>
    <w:bookmarkStart w:id="132" w:name="ref-R-base"/>
    <w:p>
      <w:pPr>
        <w:pStyle w:val="Literaturverzeichnis"/>
      </w:pPr>
      <w:r>
        <w:t xml:space="preserve">R Core Team. (2021).</w:t>
      </w:r>
      <w:r>
        <w:t xml:space="preserve"> </w:t>
      </w:r>
      <w:r>
        <w:rPr>
          <w:i/>
          <w:iCs/>
        </w:rPr>
        <w:t xml:space="preserve">R: A language and environment for statistical computing</w:t>
      </w:r>
      <w:r>
        <w:t xml:space="preserve">. Vienna, Austria: R Foundation for Statistical Computing. Retrieved from</w:t>
      </w:r>
      <w:r>
        <w:t xml:space="preserve"> </w:t>
      </w:r>
      <w:hyperlink r:id="rId131">
        <w:r>
          <w:rPr>
            <w:rStyle w:val="Hyperlink"/>
          </w:rPr>
          <w:t xml:space="preserve">https://www.R-project.org/</w:t>
        </w:r>
      </w:hyperlink>
    </w:p>
    <w:bookmarkEnd w:id="132"/>
    <w:bookmarkStart w:id="133" w:name="ref-riecken1962program"/>
    <w:p>
      <w:pPr>
        <w:pStyle w:val="Literaturverzeichnis"/>
      </w:pPr>
      <w:r>
        <w:t xml:space="preserve">Riecken, H. W. (1962). A program for research on experiments in social psychology. In N. W. Washburne (Ed.),</w:t>
      </w:r>
      <w:r>
        <w:t xml:space="preserve"> </w:t>
      </w:r>
      <w:r>
        <w:rPr>
          <w:i/>
          <w:iCs/>
        </w:rPr>
        <w:t xml:space="preserve">Decisions, values and groups</w:t>
      </w:r>
      <w:r>
        <w:t xml:space="preserve"> </w:t>
      </w:r>
      <w:r>
        <w:t xml:space="preserve">(Vol. 2, pp. 25–41). New York, NY: Pergamon Press.</w:t>
      </w:r>
    </w:p>
    <w:bookmarkEnd w:id="133"/>
    <w:bookmarkStart w:id="13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
          <w:iCs/>
        </w:rPr>
        <w:t xml:space="preserve">Psychological Methods</w:t>
      </w:r>
      <w:r>
        <w:t xml:space="preserve">,</w:t>
      </w:r>
      <w:r>
        <w:t xml:space="preserve"> </w:t>
      </w:r>
      <w:r>
        <w:rPr>
          <w:i/>
          <w:iCs/>
        </w:rPr>
        <w:t xml:space="preserve">26</w:t>
      </w:r>
      <w:r>
        <w:t xml:space="preserve">(2), 141.</w:t>
      </w:r>
    </w:p>
    <w:bookmarkEnd w:id="134"/>
    <w:bookmarkStart w:id="135"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
          <w:iCs/>
        </w:rPr>
        <w:t xml:space="preserve">Journal of Behavioral Decision Making</w:t>
      </w:r>
      <w:r>
        <w:t xml:space="preserve">,</w:t>
      </w:r>
      <w:r>
        <w:t xml:space="preserve"> </w:t>
      </w:r>
      <w:r>
        <w:rPr>
          <w:i/>
          <w:iCs/>
        </w:rPr>
        <w:t xml:space="preserve">27</w:t>
      </w:r>
      <w:r>
        <w:t xml:space="preserve">(1), 1–10.</w:t>
      </w:r>
    </w:p>
    <w:bookmarkEnd w:id="135"/>
    <w:bookmarkStart w:id="136" w:name="ref-rosenberg1969conditions"/>
    <w:p>
      <w:pPr>
        <w:pStyle w:val="Literaturverzeichnis"/>
      </w:pPr>
      <w:r>
        <w:t xml:space="preserve">Rosenberg, M. J. (1969). The conditions and consequences of evaluation apprehension. In R. Rosenthal &amp; R. L. Rosnow (Eds.),</w:t>
      </w:r>
      <w:r>
        <w:t xml:space="preserve"> </w:t>
      </w:r>
      <w:r>
        <w:rPr>
          <w:i/>
          <w:iCs/>
        </w:rPr>
        <w:t xml:space="preserve">Artifacts in behavioral research</w:t>
      </w:r>
      <w:r>
        <w:t xml:space="preserve"> </w:t>
      </w:r>
      <w:r>
        <w:t xml:space="preserve">(pp. 280–350). New York, NY: Academic Press.</w:t>
      </w:r>
    </w:p>
    <w:bookmarkEnd w:id="136"/>
    <w:bookmarkStart w:id="137" w:name="ref-rosnow1973mediation"/>
    <w:p>
      <w:pPr>
        <w:pStyle w:val="Literaturverzeichnis"/>
      </w:pPr>
      <w:r>
        <w:t xml:space="preserve">Rosnow, R. L., &amp; Aiken, L. S. (1973). Mediation of artifacts in behavioral research.</w:t>
      </w:r>
      <w:r>
        <w:t xml:space="preserve"> </w:t>
      </w:r>
      <w:r>
        <w:rPr>
          <w:i/>
          <w:iCs/>
        </w:rPr>
        <w:t xml:space="preserve">Journal of Experimental Social Psychology</w:t>
      </w:r>
      <w:r>
        <w:t xml:space="preserve">,</w:t>
      </w:r>
      <w:r>
        <w:t xml:space="preserve"> </w:t>
      </w:r>
      <w:r>
        <w:rPr>
          <w:i/>
          <w:iCs/>
        </w:rPr>
        <w:t xml:space="preserve">9</w:t>
      </w:r>
      <w:r>
        <w:t xml:space="preserve">(3), 181–201.</w:t>
      </w:r>
    </w:p>
    <w:bookmarkEnd w:id="137"/>
    <w:bookmarkStart w:id="138" w:name="ref-rosnow1997people"/>
    <w:p>
      <w:pPr>
        <w:pStyle w:val="Literaturverzeichnis"/>
      </w:pPr>
      <w:r>
        <w:t xml:space="preserve">Rosnow, R. L., &amp; Rosenthal, R. (1997).</w:t>
      </w:r>
      <w:r>
        <w:t xml:space="preserve"> </w:t>
      </w:r>
      <w:r>
        <w:rPr>
          <w:i/>
          <w:iCs/>
        </w:rPr>
        <w:t xml:space="preserve">People studying people: Artifacts and ethics in behavioral research</w:t>
      </w:r>
      <w:r>
        <w:t xml:space="preserve">. New York, NY: Freeman.</w:t>
      </w:r>
    </w:p>
    <w:bookmarkEnd w:id="138"/>
    <w:bookmarkStart w:id="139"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
          <w:iCs/>
        </w:rPr>
        <w:t xml:space="preserve">BMC Medical Informatics and Decision Making</w:t>
      </w:r>
      <w:r>
        <w:t xml:space="preserve">,</w:t>
      </w:r>
      <w:r>
        <w:t xml:space="preserve"> </w:t>
      </w:r>
      <w:r>
        <w:rPr>
          <w:i/>
          <w:iCs/>
        </w:rPr>
        <w:t xml:space="preserve">7</w:t>
      </w:r>
      <w:r>
        <w:t xml:space="preserve">(1), 1–6.</w:t>
      </w:r>
    </w:p>
    <w:bookmarkEnd w:id="139"/>
    <w:bookmarkStart w:id="140" w:name="ref-schauer1969demand"/>
    <w:p>
      <w:pPr>
        <w:pStyle w:val="Literaturverzeichnis"/>
      </w:pPr>
      <w:r>
        <w:rPr>
          <w:vertAlign w:val="superscript"/>
        </w:rPr>
        <w:t xml:space="preserve">*</w:t>
      </w:r>
      <w:r>
        <w:t xml:space="preserve"> </w:t>
      </w:r>
      <w:r>
        <w:t xml:space="preserve">Schauer, E. (1969).</w:t>
      </w:r>
      <w:r>
        <w:t xml:space="preserve"> </w:t>
      </w:r>
      <w:r>
        <w:rPr>
          <w:i/>
          <w:iCs/>
        </w:rPr>
        <w:t xml:space="preserve">Demand characteristics in a quasi-psychophysical experiment.</w:t>
      </w:r>
      <w:r>
        <w:t xml:space="preserve"> </w:t>
      </w:r>
      <w:r>
        <w:t xml:space="preserve">(PhD thesis).</w:t>
      </w:r>
    </w:p>
    <w:bookmarkEnd w:id="140"/>
    <w:bookmarkStart w:id="141" w:name="ref-sharpe2016frightened"/>
    <w:p>
      <w:pPr>
        <w:pStyle w:val="Literaturverzeichnis"/>
      </w:pPr>
      <w:r>
        <w:t xml:space="preserve">Sharpe, D., &amp; Whelton, W. J. (2016). Frightened by an old scarecrow: The remarkable resilience of demand characteristics.</w:t>
      </w:r>
      <w:r>
        <w:t xml:space="preserve"> </w:t>
      </w:r>
      <w:r>
        <w:rPr>
          <w:i/>
          <w:iCs/>
        </w:rPr>
        <w:t xml:space="preserve">Review of General Psychology</w:t>
      </w:r>
      <w:r>
        <w:t xml:space="preserve">,</w:t>
      </w:r>
      <w:r>
        <w:t xml:space="preserve"> </w:t>
      </w:r>
      <w:r>
        <w:rPr>
          <w:i/>
          <w:iCs/>
        </w:rPr>
        <w:t xml:space="preserve">20</w:t>
      </w:r>
      <w:r>
        <w:t xml:space="preserve">(4), 349–368.</w:t>
      </w:r>
    </w:p>
    <w:bookmarkEnd w:id="141"/>
    <w:bookmarkStart w:id="142"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
          <w:iCs/>
        </w:rPr>
        <w:t xml:space="preserve">Journal of Behavioral Assessment</w:t>
      </w:r>
      <w:r>
        <w:t xml:space="preserve">,</w:t>
      </w:r>
      <w:r>
        <w:t xml:space="preserve"> </w:t>
      </w:r>
      <w:r>
        <w:rPr>
          <w:i/>
          <w:iCs/>
        </w:rPr>
        <w:t xml:space="preserve">4</w:t>
      </w:r>
      <w:r>
        <w:t xml:space="preserve">, 179–185.</w:t>
      </w:r>
    </w:p>
    <w:bookmarkEnd w:id="142"/>
    <w:bookmarkStart w:id="143" w:name="ref-sigall1970cooperative"/>
    <w:p>
      <w:pPr>
        <w:pStyle w:val="Literaturverzeichnis"/>
      </w:pPr>
      <w:r>
        <w:t xml:space="preserve">Sigall, H., Aronson, E., &amp; Van Hoose, T. (1970). The cooperative subject: Myth or reality?</w:t>
      </w:r>
      <w:r>
        <w:t xml:space="preserve"> </w:t>
      </w:r>
      <w:r>
        <w:rPr>
          <w:i/>
          <w:iCs/>
        </w:rPr>
        <w:t xml:space="preserve">Journal of Experimental Social Psychology</w:t>
      </w:r>
      <w:r>
        <w:t xml:space="preserve">,</w:t>
      </w:r>
      <w:r>
        <w:t xml:space="preserve"> </w:t>
      </w:r>
      <w:r>
        <w:rPr>
          <w:i/>
          <w:iCs/>
        </w:rPr>
        <w:t xml:space="preserve">6</w:t>
      </w:r>
      <w:r>
        <w:t xml:space="preserve">(1), 1–10.</w:t>
      </w:r>
    </w:p>
    <w:bookmarkEnd w:id="143"/>
    <w:bookmarkStart w:id="144" w:name="ref-silverman1965demand"/>
    <w:p>
      <w:pPr>
        <w:pStyle w:val="Literaturverzeichnis"/>
      </w:pPr>
      <w:r>
        <w:t xml:space="preserve">Silverman, I., &amp; Marcantonio, C. (1965). Demand characteristics versus dissonance reduction as determinants of failure-seeking behavior.</w:t>
      </w:r>
      <w:r>
        <w:t xml:space="preserve"> </w:t>
      </w:r>
      <w:r>
        <w:rPr>
          <w:i/>
          <w:iCs/>
        </w:rPr>
        <w:t xml:space="preserve">Journal of Personality and Social Psychology</w:t>
      </w:r>
      <w:r>
        <w:t xml:space="preserve">,</w:t>
      </w:r>
      <w:r>
        <w:t xml:space="preserve"> </w:t>
      </w:r>
      <w:r>
        <w:rPr>
          <w:i/>
          <w:iCs/>
        </w:rPr>
        <w:t xml:space="preserve">2</w:t>
      </w:r>
      <w:r>
        <w:t xml:space="preserve">(6), 882.</w:t>
      </w:r>
    </w:p>
    <w:bookmarkEnd w:id="144"/>
    <w:bookmarkStart w:id="145"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
          <w:iCs/>
        </w:rPr>
        <w:t xml:space="preserve">The Journal of General Psychology</w:t>
      </w:r>
      <w:r>
        <w:t xml:space="preserve">,</w:t>
      </w:r>
      <w:r>
        <w:t xml:space="preserve"> </w:t>
      </w:r>
      <w:r>
        <w:rPr>
          <w:i/>
          <w:iCs/>
        </w:rPr>
        <w:t xml:space="preserve">113</w:t>
      </w:r>
      <w:r>
        <w:t xml:space="preserve">(3), 289–297.</w:t>
      </w:r>
    </w:p>
    <w:bookmarkEnd w:id="145"/>
    <w:bookmarkStart w:id="146"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
          <w:iCs/>
        </w:rPr>
        <w:t xml:space="preserve">North American Journal of Psychology</w:t>
      </w:r>
      <w:r>
        <w:t xml:space="preserve">,</w:t>
      </w:r>
      <w:r>
        <w:t xml:space="preserve"> </w:t>
      </w:r>
      <w:r>
        <w:rPr>
          <w:i/>
          <w:iCs/>
        </w:rPr>
        <w:t xml:space="preserve">10</w:t>
      </w:r>
      <w:r>
        <w:t xml:space="preserve">(3), 553–566.</w:t>
      </w:r>
    </w:p>
    <w:bookmarkEnd w:id="146"/>
    <w:bookmarkStart w:id="147" w:name="ref-stanley2014meta"/>
    <w:p>
      <w:pPr>
        <w:pStyle w:val="Literaturverzeichnis"/>
      </w:pPr>
      <w:r>
        <w:t xml:space="preserve">Stanley, T. D., &amp; Doucouliagos, H. (2014). Meta-regression approximations to reduce publication selection bias.</w:t>
      </w:r>
      <w:r>
        <w:t xml:space="preserve"> </w:t>
      </w:r>
      <w:r>
        <w:rPr>
          <w:i/>
          <w:iCs/>
        </w:rPr>
        <w:t xml:space="preserve">Research Synthesis Methods</w:t>
      </w:r>
      <w:r>
        <w:t xml:space="preserve">,</w:t>
      </w:r>
      <w:r>
        <w:t xml:space="preserve"> </w:t>
      </w:r>
      <w:r>
        <w:rPr>
          <w:i/>
          <w:iCs/>
        </w:rPr>
        <w:t xml:space="preserve">5</w:t>
      </w:r>
      <w:r>
        <w:t xml:space="preserve">(1), 60–78.</w:t>
      </w:r>
    </w:p>
    <w:bookmarkEnd w:id="147"/>
    <w:bookmarkStart w:id="148" w:name="ref-stewart2004placebo"/>
    <w:p>
      <w:pPr>
        <w:pStyle w:val="Literaturverzeichnis"/>
      </w:pPr>
      <w:r>
        <w:t xml:space="preserve">Stewart-Williams, S., &amp; Podd, J. (2004). The placebo effect: Dissolving the expectancy versus conditioning debate.</w:t>
      </w:r>
      <w:r>
        <w:t xml:space="preserve"> </w:t>
      </w:r>
      <w:r>
        <w:rPr>
          <w:i/>
          <w:iCs/>
        </w:rPr>
        <w:t xml:space="preserve">Psychological Bulletin</w:t>
      </w:r>
      <w:r>
        <w:t xml:space="preserve">,</w:t>
      </w:r>
      <w:r>
        <w:t xml:space="preserve"> </w:t>
      </w:r>
      <w:r>
        <w:rPr>
          <w:i/>
          <w:iCs/>
        </w:rPr>
        <w:t xml:space="preserve">130</w:t>
      </w:r>
      <w:r>
        <w:t xml:space="preserve">(2), 324–340.</w:t>
      </w:r>
    </w:p>
    <w:bookmarkEnd w:id="148"/>
    <w:bookmarkStart w:id="149" w:name="ref-strohmetz2008research"/>
    <w:p>
      <w:pPr>
        <w:pStyle w:val="Literaturverzeichnis"/>
      </w:pPr>
      <w:r>
        <w:t xml:space="preserve">Strohmetz, D. B. (2008). Research artifacts and the social psychology of psychological experiments.</w:t>
      </w:r>
      <w:r>
        <w:t xml:space="preserve"> </w:t>
      </w:r>
      <w:r>
        <w:rPr>
          <w:i/>
          <w:iCs/>
        </w:rPr>
        <w:t xml:space="preserve">Social and Personality Psychology Compass</w:t>
      </w:r>
      <w:r>
        <w:t xml:space="preserve">,</w:t>
      </w:r>
      <w:r>
        <w:t xml:space="preserve"> </w:t>
      </w:r>
      <w:r>
        <w:rPr>
          <w:i/>
          <w:iCs/>
        </w:rPr>
        <w:t xml:space="preserve">2</w:t>
      </w:r>
      <w:r>
        <w:t xml:space="preserve">(2), 861–877.</w:t>
      </w:r>
    </w:p>
    <w:bookmarkEnd w:id="149"/>
    <w:bookmarkStart w:id="150"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
          <w:iCs/>
        </w:rPr>
        <w:t xml:space="preserve">The Journal of Nervous and Mental Disease</w:t>
      </w:r>
      <w:r>
        <w:t xml:space="preserve">,</w:t>
      </w:r>
      <w:r>
        <w:t xml:space="preserve"> </w:t>
      </w:r>
      <w:r>
        <w:rPr>
          <w:i/>
          <w:iCs/>
        </w:rPr>
        <w:t xml:space="preserve">194</w:t>
      </w:r>
      <w:r>
        <w:t xml:space="preserve">(6), 415–421.</w:t>
      </w:r>
    </w:p>
    <w:bookmarkEnd w:id="150"/>
    <w:bookmarkStart w:id="151" w:name="ref-tsai2018great"/>
    <w:p>
      <w:pPr>
        <w:pStyle w:val="Literaturverzeichnis"/>
      </w:pPr>
      <w:r>
        <w:rPr>
          <w:vertAlign w:val="superscript"/>
        </w:rPr>
        <w:t xml:space="preserve">*</w:t>
      </w:r>
      <w:r>
        <w:t xml:space="preserve"> </w:t>
      </w:r>
      <w:r>
        <w:t xml:space="preserve">Tsai, N., Buschkuehl, M., Kamarsu, S., Shah, P., Jonides, J., &amp; Jaeggi, S. M. (2018). (Un) great expectations: The role of placebo effects in cognitive training.</w:t>
      </w:r>
      <w:r>
        <w:t xml:space="preserve"> </w:t>
      </w:r>
      <w:r>
        <w:rPr>
          <w:i/>
          <w:iCs/>
        </w:rPr>
        <w:t xml:space="preserve">Journal of Applied Research in Memory and Cognition</w:t>
      </w:r>
      <w:r>
        <w:t xml:space="preserve">,</w:t>
      </w:r>
      <w:r>
        <w:t xml:space="preserve"> </w:t>
      </w:r>
      <w:r>
        <w:rPr>
          <w:i/>
          <w:iCs/>
        </w:rPr>
        <w:t xml:space="preserve">7</w:t>
      </w:r>
      <w:r>
        <w:t xml:space="preserve">(4), 564–573.</w:t>
      </w:r>
    </w:p>
    <w:bookmarkEnd w:id="151"/>
    <w:bookmarkStart w:id="152"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
          <w:iCs/>
        </w:rPr>
        <w:t xml:space="preserve">Journal of Environmental Psychology</w:t>
      </w:r>
      <w:r>
        <w:t xml:space="preserve">,</w:t>
      </w:r>
      <w:r>
        <w:t xml:space="preserve"> </w:t>
      </w:r>
      <w:r>
        <w:rPr>
          <w:i/>
          <w:iCs/>
        </w:rPr>
        <w:t xml:space="preserve">11</w:t>
      </w:r>
      <w:r>
        <w:t xml:space="preserve">(1), 87–95.</w:t>
      </w:r>
    </w:p>
    <w:bookmarkEnd w:id="152"/>
    <w:bookmarkStart w:id="153"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
          <w:iCs/>
        </w:rPr>
        <w:t xml:space="preserve">Perceptual and Motor Skills</w:t>
      </w:r>
      <w:r>
        <w:t xml:space="preserve">,</w:t>
      </w:r>
      <w:r>
        <w:t xml:space="preserve"> </w:t>
      </w:r>
      <w:r>
        <w:rPr>
          <w:i/>
          <w:iCs/>
        </w:rPr>
        <w:t xml:space="preserve">104</w:t>
      </w:r>
      <w:r>
        <w:t xml:space="preserve">(1), 153–154.</w:t>
      </w:r>
    </w:p>
    <w:bookmarkEnd w:id="153"/>
    <w:bookmarkStart w:id="154" w:name="ref-vevea1995general"/>
    <w:p>
      <w:pPr>
        <w:pStyle w:val="Literaturverzeichnis"/>
      </w:pPr>
      <w:r>
        <w:t xml:space="preserve">Vevea, J. L., &amp; Hedges, L. V. (1995). A general linear model for estimating effect size in the presence of publication bias.</w:t>
      </w:r>
      <w:r>
        <w:t xml:space="preserve"> </w:t>
      </w:r>
      <w:r>
        <w:rPr>
          <w:i/>
          <w:iCs/>
        </w:rPr>
        <w:t xml:space="preserve">Psychometrika</w:t>
      </w:r>
      <w:r>
        <w:t xml:space="preserve">,</w:t>
      </w:r>
      <w:r>
        <w:t xml:space="preserve"> </w:t>
      </w:r>
      <w:r>
        <w:rPr>
          <w:i/>
          <w:iCs/>
        </w:rPr>
        <w:t xml:space="preserve">60</w:t>
      </w:r>
      <w:r>
        <w:t xml:space="preserve">(3), 419–435.</w:t>
      </w:r>
    </w:p>
    <w:bookmarkEnd w:id="154"/>
    <w:bookmarkStart w:id="155"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
          <w:iCs/>
        </w:rPr>
        <w:t xml:space="preserve">Journal of Statistical Software</w:t>
      </w:r>
      <w:r>
        <w:t xml:space="preserve">,</w:t>
      </w:r>
      <w:r>
        <w:t xml:space="preserve"> </w:t>
      </w:r>
      <w:r>
        <w:rPr>
          <w:i/>
          <w:iCs/>
        </w:rPr>
        <w:t xml:space="preserve">36</w:t>
      </w:r>
      <w:r>
        <w:t xml:space="preserve">(3), 1–48.</w:t>
      </w:r>
    </w:p>
    <w:bookmarkEnd w:id="155"/>
    <w:bookmarkEnd w:id="156"/>
    <w:bookmarkEnd w:id="157"/>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
          <w:iCs/>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As a reminder, we performed two literature searches. The second literature search was inspired by reviewer feedback, which we received after we started collecting data using the vignette methodology.</w:t>
      </w:r>
    </w:p>
  </w:footnote>
  <w:footnote w:id="37">
    <w:p>
      <w:pPr>
        <w:pStyle w:val="Funotentext"/>
      </w:pPr>
      <w:r>
        <w:rPr>
          <w:rStyle w:val="Funotenzeichen"/>
        </w:rPr>
        <w:footnoteRef/>
      </w:r>
      <w:r>
        <w:t xml:space="preserve"> </w:t>
      </w:r>
      <w:r>
        <w:t xml:space="preserve">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41">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 w:id="44">
    <w:p>
      <w:pPr>
        <w:pStyle w:val="Funotentext"/>
      </w:pPr>
      <w:r>
        <w:rPr>
          <w:rStyle w:val="Funotenzeichen"/>
        </w:rPr>
        <w:footnoteRef/>
      </w:r>
      <w:r>
        <w:t xml:space="preserve"> </w:t>
      </w:r>
      <w:r>
        <w:t xml:space="preserve">N.C. coded the quality of each record included in the meta-analysis using a modified version of the</w:t>
      </w:r>
      <w:r>
        <w:t xml:space="preserve"> </w:t>
      </w:r>
      <w:r>
        <w:t xml:space="preserve">Downs and Black (1998)</w:t>
      </w:r>
      <w:r>
        <w:t xml:space="preserve"> </w:t>
      </w:r>
      <w:r>
        <w:t xml:space="preserve">checklist. On a 0-1 scale, ratings of reporting quality were modest (</w:t>
      </w:r>
      <w:r>
        <w:rPr>
          <w:i/>
          <w:iCs/>
        </w:rPr>
        <w:t xml:space="preserve">M</w:t>
      </w:r>
      <w:r>
        <w:t xml:space="preserve"> </w:t>
      </w:r>
      <w:r>
        <w:rPr>
          <w:i/>
          <w:iCs/>
        </w:rPr>
        <w:t xml:space="preserve">=</w:t>
      </w:r>
      <w:r>
        <w:t xml:space="preserve"> </w:t>
      </w:r>
      <w:r>
        <w:t xml:space="preserve">0.71,</w:t>
      </w:r>
      <w:r>
        <w:t xml:space="preserve"> </w:t>
      </w:r>
      <w:r>
        <w:rPr>
          <w:i/>
          <w:iCs/>
        </w:rPr>
        <w:t xml:space="preserve">SD</w:t>
      </w:r>
      <w:r>
        <w:t xml:space="preserve"> </w:t>
      </w:r>
      <w:r>
        <w:t xml:space="preserve">= 0.30); ratings of internal validity were high (</w:t>
      </w:r>
      <w:r>
        <w:rPr>
          <w:i/>
          <w:iCs/>
        </w:rPr>
        <w:t xml:space="preserve">M</w:t>
      </w:r>
      <w:r>
        <w:t xml:space="preserve"> </w:t>
      </w:r>
      <w:r>
        <w:rPr>
          <w:i/>
          <w:iCs/>
        </w:rPr>
        <w:t xml:space="preserve">=</w:t>
      </w:r>
      <w:r>
        <w:t xml:space="preserve"> </w:t>
      </w:r>
      <w:r>
        <w:t xml:space="preserve">0.91,</w:t>
      </w:r>
      <w:r>
        <w:t xml:space="preserve"> </w:t>
      </w:r>
      <w:r>
        <w:rPr>
          <w:i/>
          <w:iCs/>
        </w:rPr>
        <w:t xml:space="preserve">SD</w:t>
      </w:r>
      <w:r>
        <w:t xml:space="preserve"> </w:t>
      </w:r>
      <w:r>
        <w:t xml:space="preserve">= 0.17); and ratings of external validity were consistently 0. The low external validity scores were driven by the reliance on non-representative sampling methods, an unfortunately common limitation in experimental psychology</w:t>
      </w:r>
      <w:r>
        <w:t xml:space="preserve"> </w:t>
      </w:r>
      <w:r>
        <w:t xml:space="preserve">(Frank et al., 2023)</w:t>
      </w:r>
      <w:r>
        <w:t xml:space="preserve">. Quality ratings were not significantly associated with observed effect sizes and are thus not discussed.</w:t>
      </w:r>
    </w:p>
  </w:footnote>
  <w:footnote w:id="63">
    <w:p>
      <w:pPr>
        <w:pStyle w:val="Funotentext"/>
      </w:pPr>
      <w:r>
        <w:rPr>
          <w:rStyle w:val="Funotenzeichen"/>
        </w:rPr>
        <w:footnoteRef/>
      </w:r>
      <w:r>
        <w:t xml:space="preserve"> </w:t>
      </w:r>
      <w:r>
        <w:t xml:space="preserve">Whether meta-analysts should combine effects from within and between-subjects design has sparked considerable debate</w:t>
      </w:r>
      <w:r>
        <w:t xml:space="preserve"> </w:t>
      </w:r>
      <w:r>
        <w:t xml:space="preserve">(Morris, 2002)</w:t>
      </w:r>
      <w:r>
        <w:t xml:space="preserve">.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64">
    <w:p>
      <w:pPr>
        <w:pStyle w:val="Funotentext"/>
      </w:pPr>
      <w:r>
        <w:rPr>
          <w:rStyle w:val="Funotenzeichen"/>
        </w:rPr>
        <w:footnoteRef/>
      </w:r>
      <w:r>
        <w:t xml:space="preserve"> </w:t>
      </w:r>
      <w:r>
        <w:t xml:space="preserve">In a six-lab investigation of explicit demand effects in conformity research,</w:t>
      </w:r>
      <w:r>
        <w:t xml:space="preserve"> </w:t>
      </w:r>
      <w:r>
        <w:t xml:space="preserve">(Coles et al., 2024)</w:t>
      </w:r>
      <w:r>
        <w:t xml:space="preserve"> </w:t>
      </w:r>
      <w:r>
        <w:t xml:space="preserve">observed no overall effect (</w:t>
      </w:r>
      <w:r>
        <w:rPr>
          <w:i/>
          <w:iCs/>
        </w:rPr>
        <w:t xml:space="preserve">g</w:t>
      </w:r>
      <w:r>
        <w:t xml:space="preserve"> </w:t>
      </w:r>
      <w:r>
        <w:t xml:space="preserve">= 0.02) but high heterogeneity (</w:t>
      </w:r>
      <m:oMath>
        <m:r>
          <m:t>τ</m:t>
        </m:r>
      </m:oMath>
      <w:r>
        <w:t xml:space="preserve"> </w:t>
      </w:r>
      <w:r>
        <w:t xml:space="preserve">=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hyperlink" Id="rId115" Target="https://CRAN.R-project.org/package=PublicationBias" TargetMode="External" /><Relationship Type="http://schemas.openxmlformats.org/officeDocument/2006/relationships/hyperlink" Id="rId78" Target="https://CRAN.R-project.org/package=weightr" TargetMode="External" /><Relationship Type="http://schemas.openxmlformats.org/officeDocument/2006/relationships/hyperlink" Id="rId111" Target="https://doi.org/10.21105/joss.03139" TargetMode="External" /><Relationship Type="http://schemas.openxmlformats.org/officeDocument/2006/relationships/hyperlink" Id="rId69"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3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15" Target="https://CRAN.R-project.org/package=PublicationBias" TargetMode="External" /><Relationship Type="http://schemas.openxmlformats.org/officeDocument/2006/relationships/hyperlink" Id="rId78" Target="https://CRAN.R-project.org/package=weightr" TargetMode="External" /><Relationship Type="http://schemas.openxmlformats.org/officeDocument/2006/relationships/hyperlink" Id="rId111" Target="https://doi.org/10.21105/joss.03139" TargetMode="External" /><Relationship Type="http://schemas.openxmlformats.org/officeDocument/2006/relationships/hyperlink" Id="rId69"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3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dcterms:created xsi:type="dcterms:W3CDTF">2024-12-31T17:48:37Z</dcterms:created>
  <dcterms:modified xsi:type="dcterms:W3CDTF">2024-12-31T17:48:37Z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