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60.png" ContentType="image/png"/>
  <Override PartName="/word/media/rId57.png" ContentType="image/png"/>
  <Override PartName="/word/media/rId37.png" ContentType="image/png"/>
  <Override PartName="/word/media/rId49.png" ContentType="image/png"/>
  <Override PartName="/word/media/rId67.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code, and pre-registrations (for Studies 1 and 2) are openly available at</w:t>
      </w:r>
      <w:r>
        <w:t xml:space="preserve"> </w:t>
      </w:r>
      <w:hyperlink r:id="rId20">
        <w:r>
          <w:rPr>
            <w:rStyle w:val="Hyperlink"/>
          </w:rPr>
          <w:t xml:space="preserve">https://osf.io/3hkre/</w:t>
        </w:r>
      </w:hyperlink>
      <w:r>
        <w:t xml:space="preserv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pPr>
        <w:pStyle w:val="Textkrper"/>
      </w:pPr>
      <w:r>
        <w:t xml:space="preserve">The authors made the following contributions. Nicholas A. Coles: Conceptualization, Data Curation, Formal Analysis, Investigation, Methodology, Project administration, Software, Supervision, Visualization, Writing - Original Draft Preparation, Writing - Review &amp; Editing; Michael C. Frank: Formal Analysis, Investigation, Methodology, Project administration, Resources, Software, Supervision, Visualization, Writing - Review &amp; Editing.</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0.31;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1.98 (a massive increase in hypothesis-consistent responding) to</w:t>
      </w:r>
      <w:r>
        <w:t xml:space="preserve"> </w:t>
      </w:r>
      <w:r>
        <w:rPr>
          <w:iCs/>
          <w:i/>
        </w:rPr>
        <w:t xml:space="preserve">d</w:t>
      </w:r>
      <w:r>
        <w:t xml:space="preserve"> </w:t>
      </w:r>
      <w:r>
        <w:t xml:space="preserve">= -1.44 (a massive increase in hypothesis-</w:t>
      </w:r>
      <w:r>
        <w:rPr>
          <w:iCs/>
          <w:i/>
        </w:rPr>
        <w:t xml:space="preserve">in</w:t>
      </w:r>
      <w:r>
        <w:t xml:space="preserve">consistent responding). Contrary to common belief, we did not find evidence that demand effects were driven by participants’ motivation or opportunity to adjust their responses. We did, however, find robust evidence that such effects are driven by participants’ expectancies, as in placebo effects. Similar findings emerged in a direct replication of a study included in the meta-analysis. Taken together, results challenge conventional beliefs about the mechanisms underlying the effects of demand characteristics. Furthermore, they underscore the importance of considering both response bias and placebo effects when estimating causal relationships.</w:t>
      </w:r>
    </w:p>
    <w:p>
      <w:pPr>
        <w:pStyle w:val="Textkrper"/>
      </w:pPr>
      <w:r>
        <w:rPr>
          <w:iCs/>
          <w:i/>
        </w:rPr>
        <w:t xml:space="preserve">Keywords:</w:t>
      </w:r>
      <w:r>
        <w:t xml:space="preserve"> </w:t>
      </w:r>
      <w:r>
        <w:t xml:space="preserve">demand characteristics, placebo, mindsets, research methods, meta-analysis</w:t>
      </w:r>
    </w:p>
    <w:p>
      <w:pPr>
        <w:pStyle w:val="h1-pagebreak"/>
      </w:pPr>
      <w:r>
        <w:t xml:space="preserve">A quantitative review of demand characteristics and their underlying mechanisms</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Cs/>
          <w:i/>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They then offer a confession: the artifact doesn’t always impact their conclusions, and they don’t know why. Sometimes the artifact seems to matter, other times it doesn’t – and its underlying mechanisms are poorly understood.</w:t>
      </w:r>
    </w:p>
    <w:p>
      <w:pPr>
        <w:pStyle w:val="Textkrper"/>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 perceptive to demand characteristics –</w:t>
      </w:r>
      <w:r>
        <w:t xml:space="preserve"> </w:t>
      </w:r>
      <w:r>
        <w:t xml:space="preserve">“</w:t>
      </w:r>
      <w:r>
        <w:t xml:space="preserve">cues which convey an experimental hypothesis</w:t>
      </w:r>
      <w:r>
        <w:t xml:space="preserve">”</w:t>
      </w:r>
      <w:r>
        <w:t xml:space="preserve"> </w:t>
      </w:r>
      <w:r>
        <w:t xml:space="preserve">– and use these cues to help the experimenter confirm their hypothesis</w:t>
      </w:r>
      <w:r>
        <w:t xml:space="preserve"> </w:t>
      </w:r>
      <w:r>
        <w:t xml:space="preserve">(1962, p. 779)</w:t>
      </w:r>
      <w:r>
        <w:t xml:space="preserve">. Orne initially focused on evidence that demand characteristics can lead to false positives,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doing so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though, demand characteristics do not always seem to matter. For example, manipulations of demand characteristics have consistently failed to impact participants’ responses in large replications of classic studies in behavioral economics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characteristics are a literal textbook methodological concern in experimental psychology</w:t>
      </w:r>
      <w:r>
        <w:t xml:space="preserve"> </w:t>
      </w:r>
      <w:r>
        <w:t xml:space="preserve">(Sharpe &amp; Whelton, 2016)</w:t>
      </w:r>
      <w:r>
        <w:t xml:space="preserve">, but the magnitude, direction, and consistency of their effects remain unclear. In the present paper, we use meta-analysis and replication to take stock of what we know about these demand characteristics. We begin by briefly reviewing mechanisms theorized to underlie their effects.</w:t>
      </w:r>
    </w:p>
    <w:bookmarkStart w:id="25" w:name="Xa0d64ece604650f58e403bddeb4af76aa562f5e"/>
    <w:p>
      <w:pPr>
        <w:pStyle w:val="berschrift2"/>
      </w:pPr>
      <w:r>
        <w:t xml:space="preserve">How do demand characteristics alter participant responses?</w:t>
      </w:r>
    </w:p>
    <w:p>
      <w:pPr>
        <w:pStyle w:val="FirstParagraph"/>
      </w:pPr>
      <w:r>
        <w:t xml:space="preserve">Historically, there has been little agreement about how demand characteristics alter participant responses</w:t>
      </w:r>
      <w:r>
        <w:t xml:space="preserve"> </w:t>
      </w:r>
      <w:r>
        <w:t xml:space="preserve">(for a recent review, see Corneille &amp; Lush, 2022)</w:t>
      </w:r>
      <w:r>
        <w:t xml:space="preserve">. In the present work, we focus on two oft-discussed mechanisms: response biases and placebo effects. We define</w:t>
      </w:r>
      <w:r>
        <w:t xml:space="preserve"> </w:t>
      </w:r>
      <w:r>
        <w:rPr>
          <w:iCs/>
          <w:i/>
        </w:rPr>
        <w:t xml:space="preserve">response biases</w:t>
      </w:r>
      <w:r>
        <w:t xml:space="preserve"> </w:t>
      </w:r>
      <w:r>
        <w:t xml:space="preserve">as changes mediated by relatively deliberate changes that participants make to their responses</w:t>
      </w:r>
      <w:r>
        <w:t xml:space="preserve"> </w:t>
      </w:r>
      <w:r>
        <w:t xml:space="preserve">(Rosnow &amp; Aiken, 1973; Strohmetz, 2008)</w:t>
      </w:r>
      <w:r>
        <w:t xml:space="preserve">. We distinguish these response biases from</w:t>
      </w:r>
      <w:r>
        <w:t xml:space="preserve"> </w:t>
      </w:r>
      <w:r>
        <w:rPr>
          <w:iCs/>
          <w:i/>
        </w:rPr>
        <w:t xml:space="preserve">placebo effects</w:t>
      </w:r>
      <w:r>
        <w:t xml:space="preserve">: changes mediated by the relatively automatic activation of expectancies and/or conditioned responses</w:t>
      </w:r>
      <w:r>
        <w:t xml:space="preserve"> </w:t>
      </w:r>
      <w:r>
        <w:t xml:space="preserve">(Stewart-Williams &amp; Podd, 2004; Zion &amp; Crum, 2018)</w:t>
      </w:r>
      <w:r>
        <w:t xml:space="preserve">. As an example of this distinction, imagine that a participant knows that a researcher expects an intervention to boost mood. Response bias, on one hand, would involve a change in participants’ self-reported mood without a concomitant change in actual mood. Placebo effects, on the other hand, would entail an actual change in mood.</w:t>
      </w:r>
    </w:p>
    <w:p>
      <w:pPr>
        <w:pStyle w:val="Textkrper"/>
      </w:pPr>
      <w:r>
        <w:t xml:space="preserve">One of the most influential frameworks for conceptualizing demand characteristics as response biases was developed by</w:t>
      </w:r>
      <w:r>
        <w:t xml:space="preserve"> </w:t>
      </w:r>
      <w:r>
        <w:t xml:space="preserve">Rosnow and Rosenthal (1997)</w:t>
      </w:r>
      <w:r>
        <w:t xml:space="preserve">, who proposed three key moderators: (1) receptivity to cues, (2) motivation to provide hypothesis-consistent responses, and (3) opportunity to alter responses (Figure</w:t>
      </w:r>
      <w:r>
        <w:t xml:space="preserve"> </w:t>
      </w:r>
      <w:r>
        <w:t xml:space="preserve">1</w:t>
      </w:r>
      <w:r>
        <w:t xml:space="preserve">). To start,</w:t>
      </w:r>
      <w:r>
        <w:t xml:space="preserve"> </w:t>
      </w:r>
      <w:r>
        <w:t xml:space="preserve">Rosnow and Rosenthal (1997)</w:t>
      </w:r>
      <w:r>
        <w:t xml:space="preserve"> </w:t>
      </w:r>
      <w:r>
        <w:t xml:space="preserve">reasoned that participants must be receptive to demand characteristics for there to be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We mention this moderator for the sake of comprehensiveness, but we will largely focus the rest of the paper on the two other proposed moderators: motivation and opportunity.</w:t>
      </w:r>
    </w:p>
    <w:p>
      <w:pPr>
        <w:pStyle w:val="Textkrper"/>
      </w:pPr>
      <w:r>
        <w:t xml:space="preserve">If/when participants noticed demand characteristics,</w:t>
      </w:r>
      <w:r>
        <w:t xml:space="preserve"> </w:t>
      </w:r>
      <w:r>
        <w:t xml:space="preserve">Rosnow and Rosenthal (1997)</w:t>
      </w:r>
      <w:r>
        <w:t xml:space="preserve"> </w:t>
      </w:r>
      <w:r>
        <w:t xml:space="preserve">theorized that subsequent response bias is driven by participants’ motivation (or lack thereof) to provide hypothesis-consistent responses. Many readers may be familiar with early conceptualizations of demand characteristics, which posited that participants adjust their responses to (a) help the researcher confirm their hypothesis [</w:t>
      </w:r>
      <w:r>
        <w:t xml:space="preserve">“</w:t>
      </w:r>
      <w:r>
        <w:t xml:space="preserve">good subjects</w:t>
      </w:r>
      <w:r>
        <w:t xml:space="preserve">”</w:t>
      </w:r>
      <w:r>
        <w:t xml:space="preserve">;</w:t>
      </w:r>
      <w:r>
        <w:t xml:space="preserve"> </w:t>
      </w:r>
      <w:r>
        <w:t xml:space="preserve">Orne (1962)</w:t>
      </w:r>
      <w:r>
        <w:t xml:space="preserve">], (b) receive positive evaluations [</w:t>
      </w:r>
      <w:r>
        <w:t xml:space="preserve">“</w:t>
      </w:r>
      <w:r>
        <w:t xml:space="preserve">apprehensive subjects</w:t>
      </w:r>
      <w:r>
        <w:t xml:space="preserve">”</w:t>
      </w:r>
      <w:r>
        <w:t xml:space="preserve">;</w:t>
      </w:r>
      <w:r>
        <w:t xml:space="preserve"> </w:t>
      </w:r>
      <w:r>
        <w:t xml:space="preserve">Riecken (1962)</w:t>
      </w:r>
      <w:r>
        <w:t xml:space="preserve">;</w:t>
      </w:r>
      <w:r>
        <w:t xml:space="preserve"> </w:t>
      </w:r>
      <w:r>
        <w:t xml:space="preserve">Rosenberg (1969)</w:t>
      </w:r>
      <w:r>
        <w:t xml:space="preserve">;</w:t>
      </w:r>
      <w:r>
        <w:t xml:space="preserve"> </w:t>
      </w:r>
      <w:r>
        <w:t xml:space="preserve">Sigall, Aronson, and Van Hoose (1970)</w:t>
      </w:r>
      <w:r>
        <w:t xml:space="preserve">], (c) interfere with the purpose of the study [</w:t>
      </w:r>
      <w:r>
        <w:t xml:space="preserve">“</w:t>
      </w:r>
      <w:r>
        <w:t xml:space="preserve">negativistic subjects</w:t>
      </w:r>
      <w:r>
        <w:t xml:space="preserve">”</w:t>
      </w:r>
      <w:r>
        <w:t xml:space="preserve">;</w:t>
      </w:r>
      <w:r>
        <w:t xml:space="preserve"> </w:t>
      </w:r>
      <w:r>
        <w:t xml:space="preserve">Cook et al. (1970)</w:t>
      </w:r>
      <w:r>
        <w:t xml:space="preserve">;</w:t>
      </w:r>
      <w:r>
        <w:t xml:space="preserve"> </w:t>
      </w:r>
      <w:r>
        <w:t xml:space="preserve">Masling (1966)</w:t>
      </w:r>
      <w:r>
        <w:t xml:space="preserve">], or (d) follow directions as closely as possible [</w:t>
      </w:r>
      <w:r>
        <w:t xml:space="preserve">“</w:t>
      </w:r>
      <w:r>
        <w:t xml:space="preserve">faithful subjects</w:t>
      </w:r>
      <w:r>
        <w:t xml:space="preserve">”</w:t>
      </w:r>
      <w:r>
        <w:t xml:space="preserve">;</w:t>
      </w:r>
      <w:r>
        <w:t xml:space="preserve"> </w:t>
      </w:r>
      <w:r>
        <w:t xml:space="preserve">Fillenbaun and Frey (1970)</w:t>
      </w:r>
      <w:r>
        <w:t xml:space="preserve">].</w:t>
      </w:r>
      <w:r>
        <w:t xml:space="preserve"> </w:t>
      </w:r>
      <w:r>
        <w:t xml:space="preserve">Rosnow and Rosenthal (1997)</w:t>
      </w:r>
      <w:r>
        <w:t xml:space="preserve">, however, advanced these ideas by demonstrating that participants have multiple shifting goals in mind when they conceptualize their roles as subjects</w:t>
      </w:r>
      <w:r>
        <w:t xml:space="preserve"> </w:t>
      </w:r>
      <w:r>
        <w:t xml:space="preserve">(Rosnow &amp; Rosenthal, 1997)</w:t>
      </w:r>
      <w:r>
        <w:t xml:space="preserve">. For example, participants appear to be motivated to increase performance on simple tasks when told that this is the experimenter’s expectation – but not when the experimenter adds that this increase in performance will be indicative of a negative personality trait</w:t>
      </w:r>
      <w:r>
        <w:t xml:space="preserve"> </w:t>
      </w:r>
      <w:r>
        <w:t xml:space="preserve">(Sigall et al., 1970)</w:t>
      </w:r>
      <w:r>
        <w:t xml:space="preserve">.</w:t>
      </w:r>
      <w:r>
        <w:t xml:space="preserve"> </w:t>
      </w:r>
      <w:r>
        <w:t xml:space="preserve">Rosnow and Rosenthal (1997)</w:t>
      </w:r>
      <w:r>
        <w:t xml:space="preserve">,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pPr>
        <w:pStyle w:val="Textkrper"/>
      </w:pPr>
      <w:r>
        <w:t xml:space="preserve">No matter how motivated they are to confirm the hypothesis, there is variability in the extent to which participants have the opportunity to alter the outcome of interest. For example, participants can more readily alter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placebo effects.</w:t>
      </w:r>
    </w:p>
    <w:p>
      <w:pPr>
        <w:pStyle w:val="Textkrper"/>
      </w:pPr>
      <w:r>
        <w:t xml:space="preserve">Coles, Gaertner, et al. (2022)</w:t>
      </w:r>
      <w:r>
        <w:t xml:space="preserve"> </w:t>
      </w:r>
      <w:r>
        <w:t xml:space="preserve">recently argued that demand characteristics can produce both response biases and</w:t>
      </w:r>
      <w:r>
        <w:t xml:space="preserve"> </w:t>
      </w:r>
      <w:r>
        <w:rPr>
          <w:iCs/>
          <w:i/>
        </w:rPr>
        <w:t xml:space="preserve">placebo effects</w:t>
      </w:r>
      <w:r>
        <w:t xml:space="preserve"> </w:t>
      </w:r>
      <w:r>
        <w:t xml:space="preserve">– the latter which are often theorized to be mediated by the relatively automatic activation of expectancies and/or conditioned responses</w:t>
      </w:r>
      <w:r>
        <w:t xml:space="preserve"> </w:t>
      </w:r>
      <w:r>
        <w:t xml:space="preserve">(Stewart-Williams &amp; Podd, 2004)</w:t>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w:t>
      </w:r>
      <w:r>
        <w:t xml:space="preserve"> </w:t>
      </w:r>
      <w:r>
        <w:t xml:space="preserve">Coles, Gaertner, et al. (2022)</w:t>
      </w:r>
      <w:r>
        <w:t xml:space="preserve"> </w:t>
      </w:r>
      <w:r>
        <w:t xml:space="preserve">found that participants’ expectations about facial feedback effects did not always match the hypothesis communicated; furthermore, both the communicated hypothesis and measures of participants’ expectations moderated the effects of posed expressions on emotion. This finding provides evidence that demand characteristics can produce both response biases and placebo effects, the latter which may emerge even when participants have neither the motivation nor the opportunity to adjust their responses.</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argued that demand characteristics can also produce placebo biases (dotted boxes) that occur by activating or changing participants’ beliefs." title="" id="23" name="Picture"/>
            <a:graphic>
              <a:graphicData uri="http://schemas.openxmlformats.org/drawingml/2006/picture">
                <pic:pic>
                  <pic:nvPicPr>
                    <pic:cNvPr descr="images/metaware_framework.png" id="24" name="Picture"/>
                    <pic:cNvPicPr>
                      <a:picLocks noChangeArrowheads="1" noChangeAspect="1"/>
                    </pic:cNvPicPr>
                  </pic:nvPicPr>
                  <pic:blipFill>
                    <a:blip r:embed="rId22"/>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t xml:space="preserve">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argued that demand characteristics can also produce placebo biases (dotted boxes) that occur by activating or changing participants’ beliefs.</w:t>
      </w:r>
    </w:p>
    <w:bookmarkEnd w:id="25"/>
    <w:bookmarkStart w:id="26" w:name="the-current-paper"/>
    <w:p>
      <w:pPr>
        <w:pStyle w:val="berschrift2"/>
      </w:pPr>
      <w:r>
        <w:t xml:space="preserve">The current paper</w:t>
      </w:r>
    </w:p>
    <w:p>
      <w:pPr>
        <w:pStyle w:val="FirstParagraph"/>
      </w:pPr>
      <w:r>
        <w:t xml:space="preserve">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pPr>
        <w:pStyle w:val="Textkrper"/>
      </w:pPr>
      <w:r>
        <w:t xml:space="preserve">In Study 2, we report an extension of the meta-analysis that examines whether observed effect size variability can be explained by factors theorized to underlie response biases (i.e., motivation and opportunity to adjust responses) and placebo effects (i.e., expectations about the hypothesized effect).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hypothesized effect would occur. We also examined how well these raters could predict the effects of demand characteristic manipulations in the meta-analysis.</w:t>
      </w:r>
    </w:p>
    <w:p>
      <w:pPr>
        <w:pStyle w:val="Textkrper"/>
      </w:pPr>
      <w:r>
        <w:t xml:space="preserve">In Study 3, we report a replication experiment that re-examines the extent to which demand effects are driven by response biases and placebo effects. In this replication, we manipulated demand characteristics in an experiment on the effects of facial poses on emotional experience</w:t>
      </w:r>
      <w:r>
        <w:t xml:space="preserve"> </w:t>
      </w:r>
      <w:r>
        <w:t xml:space="preserve">(Coles, Larsen, &amp; Lench, 2019; Coles, March, et al., 2022)</w:t>
      </w:r>
      <w:r>
        <w:t xml:space="preserve">. We then examined the extent to which the effect was moderated by factors believed to underlie response biases and placebo effects.</w:t>
      </w:r>
    </w:p>
    <w:bookmarkEnd w:id="26"/>
    <w:bookmarkStart w:id="55" w:name="study-1"/>
    <w:p>
      <w:pPr>
        <w:pStyle w:val="berschrift1"/>
      </w:pPr>
      <w:r>
        <w:t xml:space="preserve">Study 1</w:t>
      </w:r>
    </w:p>
    <w:p>
      <w:pPr>
        <w:pStyle w:val="FirstParagraph"/>
      </w:pPr>
      <w:r>
        <w:t xml:space="preserve">Study 1 was designed to provide a quantitative synthesis of demand effects via meta-analysis.</w:t>
      </w:r>
    </w:p>
    <w:bookmarkStart w:id="36"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7"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went as far back as 1840, which yielded 851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27"/>
    <w:bookmarkStart w:id="29"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28"/>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32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29"/>
    <w:bookmarkStart w:id="30"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 In other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bookmarkEnd w:id="30"/>
    <w:bookmarkStart w:id="31"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 manipulation.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Cs/>
          <w:i/>
        </w:rPr>
        <w:t xml:space="preserve">Participant pool.</w:t>
      </w:r>
      <w:r>
        <w:t xml:space="preserve"> </w:t>
      </w:r>
      <w:r>
        <w:t xml:space="preserve">Whether students, non-students (e.g., MTurk workers), or a mix of students and non-students were sampled.</w:t>
      </w:r>
    </w:p>
    <w:p>
      <w:pPr>
        <w:numPr>
          <w:ilvl w:val="0"/>
          <w:numId w:val="1002"/>
        </w:numPr>
      </w:pPr>
      <w:r>
        <w:rPr>
          <w:iCs/>
          <w:i/>
        </w:rPr>
        <w:t xml:space="preserve">Setting.</w:t>
      </w:r>
      <w:r>
        <w:t xml:space="preserve"> </w:t>
      </w:r>
      <w:r>
        <w:t xml:space="preserve">Whether the study was conducted online or in-person.</w:t>
      </w:r>
    </w:p>
    <w:p>
      <w:pPr>
        <w:numPr>
          <w:ilvl w:val="0"/>
          <w:numId w:val="1002"/>
        </w:numPr>
      </w:pPr>
      <w:r>
        <w:rPr>
          <w:iCs/>
          <w:i/>
        </w:rPr>
        <w:t xml:space="preserve">Study design.</w:t>
      </w:r>
      <w:r>
        <w:t xml:space="preserve"> </w:t>
      </w:r>
      <w:r>
        <w:t xml:space="preserve">Whether demand characteristics were manipulation within- vs. between-subjects.</w:t>
      </w:r>
    </w:p>
    <w:p>
      <w:pPr>
        <w:numPr>
          <w:ilvl w:val="0"/>
          <w:numId w:val="1002"/>
        </w:numPr>
      </w:pPr>
      <w:r>
        <w:rPr>
          <w:iCs/>
          <w:i/>
        </w:rPr>
        <w:t xml:space="preserve">Payment.</w:t>
      </w:r>
      <w:r>
        <w:t xml:space="preserve"> </w:t>
      </w:r>
      <w:r>
        <w:t xml:space="preserve">Whether participants were paid or unpaid.</w:t>
      </w:r>
    </w:p>
    <w:bookmarkEnd w:id="31"/>
    <w:bookmarkStart w:id="34"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demand characteristics, 3LMA assumes that there is a distribution containing</w:t>
      </w:r>
      <w:r>
        <w:t xml:space="preserve"> </w:t>
      </w:r>
      <w:r>
        <w:rPr>
          <w:iCs/>
          <w:i/>
        </w:rPr>
        <w:t xml:space="preserve">multiple true effects</w:t>
      </w:r>
      <w:r>
        <w:t xml:space="preserve">. To separate variability in these true effects from mere sampling error, 3LMA models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To estimate the overall effect size, we fit an intercept-only 3LMA model. Unless otherwise specified, we conducted moderator analyses by separately entering dummy-coded categorical factors into the model, which was used to estimate the moderating relationship and the effect size within each subgroup of the moderator. Effect sizes were weighted based on their inverse-variance.</w:t>
      </w:r>
    </w:p>
    <w:bookmarkStart w:id="33"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2"/>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allowed us to estimate the difference in the magnitude of published vs. unpublished effects.</w:t>
      </w:r>
    </w:p>
    <w:bookmarkEnd w:id="33"/>
    <w:bookmarkEnd w:id="34"/>
    <w:bookmarkStart w:id="35"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the pre-registration plan and documented amendments. Sample size was determined by the availability of relevant records. All code (including the script used to generate a computationally reproducible manuscript) has been checked for reproducibility. Ethics approval was not requested because no new data were collected.</w:t>
      </w:r>
    </w:p>
    <w:bookmarkEnd w:id="35"/>
    <w:bookmarkEnd w:id="36"/>
    <w:bookmarkStart w:id="53" w:name="results"/>
    <w:p>
      <w:pPr>
        <w:pStyle w:val="berschrift2"/>
      </w:pPr>
      <w:r>
        <w:t xml:space="preserve">Results</w:t>
      </w:r>
    </w:p>
    <w:p>
      <w:pPr>
        <w:pStyle w:val="FirstParagraph"/>
      </w:pPr>
      <w:r>
        <w:t xml:space="preserve">Overall, results indicated that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3.89,</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 title="" id="38" name="Picture"/>
            <a:graphic>
              <a:graphicData uri="http://schemas.openxmlformats.org/drawingml/2006/picture">
                <pic:pic>
                  <pic:nvPicPr>
                    <pic:cNvPr descr="metaware_manuscript_files/figure-docx/forest-1.png" id="39" name="Picture"/>
                    <pic:cNvPicPr>
                      <a:picLocks noChangeArrowheads="1" noChangeAspect="1"/>
                    </pic:cNvPicPr>
                  </pic:nvPicPr>
                  <pic:blipFill>
                    <a:blip r:embed="rId37"/>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t xml:space="preserve">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As a reminder, rather than assume that there is a single true effect of demand characteristics, 3LMA assumes that there are</w:t>
      </w:r>
      <w:r>
        <w:t xml:space="preserve"> </w:t>
      </w:r>
      <w:r>
        <w:rPr>
          <w:iCs/>
          <w:i/>
        </w:rPr>
        <w:t xml:space="preserve">multiple true effects.</w:t>
      </w:r>
      <w:r>
        <w:t xml:space="preserve"> </w:t>
      </w:r>
      <w:r>
        <w:t xml:space="preserve">Consistent with this assumption, observed variability in demand effects dramatically exceeded what would be expected from sampling error alone (between-study</w:t>
      </w:r>
      <w:r>
        <w:t xml:space="preserve"> </w:t>
      </w:r>
      <m:oMath>
        <m:r>
          <m:t>τ</m:t>
        </m:r>
      </m:oMath>
      <w:r>
        <w:t xml:space="preserve"> </w:t>
      </w:r>
      <w:r>
        <w:t xml:space="preserve">= 0.31; within-study</w:t>
      </w:r>
      <w:r>
        <w:t xml:space="preserve"> </w:t>
      </w:r>
      <m:oMath>
        <m:r>
          <m:t>σ</m:t>
        </m:r>
      </m:oMath>
      <w:r>
        <w:t xml:space="preserve"> </w:t>
      </w:r>
      <w:r>
        <w:t xml:space="preserve">= 0.20;</w:t>
      </w:r>
      <w:r>
        <w:t xml:space="preserve"> </w:t>
      </w:r>
      <m:oMath>
        <m:r>
          <m:t>Q</m:t>
        </m:r>
      </m:oMath>
      <w:r>
        <w:t xml:space="preserve">(195) = 904.45,</w:t>
      </w:r>
      <w:r>
        <w:t xml:space="preserve"> </w:t>
      </w:r>
      <m:oMath>
        <m:r>
          <m:t>p</m:t>
        </m:r>
      </m:oMath>
      <w:r>
        <w:t xml:space="preserve"> </w:t>
      </w:r>
      <w:r>
        <w:t xml:space="preserve">&lt; .001). 3LMA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2</w:t>
      </w:r>
      <w:r>
        <w:t xml:space="preserve">, this estimated distribution suggests that demand effects can range from approximately</w:t>
      </w:r>
      <w:r>
        <w:t xml:space="preserve"> </w:t>
      </w:r>
      <m:oMath>
        <m:r>
          <m:t>d</m:t>
        </m:r>
      </m:oMath>
      <w:r>
        <w:t xml:space="preserve"> </w:t>
      </w:r>
      <w:r>
        <w:t xml:space="preserve">= -1.44 to</w:t>
      </w:r>
      <w:r>
        <w:t xml:space="preserve"> </w:t>
      </w:r>
      <m:oMath>
        <m:r>
          <m:t>d</m:t>
        </m:r>
      </m:oMath>
      <w:r>
        <w:t xml:space="preserve"> </w:t>
      </w:r>
      <w:r>
        <w:t xml:space="preserve">= 1.98 — covering the range of most conceivable effects in psychology. As a heuristic, we arbitrarily classified any effect size less than 0.10 standard deviation in either direction as</w:t>
      </w:r>
      <w:r>
        <w:t xml:space="preserve"> </w:t>
      </w:r>
      <w:r>
        <w:t xml:space="preserve">“</w:t>
      </w:r>
      <w:r>
        <w:t xml:space="preserve">negligible</w:t>
      </w:r>
      <w:r>
        <w:t xml:space="preserve">”</w:t>
      </w:r>
      <w:r>
        <w:t xml:space="preserve">. Based on this classification, the recreated distribution suggested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3" w:name="moderator-analyses"/>
    <w:p>
      <w:pPr>
        <w:pStyle w:val="berschrift3"/>
      </w:pPr>
      <w:r>
        <w:t xml:space="preserve">Moderator analyses.</w:t>
      </w:r>
    </w:p>
    <w:p>
      <w:pPr>
        <w:pStyle w:val="CaptionedFigure"/>
      </w:pPr>
      <w:r>
        <w:drawing>
          <wp:inline>
            <wp:extent cx="5963478" cy="3440468"/>
            <wp:effectExtent b="0" l="0" r="0" t="0"/>
            <wp:docPr descr="Figure 3.  Selected moderator subgroup mean effect sizes (dots) and their 95% confidence intervals (error bars)." title="" id="41" name="Picture"/>
            <a:graphic>
              <a:graphicData uri="http://schemas.openxmlformats.org/drawingml/2006/picture">
                <pic:pic>
                  <pic:nvPicPr>
                    <pic:cNvPr descr="metaware_manuscript_files/figure-docx/modforest-1.png" id="42" name="Picture"/>
                    <pic:cNvPicPr>
                      <a:picLocks noChangeArrowheads="1" noChangeAspect="1"/>
                    </pic:cNvPicPr>
                  </pic:nvPicPr>
                  <pic:blipFill>
                    <a:blip r:embed="rId40"/>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t xml:space="preserve">Figure 3: Selected moderator subgroup mean effect sizes (dots) and their 95% confidence intervals (error bars).</w:t>
      </w:r>
    </w:p>
    <w:p>
      <w:pPr>
        <w:pStyle w:val="Textkrper"/>
      </w:pPr>
      <w:r>
        <w:t xml:space="preserve">When variability in effect sizes exceeds what would be expected from sampling error alone, it suggests the presence of moderators. Next, we examine six potential study-level moderators.</w:t>
      </w:r>
    </w:p>
    <w:p>
      <w:pPr>
        <w:pStyle w:val="Textkrper"/>
      </w:pPr>
      <w:r>
        <w:t xml:space="preserve">Results indicated that the effects of demand characteristics tended to differ by participant pool,</w:t>
      </w:r>
      <w:r>
        <w:t xml:space="preserve"> </w:t>
      </w:r>
      <m:oMath>
        <m:r>
          <m:t>F</m:t>
        </m:r>
      </m:oMath>
      <w:r>
        <w:t xml:space="preserve">(2, 183) = 3.04,</w:t>
      </w:r>
      <w:r>
        <w:t xml:space="preserve"> </w:t>
      </w:r>
      <m:oMath>
        <m:r>
          <m:t>p</m:t>
        </m:r>
      </m:oMath>
      <w:r>
        <w:t xml:space="preserve"> </w:t>
      </w:r>
      <w:r>
        <w:t xml:space="preserve">= .050. As shown in Figure</w:t>
      </w:r>
      <w:r>
        <w:t xml:space="preserve"> </w:t>
      </w:r>
      <w:r>
        <w:t xml:space="preserve">3</w:t>
      </w:r>
      <w:r>
        <w:t xml:space="preserve">, effects were generally positive and medium-to-large in studies with students (</w:t>
      </w:r>
      <m:oMath>
        <m:r>
          <m:t>d</m:t>
        </m:r>
      </m:oMath>
      <w:r>
        <w:t xml:space="preserve"> </w:t>
      </w:r>
      <w:r>
        <w:t xml:space="preserve">= 0.31, 95% CI [0.18, 0.44],</w:t>
      </w:r>
      <w:r>
        <w:t xml:space="preserve"> </w:t>
      </w:r>
      <m:oMath>
        <m:r>
          <m:t>p</m:t>
        </m:r>
      </m:oMath>
      <w:r>
        <w:t xml:space="preserve"> </w:t>
      </w:r>
      <w:r>
        <w:t xml:space="preserve">&lt; .001), and near-zero in studies with non-students (</w:t>
      </w:r>
      <m:oMath>
        <m:r>
          <m:t>d</m:t>
        </m:r>
      </m:oMath>
      <w:r>
        <w:t xml:space="preserve"> </w:t>
      </w:r>
      <w:r>
        <w:t xml:space="preserve">= 0.04, 95% CI [-0.15, 0.23],</w:t>
      </w:r>
      <w:r>
        <w:t xml:space="preserve"> </w:t>
      </w:r>
      <m:oMath>
        <m:r>
          <m:t>p</m:t>
        </m:r>
      </m:oMath>
      <w:r>
        <w:t xml:space="preserve"> </w:t>
      </w:r>
      <w:r>
        <w:t xml:space="preserve">= .689) or a mix of students and non-students (</w:t>
      </w:r>
      <m:oMath>
        <m:r>
          <m:t>d</m:t>
        </m:r>
      </m:oMath>
      <w:r>
        <w:t xml:space="preserve"> </w:t>
      </w:r>
      <w:r>
        <w:t xml:space="preserve">= 0.04, 95% CI [-0.38, 0.47],</w:t>
      </w:r>
      <w:r>
        <w:t xml:space="preserve"> </w:t>
      </w:r>
      <m:oMath>
        <m:r>
          <m:t>p</m:t>
        </m:r>
      </m:oMath>
      <w:r>
        <w:t xml:space="preserve"> </w:t>
      </w:r>
      <w:r>
        <w:t xml:space="preserve">= .837). The effects of demand characteristics also tended to be slightly more positive for in-person (</w:t>
      </w:r>
      <m:oMath>
        <m:r>
          <m:t>d</m:t>
        </m:r>
      </m:oMath>
      <w:r>
        <w:t xml:space="preserve"> </w:t>
      </w:r>
      <w:r>
        <w:t xml:space="preserve">= 0.29, 95% CI [0.16, 0.42],</w:t>
      </w:r>
      <w:r>
        <w:t xml:space="preserve"> </w:t>
      </w:r>
      <m:oMath>
        <m:r>
          <m:t>p</m:t>
        </m:r>
      </m:oMath>
      <w:r>
        <w:t xml:space="preserve"> </w:t>
      </w:r>
      <w:r>
        <w:t xml:space="preserve">&lt; .001) vs. online (</w:t>
      </w:r>
      <m:oMath>
        <m:r>
          <m:t>d</m:t>
        </m:r>
      </m:oMath>
      <w:r>
        <w:t xml:space="preserve"> </w:t>
      </w:r>
      <w:r>
        <w:t xml:space="preserve">= 0.12, 95% CI [-0.07, 0.31],</w:t>
      </w:r>
      <w:r>
        <w:t xml:space="preserve"> </w:t>
      </w:r>
      <m:oMath>
        <m:r>
          <m:t>p</m:t>
        </m:r>
      </m:oMath>
      <w:r>
        <w:t xml:space="preserve"> </w:t>
      </w:r>
      <w:r>
        <w:t xml:space="preserve">= .211) studies; however, this difference was not significant,</w:t>
      </w:r>
      <w:r>
        <w:t xml:space="preserve"> </w:t>
      </w:r>
      <m:oMath>
        <m:r>
          <m:t>F</m:t>
        </m:r>
      </m:oMath>
      <w:r>
        <w:t xml:space="preserve">(1, 190) = 2.22,</w:t>
      </w:r>
      <w:r>
        <w:t xml:space="preserve"> </w:t>
      </w:r>
      <m:oMath>
        <m:r>
          <m:t>p</m:t>
        </m:r>
      </m:oMath>
      <w:r>
        <w:t xml:space="preserve"> </w:t>
      </w:r>
      <w:r>
        <w:t xml:space="preserve">= .138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0.27],</w:t>
      </w:r>
      <w:r>
        <w:t xml:space="preserve"> </w:t>
      </w:r>
      <m:oMath>
        <m:r>
          <m:t>p</m:t>
        </m:r>
      </m:oMath>
      <w:r>
        <w:t xml:space="preserve"> </w:t>
      </w:r>
      <w:r>
        <w:t xml:space="preserve">= .010),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194) = 19.80,</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132) = 5.52,</w:t>
      </w:r>
      <w:r>
        <w:t xml:space="preserve"> </w:t>
      </w:r>
      <m:oMath>
        <m:r>
          <m:t>p</m:t>
        </m:r>
      </m:oMath>
      <w:r>
        <w:t xml:space="preserve"> </w:t>
      </w:r>
      <w:r>
        <w:t xml:space="preserve">= .005.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0.15, 95% CI [0.01, 0.30],</w:t>
      </w:r>
      <w:r>
        <w:t xml:space="preserve"> </w:t>
      </w:r>
      <m:oMath>
        <m:r>
          <m:t>p</m:t>
        </m:r>
      </m:oMath>
      <w:r>
        <w:t xml:space="preserve"> </w:t>
      </w:r>
      <w:r>
        <w:t xml:space="preserve">= .041). In other words, participants’ responses most strongly shift when researchers communicate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.435),</w:t>
      </w:r>
      <w:r>
        <w:t xml:space="preserve"> </w:t>
      </w:r>
      <m:oMath>
        <m:r>
          <m:t>F</m:t>
        </m:r>
      </m:oMath>
      <w:r>
        <w:t xml:space="preserve">(1, 194) = 1.66,</w:t>
      </w:r>
      <w:r>
        <w:t xml:space="preserve"> </w:t>
      </w:r>
      <m:oMath>
        <m:r>
          <m:t>p</m:t>
        </m:r>
      </m:oMath>
      <w:r>
        <w:t xml:space="preserve"> </w:t>
      </w:r>
      <w:r>
        <w:t xml:space="preserve">= .199 (Figure</w:t>
      </w:r>
      <w:r>
        <w:t xml:space="preserve"> </w:t>
      </w:r>
      <w:r>
        <w:t xml:space="preserve">3</w:t>
      </w:r>
      <w:r>
        <w:t xml:space="preserve">). The effects of demand characteristics tended to be larger in unpaid (</w:t>
      </w:r>
      <m:oMath>
        <m:r>
          <m:t>d</m:t>
        </m:r>
      </m:oMath>
      <w:r>
        <w:t xml:space="preserve"> </w:t>
      </w:r>
      <w:r>
        <w:t xml:space="preserve">= 0.22, 95% CI [0.10, 0.34],</w:t>
      </w:r>
      <w:r>
        <w:t xml:space="preserve"> </w:t>
      </w:r>
      <m:oMath>
        <m:r>
          <m:t>p</m:t>
        </m:r>
      </m:oMath>
      <w:r>
        <w:t xml:space="preserve"> </w:t>
      </w:r>
      <w:r>
        <w:t xml:space="preserve">&lt; .001) vs. paid (</w:t>
      </w:r>
      <m:oMath>
        <m:r>
          <m:t>d</m:t>
        </m:r>
      </m:oMath>
      <w:r>
        <w:t xml:space="preserve"> </w:t>
      </w:r>
      <w:r>
        <w:t xml:space="preserve">= 0.16, 95% CI [-0.02, 0.33],</w:t>
      </w:r>
      <w:r>
        <w:t xml:space="preserve"> </w:t>
      </w:r>
      <m:oMath>
        <m:r>
          <m:t>p</m:t>
        </m:r>
      </m:oMath>
      <w:r>
        <w:t xml:space="preserve"> </w:t>
      </w:r>
      <w:r>
        <w:t xml:space="preserve">= .085) studies – but this difference was not statistically significant,</w:t>
      </w:r>
      <w:r>
        <w:t xml:space="preserve"> </w:t>
      </w:r>
      <m:oMath>
        <m:r>
          <m:t>F</m:t>
        </m:r>
      </m:oMath>
      <w:r>
        <w:t xml:space="preserve">(1, 193) = 0.33,</w:t>
      </w:r>
      <w:r>
        <w:t xml:space="preserve"> </w:t>
      </w:r>
      <m:oMath>
        <m:r>
          <m:t>p</m:t>
        </m:r>
      </m:oMath>
      <w:r>
        <w:t xml:space="preserve"> </w:t>
      </w:r>
      <w:r>
        <w:t xml:space="preserve">= .565 (Figure</w:t>
      </w:r>
      <w:r>
        <w:t xml:space="preserve"> </w:t>
      </w:r>
      <w:r>
        <w:t xml:space="preserve">3</w:t>
      </w:r>
      <w:r>
        <w:t xml:space="preserve">).</w:t>
      </w:r>
    </w:p>
    <w:bookmarkEnd w:id="43"/>
    <w:bookmarkStart w:id="44" w:name="exploratory-robustness-checks"/>
    <w:p>
      <w:pPr>
        <w:pStyle w:val="berschrift3"/>
      </w:pPr>
      <w:r>
        <w:t xml:space="preserve">Exploratory robustness checks.</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Specifically, student samples were more common for (a) in-person (82%) vs. online (59%) studies, and (b) unpaid (83%) vs. paid (53%) studies.</w:t>
      </w:r>
    </w:p>
    <w:p>
      <w:pPr>
        <w:pStyle w:val="Textkrper"/>
      </w:pPr>
      <w:r>
        <w:t xml:space="preserve">As an exploratory robustness check, we fit a 3LMA with student status, data collection medium, and payment status simultaneously entered as effect-coded factors. Doing so allowed us to estimate the moderating effect of each factor while holding the effects of the other factors constant. This exploratory analysis estimated that student status (</w:t>
      </w:r>
      <w:r>
        <w:rPr>
          <w:iCs/>
          <w:i/>
        </w:rPr>
        <w:t xml:space="preserve">F</w:t>
      </w:r>
      <w:r>
        <w:t xml:space="preserve">(2, 176) = 3.02,</w:t>
      </w:r>
      <w:r>
        <w:t xml:space="preserve"> </w:t>
      </w:r>
      <w:r>
        <w:rPr>
          <w:iCs/>
          <w:i/>
        </w:rPr>
        <w:t xml:space="preserve">p</w:t>
      </w:r>
      <w:r>
        <w:t xml:space="preserve"> </w:t>
      </w:r>
      <w:r>
        <w:t xml:space="preserve">= .051) was a more robust moderator than data collection medium (</w:t>
      </w:r>
      <w:r>
        <w:rPr>
          <w:iCs/>
          <w:i/>
        </w:rPr>
        <w:t xml:space="preserve">F</w:t>
      </w:r>
      <w:r>
        <w:t xml:space="preserve">(1, 176) = 0.08,</w:t>
      </w:r>
      <w:r>
        <w:t xml:space="preserve"> </w:t>
      </w:r>
      <w:r>
        <w:rPr>
          <w:iCs/>
          <w:i/>
        </w:rPr>
        <w:t xml:space="preserve">p</w:t>
      </w:r>
      <w:r>
        <w:t xml:space="preserve"> </w:t>
      </w:r>
      <w:r>
        <w:t xml:space="preserve">= .783) and payment status (</w:t>
      </w:r>
      <w:r>
        <w:rPr>
          <w:iCs/>
          <w:i/>
        </w:rPr>
        <w:t xml:space="preserve">F</w:t>
      </w:r>
      <w:r>
        <w:t xml:space="preserve">(1, 176) = 1.37,</w:t>
      </w:r>
      <w:r>
        <w:t xml:space="preserve"> </w:t>
      </w:r>
      <w:r>
        <w:rPr>
          <w:iCs/>
          <w:i/>
        </w:rPr>
        <w:t xml:space="preserve">p</w:t>
      </w:r>
      <w:r>
        <w:t xml:space="preserve"> </w:t>
      </w:r>
      <w:r>
        <w:t xml:space="preserve">= .244), but none of the estimates were statistically significant. Thus, evidence regarding the effects of these study-level moderators is still inconclusive.</w:t>
      </w:r>
    </w:p>
    <w:bookmarkEnd w:id="44"/>
    <w:bookmarkStart w:id="48" w:name="X4d2f8228bdffda6a1bb824165ec8bac5cd8c7b9"/>
    <w:p>
      <w:pPr>
        <w:pStyle w:val="berschrift3"/>
      </w:pPr>
      <w:r>
        <w:t xml:space="preserve">Estimating demand effects in specific study contexts.</w:t>
      </w:r>
    </w:p>
    <w:p>
      <w:pPr>
        <w:pStyle w:val="CaptionedFigure"/>
      </w:pPr>
      <w:r>
        <w:drawing>
          <wp:inline>
            <wp:extent cx="5963478" cy="2752374"/>
            <wp:effectExtent b="0" l="0" r="0" t="0"/>
            <wp:docPr descr="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 title="" id="46" name="Picture"/>
            <a:graphic>
              <a:graphicData uri="http://schemas.openxmlformats.org/drawingml/2006/picture">
                <pic:pic>
                  <pic:nvPicPr>
                    <pic:cNvPr descr="metaware_manuscript_files/figure-docx/predplot-1.png" id="47" name="Picture"/>
                    <pic:cNvPicPr>
                      <a:picLocks noChangeArrowheads="1" noChangeAspect="1"/>
                    </pic:cNvPicPr>
                  </pic:nvPicPr>
                  <pic:blipFill>
                    <a:blip r:embed="rId45"/>
                    <a:stretch>
                      <a:fillRect/>
                    </a:stretch>
                  </pic:blipFill>
                  <pic:spPr bwMode="auto">
                    <a:xfrm>
                      <a:off x="0" y="0"/>
                      <a:ext cx="5963478" cy="2752374"/>
                    </a:xfrm>
                    <a:prstGeom prst="rect">
                      <a:avLst/>
                    </a:prstGeom>
                    <a:noFill/>
                    <a:ln w="9525">
                      <a:noFill/>
                      <a:headEnd/>
                      <a:tailEnd/>
                    </a:ln>
                  </pic:spPr>
                </pic:pic>
              </a:graphicData>
            </a:graphic>
          </wp:inline>
        </w:drawing>
      </w:r>
    </w:p>
    <w:p>
      <w:pPr>
        <w:pStyle w:val="ImageCaption"/>
      </w:pPr>
      <w:r>
        <w:t xml:space="preserve">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produce, on average, a small increase in hypothesis-consistent responding,</w:t>
      </w:r>
      <w:r>
        <w:t xml:space="preserve"> </w:t>
      </w:r>
      <m:oMath>
        <m:r>
          <m:t>d</m:t>
        </m:r>
      </m:oMath>
      <w:r>
        <w:t xml:space="preserve"> </w:t>
      </w:r>
      <w:r>
        <w:t xml:space="preserve">= 0.19, 95% CI [0.05, 0.33,</w:t>
      </w:r>
      <w:r>
        <w:t xml:space="preserve"> </w:t>
      </w:r>
      <m:oMath>
        <m:r>
          <m:t>p</m:t>
        </m:r>
      </m:oMath>
      <w:r>
        <w:t xml:space="preserve"> </w:t>
      </w:r>
      <w:r>
        <w:t xml:space="preserve">= .008]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test for a positive effect. Here, we did not find that demand characteristics, on average, produce changes in participants’ responses,</w:t>
      </w:r>
      <w:r>
        <w:t xml:space="preserve"> </w:t>
      </w:r>
      <m:oMath>
        <m:r>
          <m:t>d</m:t>
        </m:r>
      </m:oMath>
      <w:r>
        <w:t xml:space="preserve"> </w:t>
      </w:r>
      <w:r>
        <w:t xml:space="preserve">= 0.03, 95% CI [-0.14, 0.20],</w:t>
      </w:r>
      <w:r>
        <w:t xml:space="preserve"> </w:t>
      </w:r>
      <m:oMath>
        <m:r>
          <m:t>p</m:t>
        </m:r>
      </m:oMath>
      <w:r>
        <w:t xml:space="preserve"> </w:t>
      </w:r>
      <w:r>
        <w:t xml:space="preserve">= 0.71 (Figure</w:t>
      </w:r>
      <w:r>
        <w:t xml:space="preserve"> </w:t>
      </w:r>
      <w:r>
        <w:t xml:space="preserve">4</w:t>
      </w:r>
      <w:r>
        <w:t xml:space="preserve">).</w:t>
      </w:r>
    </w:p>
    <w:bookmarkEnd w:id="48"/>
    <w:bookmarkStart w:id="52"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indicated that publication bias favored instances where participants’ responses shifted in a hypothesis-consistent manner. However, a funnel plot where non-independent effect sizes were aggregated indicated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yielded a non-significant estimate of publication bias that favored hypothesis-consistent shifts in participants’ responses,</w:t>
      </w:r>
      <w:r>
        <w:t xml:space="preserve"> </w:t>
      </w:r>
      <m:oMath>
        <m:r>
          <m:t>β</m:t>
        </m:r>
      </m:oMath>
      <w:r>
        <w:t xml:space="preserve"> </w:t>
      </w:r>
      <w:r>
        <w:t xml:space="preserve">= 0.53, 95% CI [-0.20, 1.26],</w:t>
      </w:r>
      <w:r>
        <w:t xml:space="preserve"> </w:t>
      </w:r>
      <m:oMath>
        <m:r>
          <m:t>p</m:t>
        </m:r>
      </m:oMath>
      <w:r>
        <w:t xml:space="preserve"> </w:t>
      </w:r>
      <w:r>
        <w:t xml:space="preserve">= .153. The bias-corrected overall effect size estimate did not significantly differ from zero,</w:t>
      </w:r>
      <w:r>
        <w:t xml:space="preserve"> </w:t>
      </w:r>
      <m:oMath>
        <m:r>
          <m:t>d</m:t>
        </m:r>
      </m:oMath>
      <w:r>
        <w:t xml:space="preserve"> </w:t>
      </w:r>
      <w:r>
        <w:t xml:space="preserve">= 0.09, 95% CI [-0.12, 0.30],</w:t>
      </w:r>
      <w:r>
        <w:t xml:space="preserve"> </w:t>
      </w:r>
      <m:oMath>
        <m:r>
          <m:t>p</m:t>
        </m:r>
      </m:oMath>
      <w:r>
        <w:t xml:space="preserve"> </w:t>
      </w:r>
      <w:r>
        <w:t xml:space="preserve">= .385.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-0.35, 95% CI [-1.39, 0.69],</w:t>
      </w:r>
      <w:r>
        <w:t xml:space="preserve"> </w:t>
      </w:r>
      <m:oMath>
        <m:r>
          <m:t>p</m:t>
        </m:r>
      </m:oMath>
      <w:r>
        <w:t xml:space="preserve"> </w:t>
      </w:r>
      <w:r>
        <w:t xml:space="preserve">= .506. The bias-corrected overall effect size estimate was thus slightly adjusted upward,</w:t>
      </w:r>
      <w:r>
        <w:t xml:space="preserve"> </w:t>
      </w:r>
      <m:oMath>
        <m:r>
          <m:t>d</m:t>
        </m:r>
      </m:oMath>
      <w:r>
        <w:t xml:space="preserve"> </w:t>
      </w:r>
      <w:r>
        <w:t xml:space="preserve">= 0.23, 95% CI [0.02, 0.45],</w:t>
      </w:r>
      <w:r>
        <w:t xml:space="preserve"> </w:t>
      </w:r>
      <m:oMath>
        <m:r>
          <m:t>p</m:t>
        </m:r>
      </m:oMath>
      <w:r>
        <w:t xml:space="preserve"> </w:t>
      </w:r>
      <w:r>
        <w:t xml:space="preserve">= .035. In other words, depending on how dependencies were handled, precision-effect tests yielded opposite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.051) and published (</w:t>
      </w:r>
      <m:oMath>
        <m:r>
          <m:t>d</m:t>
        </m:r>
      </m:oMath>
      <w:r>
        <w:t xml:space="preserve"> </w:t>
      </w:r>
      <w:r>
        <w:t xml:space="preserve">= 0.21, 95% CI [0.09, 0.32],</w:t>
      </w:r>
      <w:r>
        <w:t xml:space="preserve"> </w:t>
      </w:r>
      <m:oMath>
        <m:r>
          <m:t>p</m:t>
        </m:r>
      </m:oMath>
      <w:r>
        <w:t xml:space="preserve"> </w:t>
      </w:r>
      <w:r>
        <w:t xml:space="preserve">= .001) studies yielded a similar pattern, although the difference was not significant,</w:t>
      </w:r>
      <w:r>
        <w:t xml:space="preserve"> </w:t>
      </w:r>
      <m:oMath>
        <m:r>
          <m:t>F</m:t>
        </m:r>
      </m:oMath>
      <w:r>
        <w:t xml:space="preserve">(1, 194) = 1.08,</w:t>
      </w:r>
      <w:r>
        <w:t xml:space="preserve"> </w:t>
      </w:r>
      <m:oMath>
        <m:r>
          <m:t>p</m:t>
        </m:r>
      </m:oMath>
      <w:r>
        <w:t xml:space="preserve"> </w:t>
      </w:r>
      <w:r>
        <w:t xml:space="preserve">= .299.</w:t>
      </w:r>
    </w:p>
    <w:p>
      <w:pPr>
        <w:pStyle w:val="CaptionedFigure"/>
      </w:pPr>
      <w:r>
        <w:drawing>
          <wp:inline>
            <wp:extent cx="5963478" cy="3440468"/>
            <wp:effectExtent b="0" l="0" r="0" t="0"/>
            <wp:docPr descr="Figure 5.  Raw (Panel A) or aggregated (Panel B) effect sizes plotted against their corresponding standard errors." title="" id="50" name="Picture"/>
            <a:graphic>
              <a:graphicData uri="http://schemas.openxmlformats.org/drawingml/2006/picture">
                <pic:pic>
                  <pic:nvPicPr>
                    <pic:cNvPr descr="metaware_manuscript_files/figure-docx/funnel-1.png" id="51" name="Picture"/>
                    <pic:cNvPicPr>
                      <a:picLocks noChangeArrowheads="1" noChangeAspect="1"/>
                    </pic:cNvPicPr>
                  </pic:nvPicPr>
                  <pic:blipFill>
                    <a:blip r:embed="rId49"/>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t xml:space="preserve">Figure 5: Raw (Panel A) or aggregated (Panel B) effect sizes plotted against their corresponding standard errors.</w:t>
      </w:r>
    </w:p>
    <w:bookmarkEnd w:id="52"/>
    <w:bookmarkEnd w:id="53"/>
    <w:bookmarkStart w:id="54"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high levels of heterogeneity were observed. As an illustration, we estimated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were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Of the three, sampling student populations appeared to be the most strongest moderator – but the estimated effects of all three were no longer significant in a more complex model that attempted to isolate their unique effects.</w:t>
      </w:r>
    </w:p>
    <w:p>
      <w:pPr>
        <w:pStyle w:val="Textkrper"/>
      </w:pPr>
      <w:r>
        <w:t xml:space="preserve">More practically,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4"/>
    <w:bookmarkEnd w:id="55"/>
    <w:bookmarkStart w:id="73" w:name="study-2"/>
    <w:p>
      <w:pPr>
        <w:pStyle w:val="berschrift1"/>
      </w:pPr>
      <w:r>
        <w:t xml:space="preserve">Study 2</w:t>
      </w:r>
    </w:p>
    <w:p>
      <w:pPr>
        <w:pStyle w:val="FirstParagraph"/>
      </w:pPr>
      <w:r>
        <w:t xml:space="preserve">Study 2 was designed to examine whether observed variability in effect sizes can be explained by factors theorized to underlie response biases (i.e., motivation and opportunity to adjust responses) and placebo effects (i.e., expectations about the hypothesized effect;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bookmarkStart w:id="66" w:name="methodology-1"/>
    <w:p>
      <w:pPr>
        <w:pStyle w:val="berschrift2"/>
      </w:pPr>
      <w:r>
        <w:t xml:space="preserve">Methodology</w:t>
      </w:r>
    </w:p>
    <w:p>
      <w:pPr>
        <w:pStyle w:val="FirstParagraph"/>
      </w:pPr>
      <w:r>
        <w:t xml:space="preserve">For each study in the meta-analysis</w:t>
      </w:r>
      <w:r>
        <w:rPr>
          <w:rStyle w:val="Funotenzeichen"/>
        </w:rPr>
        <w:footnoteReference w:id="56"/>
      </w:r>
      <w:r>
        <w:t xml:space="preserve">,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58" name="Picture"/>
            <a:graphic>
              <a:graphicData uri="http://schemas.openxmlformats.org/drawingml/2006/picture">
                <pic:pic>
                  <pic:nvPicPr>
                    <pic:cNvPr descr="images/metaware_vigs.png" id="59" name="Picture"/>
                    <pic:cNvPicPr>
                      <a:picLocks noChangeArrowheads="1" noChangeAspect="1"/>
                    </pic:cNvPicPr>
                  </pic:nvPicPr>
                  <pic:blipFill>
                    <a:blip r:embed="rId57"/>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t xml:space="preserve">Figure 6: 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 selected vignettes in exchange for course credit (49% female; 35% male, 14% did not report gender; 2% transgender or gender non-conforming). 32% of participants reported they were White/Caucasian, 28% Asian, 8% Black/African American, and 7% Native Hawaiian or Other Pacific Islander. 11% of participants indicated that their ethnicity could not be described by any single provided category, and 14%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stated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expect the hypothesized effect to occur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bookmarkStart w:id="63"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Panel A, Column 2). Summing motivation scores allowed us to accommodate this possibility, and we used the same approach for belief (Figure</w:t>
      </w:r>
      <w:r>
        <w:t xml:space="preserve"> </w:t>
      </w:r>
      <w:r>
        <w:t xml:space="preserve">7</w:t>
      </w:r>
      <w:r>
        <w:t xml:space="preserve">, Panel B) and opportunity ratings (Figure</w:t>
      </w:r>
      <w:r>
        <w:t xml:space="preserve"> </w:t>
      </w:r>
      <w:r>
        <w:t xml:space="preserve">7</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p>
      <w:pPr>
        <w:pStyle w:val="CaptionedFigure"/>
      </w:pPr>
      <w:r>
        <w:drawing>
          <wp:inline>
            <wp:extent cx="5518484" cy="4665960"/>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1" name="Picture"/>
            <a:graphic>
              <a:graphicData uri="http://schemas.openxmlformats.org/drawingml/2006/picture">
                <pic:pic>
                  <pic:nvPicPr>
                    <pic:cNvPr descr="images/metaware_mods.png" id="62" name="Picture"/>
                    <pic:cNvPicPr>
                      <a:picLocks noChangeArrowheads="1" noChangeAspect="1"/>
                    </pic:cNvPicPr>
                  </pic:nvPicPr>
                  <pic:blipFill>
                    <a:blip r:embed="rId60"/>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t xml:space="preserve">Figure 7: 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Panel A), belief in the stated hypothesis (</w:t>
      </w:r>
      <w:r>
        <w:rPr>
          <w:iCs/>
          <w:i/>
        </w:rPr>
        <w:t xml:space="preserve">b</w:t>
      </w:r>
      <w:r>
        <w:t xml:space="preserve">, Panel B), and opportunity to adjust responses (</w:t>
      </w:r>
      <w:r>
        <w:rPr>
          <w:iCs/>
          <w:i/>
        </w:rPr>
        <w:t xml:space="preserve">o</w:t>
      </w:r>
      <w:r>
        <w:t xml:space="preserve">, Panel C). In each panel, separate examples are provided for scenarios where motivation is invariant (Column 1) and variant (Column 2) across demand characteristic manipulations.</w:t>
      </w:r>
    </w:p>
    <w:bookmarkEnd w:id="63"/>
    <w:bookmarkStart w:id="64"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4"/>
    <w:bookmarkStart w:id="65"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65"/>
    <w:bookmarkEnd w:id="66"/>
    <w:bookmarkStart w:id="71" w:name="results-1"/>
    <w:p>
      <w:pPr>
        <w:pStyle w:val="berschrift2"/>
      </w:pPr>
      <w:r>
        <w:t xml:space="preserve">Results</w:t>
      </w:r>
    </w:p>
    <w:p>
      <w:pPr>
        <w:pStyle w:val="CaptionedFigure"/>
      </w:pPr>
      <w:r>
        <w:drawing>
          <wp:inline>
            <wp:extent cx="5963478" cy="4128561"/>
            <wp:effectExtent b="0" l="0" r="0" t="0"/>
            <wp:docPr descr="Figure 8.  Scatterplots of relationships between the observed effects of demand characteristics (y-axis) and motivation (Panel A), opportunity (Panel B), belief (Panel C), and prediction (Panel D) ratings (x-axis). Grey dots represent jittered observations, black lines represent estimated linear relationships, and blue ribbons represent 95% confidence intervals for estimated linear relationships." title="" id="68" name="Picture"/>
            <a:graphic>
              <a:graphicData uri="http://schemas.openxmlformats.org/drawingml/2006/picture">
                <pic:pic>
                  <pic:nvPicPr>
                    <pic:cNvPr descr="metaware_manuscript_files/figure-docx/modfig-1.png" id="69" name="Picture"/>
                    <pic:cNvPicPr>
                      <a:picLocks noChangeArrowheads="1" noChangeAspect="1"/>
                    </pic:cNvPicPr>
                  </pic:nvPicPr>
                  <pic:blipFill>
                    <a:blip r:embed="rId67"/>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t xml:space="preserve">Figure 8: Scatterplots of relationships between the observed effects of demand characteristics (y-axis) and motivation (Panel A), opportunity (Panel B), belief (Panel C), and prediction (Panel D) ratings (x-axis). Grey dots represent jittered observations, black lines represent estimated linear relationships, and blue ribbons represent 95% confidence intervals for estimated linear relationships.</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[-0.08, 0.14],</w:t>
      </w:r>
      <w:r>
        <w:t xml:space="preserve"> </w:t>
      </w:r>
      <m:oMath>
        <m:r>
          <m:t>t</m:t>
        </m:r>
      </m:oMath>
      <w:r>
        <w:t xml:space="preserve">(151) = 0.54,</w:t>
      </w:r>
      <w:r>
        <w:t xml:space="preserve"> </w:t>
      </w:r>
      <m:oMath>
        <m:r>
          <m:t>p</m:t>
        </m:r>
      </m:oMath>
      <w:r>
        <w:t xml:space="preserve"> </w:t>
      </w:r>
      <w:r>
        <w:t xml:space="preserve">= .589, or opportunity to adjust responses,</w:t>
      </w:r>
      <w:r>
        <w:t xml:space="preserve"> </w:t>
      </w:r>
      <m:oMath>
        <m:r>
          <m:t>β</m:t>
        </m:r>
      </m:oMath>
      <w:r>
        <w:t xml:space="preserve"> </w:t>
      </w:r>
      <w:r>
        <w:t xml:space="preserve">= 0.02, 95% CI [-0.04, 0.09],</w:t>
      </w:r>
      <w:r>
        <w:t xml:space="preserve"> </w:t>
      </w:r>
      <m:oMath>
        <m:r>
          <m:t>t</m:t>
        </m:r>
      </m:oMath>
      <w:r>
        <w:t xml:space="preserve">(151) = 0.76,</w:t>
      </w:r>
      <w:r>
        <w:t xml:space="preserve"> </w:t>
      </w:r>
      <m:oMath>
        <m:r>
          <m:t>p</m:t>
        </m:r>
      </m:oMath>
      <w:r>
        <w:t xml:space="preserve"> </w:t>
      </w:r>
      <w:r>
        <w:t xml:space="preserve">= .451 (Figure</w:t>
      </w:r>
      <w:r>
        <w:t xml:space="preserve"> </w:t>
      </w:r>
      <w:r>
        <w:t xml:space="preserve">8</w:t>
      </w:r>
      <w:r>
        <w:t xml:space="preserve">, Panels A and B).</w:t>
      </w:r>
    </w:p>
    <w:p>
      <w:pPr>
        <w:pStyle w:val="Textkrper"/>
      </w:pPr>
      <w:r>
        <w:t xml:space="preserve">If demand effects are driven by placebo, their effects should be moderated by the extent to which participants expect the hypothesized effect to occur. Consistent with this view, demand characteristic effects were positively associated with expectations about whether the hypothesized effect will occur,</w:t>
      </w:r>
      <w:r>
        <w:t xml:space="preserve"> </w:t>
      </w:r>
      <m:oMath>
        <m:r>
          <m:t>β</m:t>
        </m:r>
      </m:oMath>
      <w:r>
        <w:t xml:space="preserve"> </w:t>
      </w:r>
      <w:r>
        <w:t xml:space="preserve">= 0.12, 95% CI [0.03, 0.21],</w:t>
      </w:r>
      <w:r>
        <w:t xml:space="preserve"> </w:t>
      </w:r>
      <m:oMath>
        <m:r>
          <m:t>t</m:t>
        </m:r>
      </m:oMath>
      <w:r>
        <w:t xml:space="preserve">(151) = 2.52,</w:t>
      </w:r>
      <w:r>
        <w:t xml:space="preserve"> </w:t>
      </w:r>
      <m:oMath>
        <m:r>
          <m:t>p</m:t>
        </m:r>
      </m:oMath>
      <w:r>
        <w:t xml:space="preserve"> </w:t>
      </w:r>
      <w:r>
        <w:t xml:space="preserve">= .013 (Figure</w:t>
      </w:r>
      <w:r>
        <w:t xml:space="preserve"> </w:t>
      </w:r>
      <w:r>
        <w:t xml:space="preserve">8</w:t>
      </w:r>
      <w:r>
        <w:t xml:space="preserve">, Panel C). Last, we did not find that raters’ predictions were significantly associated with observed demand effects,</w:t>
      </w:r>
      <w:r>
        <w:t xml:space="preserve"> </w:t>
      </w:r>
      <m:oMath>
        <m:r>
          <m:t>β</m:t>
        </m:r>
      </m:oMath>
      <w:r>
        <w:t xml:space="preserve"> </w:t>
      </w:r>
      <w:r>
        <w:t xml:space="preserve">= 0.08, 95% CI [-0.02, 0.18],</w:t>
      </w:r>
      <w:r>
        <w:t xml:space="preserve"> </w:t>
      </w:r>
      <m:oMath>
        <m:r>
          <m:t>t</m:t>
        </m:r>
      </m:oMath>
      <w:r>
        <w:t xml:space="preserve">(151) = 1.54,</w:t>
      </w:r>
      <w:r>
        <w:t xml:space="preserve"> </w:t>
      </w:r>
      <m:oMath>
        <m:r>
          <m:t>p</m:t>
        </m:r>
      </m:oMath>
      <w:r>
        <w:t xml:space="preserve"> </w:t>
      </w:r>
      <w:r>
        <w:t xml:space="preserve">= .125 (Figure</w:t>
      </w:r>
      <w:r>
        <w:t xml:space="preserve"> </w:t>
      </w:r>
      <w:r>
        <w:t xml:space="preserve">8</w:t>
      </w:r>
      <w:r>
        <w:t xml:space="preserve">, Panel D).</w:t>
      </w:r>
    </w:p>
    <w:bookmarkStart w:id="70" w:name="residual-variability"/>
    <w:p>
      <w:pPr>
        <w:pStyle w:val="berschrift3"/>
      </w:pPr>
      <w:r>
        <w:t xml:space="preserve">Residual variability.</w:t>
      </w:r>
    </w:p>
    <w:p>
      <w:pPr>
        <w:pStyle w:val="FirstParagraph"/>
      </w:pPr>
      <w:r>
        <w:t xml:space="preserve">To evaluate how much variability in demand effects is currently accounted for by the moderators examined in Studies 1 and 2,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3LMA models: one that contained only an intercept and the other that contained student status, payment status, mode of data collection, type of demand manipulation, motivation, opportunity, and expectations as predictors. These results indicated that these moderators accounted for 34.99% of the observed variability in demand effects.</w:t>
      </w:r>
    </w:p>
    <w:bookmarkEnd w:id="70"/>
    <w:bookmarkEnd w:id="71"/>
    <w:bookmarkStart w:id="72" w:name="discussion-1"/>
    <w:p>
      <w:pPr>
        <w:pStyle w:val="berschrift2"/>
      </w:pPr>
      <w:r>
        <w:t xml:space="preserve">Discussion</w:t>
      </w:r>
    </w:p>
    <w:p>
      <w:pPr>
        <w:pStyle w:val="FirstParagraph"/>
      </w:pPr>
      <w:r>
        <w:t xml:space="preserve">Contrary to many conceptualizations of the impact of demand characteristics</w:t>
      </w:r>
      <w:r>
        <w:t xml:space="preserve"> </w:t>
      </w:r>
      <w:r>
        <w:t xml:space="preserve">(Coles, Gaertner, et al., 2022; e.g., Rosnow &amp; Rosenthal, 1997)</w:t>
      </w:r>
      <w:r>
        <w:t xml:space="preserve">, we did not find evidence of two moderators theorized to underlie a response bias mechanism: motivation and opportunity to adjust responses. We did, however, find evidence that such effects are moderated by participants’ expectations about the hypothesized effect. Given that demand effects appear to depend in part on the extent to which participants believe the hypothesized effect will occur, these results provide preliminary evidence of a placebo-based mechanism.</w:t>
      </w:r>
    </w:p>
    <w:p>
      <w:pPr>
        <w:pStyle w:val="Textkrper"/>
      </w:pPr>
      <w:r>
        <w:t xml:space="preserve">In the current study, we estimated motivation, opportunity, and expectation scores using a naïve set of raters. This strategy was necessary because researchers have rarely measured these proposed moderators. However, the approach has several limitations. First, raters may not have had enough information to make an accurate estimate of these factors.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be representative of the people sampled in previous research</w:t>
      </w:r>
      <w:r>
        <w:t xml:space="preserve"> </w:t>
      </w:r>
      <w:r>
        <w:t xml:space="preserve">(Gergen, 1973)</w:t>
      </w:r>
      <w:r>
        <w:t xml:space="preserve">. To test this idea, we re-ran our motivation, opportunity, and belief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 two aforementioned limitations via a different strategy, we re-examined the mechanisms underlying demand effects in a small exploratory replication of an experiment in the meta-analysis.</w:t>
      </w:r>
    </w:p>
    <w:bookmarkEnd w:id="72"/>
    <w:bookmarkEnd w:id="73"/>
    <w:bookmarkStart w:id="77"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were randomized.</w:t>
      </w:r>
    </w:p>
    <w:bookmarkStart w:id="75"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74"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w:t>
        </w:r>
      </w:hyperlink>
      <w:r>
        <w:t xml:space="preserve">. Sample size was based on availability of resources (i.e., we collected as much data as possible in a single semester). Because the study was exploratory, there was no pre-registration.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74"/>
    <w:bookmarkEnd w:id="75"/>
    <w:bookmarkStart w:id="76"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 95% CI [0.60, 0.82],</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95% CI [0.75, 1.04]) vs. nil (</w:t>
      </w:r>
      <w:r>
        <w:rPr>
          <w:iCs/>
          <w:i/>
        </w:rPr>
        <w:t xml:space="preserve">M</w:t>
      </w:r>
      <w:r>
        <w:rPr>
          <w:vertAlign w:val="subscript"/>
          <w:iCs/>
          <w:i/>
        </w:rPr>
        <w:t xml:space="preserve">diff</w:t>
      </w:r>
      <w:r>
        <w:t xml:space="preserve"> </w:t>
      </w:r>
      <w:r>
        <w:t xml:space="preserve">= 0.52, 95% CI [0.36, 0.68])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expectations.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95% CI [0.00, 0.09]. However, the estimated moderating relationship was not statistically significant,</w:t>
      </w:r>
      <w:r>
        <w:t xml:space="preserve"> </w:t>
      </w:r>
      <w:r>
        <w:rPr>
          <w:iCs/>
          <w:i/>
        </w:rPr>
        <w:t xml:space="preserve">t</w:t>
      </w:r>
      <w:r>
        <w:t xml:space="preserve">(472.40) = 1.86,</w:t>
      </w:r>
      <w:r>
        <w:t xml:space="preserve"> </w:t>
      </w:r>
      <w:r>
        <w:rPr>
          <w:iCs/>
          <w:i/>
        </w:rPr>
        <w:t xml:space="preserve">p</w:t>
      </w:r>
      <w:r>
        <w:t xml:space="preserve"> </w:t>
      </w:r>
      <w:r>
        <w:t xml:space="preserve">= .063, and was less robust when including participants who did not correctly identify the communicated hypothesis,</w:t>
      </w:r>
      <w:r>
        <w:t xml:space="preserve"> </w:t>
      </w:r>
      <m:oMath>
        <m:r>
          <m:t>β</m:t>
        </m:r>
      </m:oMath>
      <w:r>
        <w:t xml:space="preserve"> </w:t>
      </w:r>
      <w:r>
        <w:t xml:space="preserve">= 0.03, 95% CI [-0.01, 0.07],</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 95% CI [-0.02, 0.08],</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 95% CI[0.01, 0.08],</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evidence that participants’ expectations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To test this, we fit separate mixed-effect regressions containing (a) facial pose and demand characteristics as effect-coded factors, (b) the potential moderator entered mean-centered as a continuous variable, (c) all higher-order interactions, and (d) random intercepts for participants.</w:t>
      </w:r>
    </w:p>
    <w:p>
      <w:pPr>
        <w:pStyle w:val="Textkrper"/>
      </w:pPr>
      <w:r>
        <w:t xml:space="preserve">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 95% CI [-0.02, 0.08],</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 95% CI [-0.05, 0.05],</w:t>
      </w:r>
      <w:r>
        <w:t xml:space="preserve"> </w:t>
      </w:r>
      <w:r>
        <w:rPr>
          <w:iCs/>
          <w:i/>
        </w:rPr>
        <w:t xml:space="preserve">t</w:t>
      </w:r>
      <w:r>
        <w:t xml:space="preserve">(471.16) = -0.18,</w:t>
      </w:r>
      <w:r>
        <w:t xml:space="preserve"> </w:t>
      </w:r>
      <w:r>
        <w:rPr>
          <w:iCs/>
          <w:i/>
        </w:rPr>
        <w:t xml:space="preserve">p</w:t>
      </w:r>
      <w:r>
        <w:t xml:space="preserve"> </w:t>
      </w:r>
      <w:r>
        <w:t xml:space="preserve">= .854. We did, however, find evidence of a three-way interaction involving expectations about facial feedback effects. Specifically, the interaction between facial poses and demand characteristics (</w:t>
      </w:r>
      <m:oMath>
        <m:r>
          <m:t>β</m:t>
        </m:r>
      </m:oMath>
      <w:r>
        <w:t xml:space="preserve"> </w:t>
      </w:r>
      <w:r>
        <w:t xml:space="preserve">= 0.08, 95% CI[0.02, 0.13],</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who expected facial feedback effects to occur,</w:t>
      </w:r>
      <w:r>
        <w:t xml:space="preserve"> </w:t>
      </w:r>
      <m:oMath>
        <m:r>
          <m:t>β</m:t>
        </m:r>
      </m:oMath>
      <w:r>
        <w:t xml:space="preserve"> </w:t>
      </w:r>
      <w:r>
        <w:t xml:space="preserve">= 0.06, 95% CI [0.03, 0.10],</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expectations about the communicated hypothesis.</w:t>
      </w:r>
    </w:p>
    <w:bookmarkEnd w:id="76"/>
    <w:bookmarkEnd w:id="77"/>
    <w:bookmarkStart w:id="78" w:name="general-discussion"/>
    <w:p>
      <w:pPr>
        <w:pStyle w:val="berschrift1"/>
      </w:pPr>
      <w:r>
        <w:t xml:space="preserve">General Discussion</w:t>
      </w:r>
    </w:p>
    <w:p>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This heterogeneity led us to estimate the</w:t>
      </w:r>
      <w:r>
        <w:t xml:space="preserve"> </w:t>
      </w:r>
      <w:r>
        <w:rPr>
          <w:iCs/>
          <w:i/>
        </w:rPr>
        <w:t xml:space="preserve">distribution</w:t>
      </w:r>
      <w:r>
        <w:t xml:space="preserve"> </w:t>
      </w:r>
      <w:r>
        <w:t xml:space="preserve">of demand effects. This distribution suggests that approximately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estimated distribution of demand effects ranges from approximately</w:t>
      </w:r>
      <w:r>
        <w:t xml:space="preserve"> </w:t>
      </w:r>
      <m:oMath>
        <m:r>
          <m:t>d</m:t>
        </m:r>
      </m:oMath>
      <w:r>
        <w:t xml:space="preserve"> </w:t>
      </w:r>
      <w:r>
        <w:t xml:space="preserve">= -1.44 to</w:t>
      </w:r>
      <w:r>
        <w:t xml:space="preserve"> </w:t>
      </w:r>
      <m:oMath>
        <m:r>
          <m:t>d</m:t>
        </m:r>
      </m:oMath>
      <w:r>
        <w:t xml:space="preserve"> </w:t>
      </w:r>
      <w:r>
        <w:t xml:space="preserve">= 1.98. This distribution is remarkably similar to the distribution of theory-relevant effects in experimental psychology</w:t>
      </w:r>
      <w:r>
        <w:t xml:space="preserve"> </w:t>
      </w:r>
      <w:r>
        <w:t xml:space="preserve">(Lovakov &amp; Agadullina, 2021)</w:t>
      </w:r>
      <w:r>
        <w:t xml:space="preserve">. Thus, to distinguish theory-relevant effects from artifactual demand effects, it is essential that experimental psychologists better understand the latter.</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explained.</w:t>
      </w:r>
    </w:p>
    <w:p>
      <w:pPr>
        <w:pStyle w:val="Textkrper"/>
      </w:pPr>
      <w:r>
        <w:t xml:space="preserve">Although response bias is an oft-discussed mechanism in the demand characteristics literature</w:t>
      </w:r>
      <w:r>
        <w:t xml:space="preserve"> </w:t>
      </w:r>
      <w:r>
        <w:t xml:space="preserve">(Coles, Gaertner, et al., 2022; Cook et al., 1970; Orne, 1962; Riecken, 1962; Rosenberg, 1969; Rosnow &amp; Rosenthal, 1997; Sigall et al., 1970)</w:t>
      </w:r>
      <w:r>
        <w:t xml:space="preserve">, we found little support for this view.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p>
    <w:p>
      <w:pPr>
        <w:pStyle w:val="Textkrper"/>
      </w:pPr>
      <w:r>
        <w:t xml:space="preserve">Consistent with a framework recently discussed by</w:t>
      </w:r>
      <w:r>
        <w:t xml:space="preserve"> </w:t>
      </w:r>
      <w:r>
        <w:t xml:space="preserve">Coles, Gaertner, et al. (2022)</w:t>
      </w:r>
      <w:r>
        <w:t xml:space="preserve">, our results consistently indicated that participants’ expectations about hypothesized effects partially drive demand effects. This may occur because demand characteristics activate pre-existing beliefs about a phenomenon being investigated. It is also possible that demand characteristics cause participants to update or form new expectations. If true, research on how beliefs are formed, updated, and impact participant responses may help explain the heterogeneous effects of demand characteristic manipulations. For example, if expectations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expectations.</w:t>
      </w:r>
    </w:p>
    <w:p>
      <w:pPr>
        <w:pStyle w:val="Textkrper"/>
      </w:pPr>
      <w:r>
        <w:t xml:space="preserve">Placebo effects can certainly be reduced – but it is not clear if they can be fully avoided. Indeed, participants possess a rich array of pre-existing expectations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of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many psychologists study</w:t>
      </w:r>
      <w:r>
        <w:t xml:space="preserve"> </w:t>
      </w:r>
      <w:r>
        <w:t xml:space="preserve">(Lovakov &amp; Agadullina, 2021)</w:t>
      </w:r>
      <w:r>
        <w:t xml:space="preserve">. These demand effects appear to be most robustly driven by participant expectations about the hypothesized effects (i.e., placebo effects). Even when specific demand characteristics are eliminated, participants have expectations about the phenomena we study – and these expectations may be naturalistically confounded with the theory-relevant mechanisms we wish to study. Thus, if (a) demand characteristics are present or (b) participants are likely to have pre-existing expectations about the phenomenon being studied, researchers should be wary of concluding that an observed effect is not compromised by methodological artifact</w:t>
      </w:r>
      <w:r>
        <w:t xml:space="preserve"> </w:t>
      </w:r>
      <w:r>
        <w:t xml:space="preserve">(Boot, Simons, Stothart, &amp; Stutts, 2013)</w:t>
      </w:r>
      <w:r>
        <w:t xml:space="preserve">. To make conclusions about theory-relevant mechanisms, demand characteristics must be eliminated, expectations must be controlled, and direct evidence for mechanisms must be provided.</w:t>
      </w:r>
    </w:p>
    <w:bookmarkEnd w:id="78"/>
    <w:bookmarkStart w:id="131" w:name="references"/>
    <w:p>
      <w:pPr>
        <w:pStyle w:val="berschrift1"/>
      </w:pPr>
      <w:r>
        <w:t xml:space="preserve">References</w:t>
      </w:r>
    </w:p>
    <w:bookmarkStart w:id="130" w:name="refs"/>
    <w:bookmarkStart w:id="79"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9"/>
    <w:bookmarkStart w:id="81"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80">
        <w:r>
          <w:rPr>
            <w:rStyle w:val="Hyperlink"/>
          </w:rPr>
          <w:t xml:space="preserve">https://doi.org/10.18637/jss.v067.i01</w:t>
        </w:r>
      </w:hyperlink>
    </w:p>
    <w:bookmarkEnd w:id="81"/>
    <w:bookmarkStart w:id="82" w:name="ref-boot2013pervasive"/>
    <w:p>
      <w:pPr>
        <w:pStyle w:val="Literaturverzeichnis"/>
      </w:pPr>
      <w:r>
        <w:t xml:space="preserve">Boot, W. R., Simons, D. J., Stothart, C., &amp; Stutts, C. (2013). The pervasive problem with placebos in psychology: Why active control groups are not sufficient to rule out placebo effects.</w:t>
      </w:r>
      <w:r>
        <w:t xml:space="preserve"> </w:t>
      </w:r>
      <w:r>
        <w:rPr>
          <w:iCs/>
          <w:i/>
        </w:rPr>
        <w:t xml:space="preserve">Perspectives on Psychological Science</w:t>
      </w:r>
      <w:r>
        <w:t xml:space="preserve">,</w:t>
      </w:r>
      <w:r>
        <w:t xml:space="preserve"> </w:t>
      </w:r>
      <w:r>
        <w:rPr>
          <w:iCs/>
          <w:i/>
        </w:rPr>
        <w:t xml:space="preserve">8</w:t>
      </w:r>
      <w:r>
        <w:t xml:space="preserve">(4), 445–454.</w:t>
      </w:r>
    </w:p>
    <w:bookmarkEnd w:id="82"/>
    <w:bookmarkStart w:id="83"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3"/>
    <w:bookmarkStart w:id="84"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4"/>
    <w:bookmarkStart w:id="86"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85">
        <w:r>
          <w:rPr>
            <w:rStyle w:val="Hyperlink"/>
          </w:rPr>
          <w:t xml:space="preserve">https://CRAN.R-project.org/package=weightr</w:t>
        </w:r>
      </w:hyperlink>
    </w:p>
    <w:bookmarkEnd w:id="86"/>
    <w:bookmarkStart w:id="87"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7"/>
    <w:bookmarkStart w:id="88"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8"/>
    <w:bookmarkStart w:id="89"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9"/>
    <w:bookmarkStart w:id="90"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90"/>
    <w:bookmarkStart w:id="91"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1"/>
    <w:bookmarkStart w:id="92"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2"/>
    <w:bookmarkStart w:id="93"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3"/>
    <w:bookmarkStart w:id="94"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4"/>
    <w:bookmarkStart w:id="95"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5"/>
    <w:bookmarkStart w:id="96"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6"/>
    <w:bookmarkStart w:id="97"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7"/>
    <w:bookmarkStart w:id="98"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98"/>
    <w:bookmarkStart w:id="99"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9"/>
    <w:bookmarkStart w:id="100"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100"/>
    <w:bookmarkStart w:id="101"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1"/>
    <w:bookmarkStart w:id="102" w:name="ref-larsen2011further"/>
    <w:p>
      <w:pPr>
        <w:pStyle w:val="Literaturverzeichnis"/>
      </w:pPr>
      <w:r>
        <w:t xml:space="preserve">Larsen, J. T., &amp; McGraw, A. P. (2011). Further evidence for mixed emotions.</w:t>
      </w:r>
      <w:r>
        <w:t xml:space="preserve"> </w:t>
      </w:r>
      <w:r>
        <w:rPr>
          <w:iCs/>
          <w:i/>
        </w:rPr>
        <w:t xml:space="preserve">Journal of Personality and Social Psychology</w:t>
      </w:r>
      <w:r>
        <w:t xml:space="preserve">,</w:t>
      </w:r>
      <w:r>
        <w:t xml:space="preserve"> </w:t>
      </w:r>
      <w:r>
        <w:rPr>
          <w:iCs/>
          <w:i/>
        </w:rPr>
        <w:t xml:space="preserve">100</w:t>
      </w:r>
      <w:r>
        <w:t xml:space="preserve">(6), 1095–1110.</w:t>
      </w:r>
    </w:p>
    <w:bookmarkEnd w:id="102"/>
    <w:bookmarkStart w:id="104"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03">
        <w:r>
          <w:rPr>
            <w:rStyle w:val="Hyperlink"/>
          </w:rPr>
          <w:t xml:space="preserve">https://CRAN.R-project.org/package=emmeans</w:t>
        </w:r>
      </w:hyperlink>
    </w:p>
    <w:bookmarkEnd w:id="104"/>
    <w:bookmarkStart w:id="105"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05"/>
    <w:bookmarkStart w:id="106"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6"/>
    <w:bookmarkStart w:id="107"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7"/>
    <w:bookmarkStart w:id="108"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8"/>
    <w:bookmarkStart w:id="109"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09"/>
    <w:bookmarkStart w:id="110"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0"/>
    <w:bookmarkStart w:id="112"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11">
        <w:r>
          <w:rPr>
            <w:rStyle w:val="Hyperlink"/>
          </w:rPr>
          <w:t xml:space="preserve">https://www.R-project.org/</w:t>
        </w:r>
      </w:hyperlink>
    </w:p>
    <w:bookmarkEnd w:id="112"/>
    <w:bookmarkStart w:id="113"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3"/>
    <w:bookmarkStart w:id="114"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4"/>
    <w:bookmarkStart w:id="115"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5"/>
    <w:bookmarkStart w:id="116"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6"/>
    <w:bookmarkStart w:id="117"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7"/>
    <w:bookmarkStart w:id="118"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8"/>
    <w:bookmarkStart w:id="119"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9"/>
    <w:bookmarkStart w:id="120"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0"/>
    <w:bookmarkStart w:id="121"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1"/>
    <w:bookmarkStart w:id="122"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2"/>
    <w:bookmarkStart w:id="123" w:name="ref-stewart2004placebo"/>
    <w:p>
      <w:pPr>
        <w:pStyle w:val="Literaturverzeichnis"/>
      </w:pPr>
      <w:r>
        <w:t xml:space="preserve">Stewart-Williams, S., &amp; Podd, J. (2004). The placebo effect: Dissolving the expectancy versus conditioning debate.</w:t>
      </w:r>
      <w:r>
        <w:t xml:space="preserve"> </w:t>
      </w:r>
      <w:r>
        <w:rPr>
          <w:iCs/>
          <w:i/>
        </w:rPr>
        <w:t xml:space="preserve">Psychological Bulletin</w:t>
      </w:r>
      <w:r>
        <w:t xml:space="preserve">,</w:t>
      </w:r>
      <w:r>
        <w:t xml:space="preserve"> </w:t>
      </w:r>
      <w:r>
        <w:rPr>
          <w:iCs/>
          <w:i/>
        </w:rPr>
        <w:t xml:space="preserve">130</w:t>
      </w:r>
      <w:r>
        <w:t xml:space="preserve">(2), 324–340.</w:t>
      </w:r>
    </w:p>
    <w:bookmarkEnd w:id="123"/>
    <w:bookmarkStart w:id="124"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4"/>
    <w:bookmarkStart w:id="125"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5"/>
    <w:bookmarkStart w:id="127"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26">
        <w:r>
          <w:rPr>
            <w:rStyle w:val="Hyperlink"/>
          </w:rPr>
          <w:t xml:space="preserve">https://doi.org/10.18637/jss.v036.i03</w:t>
        </w:r>
      </w:hyperlink>
    </w:p>
    <w:bookmarkEnd w:id="127"/>
    <w:bookmarkStart w:id="128"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28"/>
    <w:bookmarkStart w:id="129"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29"/>
    <w:bookmarkEnd w:id="130"/>
    <w:bookmarkEnd w:id="13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2">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 w:id="56">
    <w:p>
      <w:pPr>
        <w:pStyle w:val="Funotentext"/>
      </w:pPr>
      <w:r>
        <w:rPr>
          <w:rStyle w:val="Funotenzeichen"/>
        </w:rPr>
        <w:footnoteRef/>
      </w:r>
      <w:r>
        <w:t xml:space="preserve"> </w:t>
      </w:r>
      <w:r>
        <w:t xml:space="preserve">For Study 2, we did not create a vignette for</w:t>
      </w:r>
      <w:r>
        <w:t xml:space="preserve"> </w:t>
      </w:r>
      <w:r>
        <w:t xml:space="preserve">Larsen and McGraw (2011)</w:t>
      </w:r>
      <w:r>
        <w:t xml:space="preserve"> </w:t>
      </w:r>
      <w:r>
        <w:t xml:space="preserve">because this record was identified after the study was complete.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QUANTITATIVE REVIEW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QUANTITATIVE REVIEW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67" Target="media/rId67.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103" Target="https://CRAN.R-project.org/package=emmeans" TargetMode="External" /><Relationship Type="http://schemas.openxmlformats.org/officeDocument/2006/relationships/hyperlink" Id="rId85" Target="https://CRAN.R-project.org/package=weightr" TargetMode="External" /><Relationship Type="http://schemas.openxmlformats.org/officeDocument/2006/relationships/hyperlink" Id="rId126" Target="https://doi.org/10.18637/jss.v036.i03" TargetMode="External" /><Relationship Type="http://schemas.openxmlformats.org/officeDocument/2006/relationships/hyperlink" Id="rId80"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03" Target="https://CRAN.R-project.org/package=emmeans" TargetMode="External" /><Relationship Type="http://schemas.openxmlformats.org/officeDocument/2006/relationships/hyperlink" Id="rId85" Target="https://CRAN.R-project.org/package=weightr" TargetMode="External" /><Relationship Type="http://schemas.openxmlformats.org/officeDocument/2006/relationships/hyperlink" Id="rId126" Target="https://doi.org/10.18637/jss.v036.i03" TargetMode="External" /><Relationship Type="http://schemas.openxmlformats.org/officeDocument/2006/relationships/hyperlink" Id="rId80"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2023-10-12T20:06:11Z</dcterms:created>
  <dcterms:modified xsi:type="dcterms:W3CDTF">2023-10-12T20:06:11Z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