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w:t>
      </w:r>
    </w:p>
    <w:p>
      <w:pPr>
        <w:pStyle w:val="Textkrper"/>
      </w:pPr>
      <w:r>
        <w:t xml:space="preserve">The person explains that Colesology in a new approach for estimating causal relationships. However, they add that the method can sometimes be thrown off by a</w:t>
      </w:r>
      <w:r>
        <w:t xml:space="preserve"> </w:t>
      </w:r>
      <w:r>
        <w:rPr>
          <w:iCs/>
          <w:i/>
        </w:rPr>
        <w:t xml:space="preserve">methodological artifact.</w:t>
      </w:r>
      <w:r>
        <w:t xml:space="preserve"> </w:t>
      </w:r>
      <w:r>
        <w:t xml:space="preserve">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estimates of relationships to be biased upward; other times, it causes the estimates to be biased downward. And, in general, they explain, it means that the things researchers observe using Colesology don’t necessarily capture real-world human behavior.</w:t>
      </w:r>
    </w:p>
    <w:p>
      <w:pPr>
        <w:pStyle w:val="Textkrper"/>
      </w:pPr>
      <w:r>
        <w:t xml:space="preserve">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met with some controversy, as not everybody agreed about the importance of these demand characteristics</w:t>
      </w:r>
      <w:r>
        <w:t xml:space="preserve"> </w:t>
      </w:r>
      <w:r>
        <w:t xml:space="preserve">(e.g., Berkowitz, 1971; Kruglanski, 1975; Milgram, 1972)</w:t>
      </w:r>
      <w:r>
        <w:t xml:space="preserve">. Nonetheless, over the next 60 years, demand characteristics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also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Yet, it’s still not clear when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their communicated hypothesis impacted participants’ responses.</w:t>
      </w:r>
    </w:p>
    <w:p>
      <w:pPr>
        <w:pStyle w:val="Textkrper"/>
      </w:pPr>
      <w:r>
        <w:t xml:space="preserve">After over 60 years, experimental psychologists are left with an uncomfortable truth: demand characteristics are a literal textbook methodological concern—but it is not clear when and how their effects emerge. The goal of the current paper is to use meta-analysis to take stock of what we know (and don’t know) about demand characteristics.</w:t>
      </w:r>
    </w:p>
    <w:p>
      <w:pPr>
        <w:pStyle w:val="Textkrper"/>
      </w:pPr>
      <w:r>
        <w:t xml:space="preserve">We first provide an overview of a framework designed to accommodate the potentially heterogeneous effects of demand characteristics</w:t>
      </w:r>
      <w:r>
        <w:t xml:space="preserve"> </w:t>
      </w:r>
      <w:r>
        <w:t xml:space="preserve">(R. 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 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 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 Rosnow and Rosenthal (1997)</w:t>
      </w:r>
      <w:r>
        <w:t xml:space="preserve"> </w:t>
      </w:r>
      <w:r>
        <w:t xml:space="preserve">argued that participants must be perceptive to demand characteristics in order for them to impact downstream responses</w:t>
      </w:r>
      <w:r>
        <w:t xml:space="preserve"> </w:t>
      </w:r>
      <w:r>
        <w:t xml:space="preserve">(see also R. L. Rosnow &amp; Aiken, 1973; Strohmetz, 2008)</w:t>
      </w:r>
      <w:r>
        <w:t xml:space="preserve">.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To summarize, Rosnow and Rosenthal (1997) 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In their studies, both the manipulations of demand characteristics and measures of participants’ beliefs independently moderated the effects of posed expressions on emotion—providing preliminary evidence of distinct psychological mechanisms.</w:t>
      </w:r>
    </w:p>
    <w:bookmarkEnd w:id="29"/>
    <w:bookmarkStart w:id="46" w:name="methodology"/>
    <w:p>
      <w:pPr>
        <w:pStyle w:val="berschrift1"/>
      </w:pPr>
      <w:r>
        <w:t xml:space="preserve">Methodology</w:t>
      </w:r>
    </w:p>
    <w:p>
      <w:pPr>
        <w:pStyle w:val="FirstParagraph"/>
      </w:pPr>
      <w:r>
        <w:t xml:space="preserve">The present meta-analysis was designed to (a) provide the first quantitative synthesis of strict experimental tests of demand effects, and (b) test predictions made by Rosnow and Rosenthal (1997) and Coles et al. (2022).</w:t>
      </w:r>
    </w:p>
    <w:p>
      <w:pPr>
        <w:pStyle w:val="Textkrper"/>
      </w:pPr>
      <w:r>
        <w:t xml:space="preserve">We defined the scope of the meta-analysis using the Population, Intervention, Comparison, Outcome framework (Schardt et al. 2007).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 non-nil effect that was</w:t>
      </w:r>
      <w:r>
        <w:t xml:space="preserve"> </w:t>
      </w:r>
      <w:r>
        <w:rPr>
          <w:iCs/>
          <w:i/>
        </w:rPr>
        <w:t xml:space="preserve">non-directional</w:t>
      </w:r>
      <w:r>
        <w:t xml:space="preserve">.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 Sigall and Adair (1974) 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42 studies from 31 records were eligible for inclusion. However, one record was removed because the information reported led to implausibly large effect size estimates (e.g.,</w:t>
      </w:r>
      <w:r>
        <w:t xml:space="preserve"> </w:t>
      </w:r>
      <m:oMath>
        <m:r>
          <m:t>d</m:t>
        </m:r>
      </m:oMath>
      <w:r>
        <w:t xml:space="preserve"> </w:t>
      </w:r>
      <w:r>
        <w:t xml:space="preserve">= -212.572536906983; Allen &amp; Smith, 2012).</w:t>
      </w:r>
    </w:p>
    <w:bookmarkEnd w:id="31"/>
    <w:bookmarkStart w:id="32" w:name="effect-size-index"/>
    <w:p>
      <w:pPr>
        <w:pStyle w:val="berschrift2"/>
      </w:pPr>
      <w:r>
        <w:t xml:space="preserve">Effect size index</w:t>
      </w:r>
    </w:p>
    <w:p>
      <w:pPr>
        <w:pStyle w:val="FirstParagraph"/>
      </w:pPr>
      <w:r>
        <w:t xml:space="preserve">We used standardized mean difference scores as our effect size index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Borenstein, 2009; Cohen, 1988).</w:t>
      </w:r>
    </w:p>
    <w:p>
      <w:pPr>
        <w:pStyle w:val="Textkrper"/>
      </w:pPr>
      <w:r>
        <w:t xml:space="preserve">In some scenarios, we estimated the main effect of demand characteristics. For example, Coles et al. (2022) 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 Coles et al. (2022) 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 $d_{rm}$. This correlation is rarely reported, so we followed Borenstein’s (2009) recommendation 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0.01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vs. negative demand). We thus coded whether the comparison involved one vs. two types of demand characteristics. In addition, we coded each type of comparison: positive vs. control, nil vs. control, negative vs. control, positive vs. nil, positive vs. negative,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 Rosnow and Rosenthal (1997) and Coles et al. (2022) posited that the effects of demand characteristics are moderated by participants’ (1) motivation to provide hypothesis-consistent responses and (2) opportunity to adjust their responses (Figure</w:t>
      </w:r>
      <w:r>
        <w:t xml:space="preserve"> </w:t>
      </w:r>
      <w:r>
        <w:t xml:space="preserve">1</w:t>
      </w:r>
      <w:r>
        <w:t xml:space="preserve">). Coles et al. (2022) 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 Standing, Verpaelst, and Ulmer (2008) 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Coles et al. 2022, Study 1."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Coles et al. 2022, Study 1.</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scores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scores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(Panel B) and opportunity scores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 (Yarkoni &amp; Westfall, 2017). Orne suggested that one group that may be particularly good at predicting these effects is participants themselves (1969, 1970).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the scores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study was published vs. unpublished, (2) whether the sample was student or non-student (e.g., MTurk), (3) whether participants were paid or unpapid, (4) whether the study was conducted online or in-person , and (5) whether demand characteristics were manipulated within- vs. between-subjects.</w:t>
      </w:r>
    </w:p>
    <w:bookmarkEnd w:id="43"/>
    <w:bookmarkStart w:id="45" w:name="meta-analytic-approach"/>
    <w:p>
      <w:pPr>
        <w:pStyle w:val="berschrift2"/>
      </w:pPr>
      <w:r>
        <w:rPr>
          <w:bCs/>
          <w:b/>
        </w:rPr>
        <w:t xml:space="preserve">Meta-analytic approach</w:t>
      </w:r>
    </w:p>
    <w:p>
      <w:pPr>
        <w:pStyle w:val="FirstParagraph"/>
      </w:pPr>
      <w:r>
        <w:t xml:space="preserve">For estimating overall effects and moderators, we used random-effects meta-analysis with robust variance estimates (Hedges, Tipton, &amp; Johnson, 2010). We included random-effects because Rosnow and Rosenthal (1997) and Coles et al. (2022) posited that moderators create a distribution of true effects—as opposed to a single fixed-effect (Hedges &amp; Vevea, 1998).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sizes. For the present work, we used a hierarchical effects weighting scheme (Tanner-Smith &amp; Tipton, 2014).</w:t>
      </w:r>
    </w:p>
    <w:p>
      <w:pPr>
        <w:pStyle w:val="Textkrper"/>
      </w:pPr>
      <w:r>
        <w:t xml:space="preserve">To estimate the overall effect size, we fit an intercept-only model. The intercept of this model can be interpreted as the precision-weighted overall effect size, adjusted for correlated-effect dependencies. We used the same approach to estimate subgroup overall effect sizes by subsetting the data by each level of each moderator. For moderator analyses, continuous and dummy-coded categorical moderators were separately entered into the meta-regression model.</w:t>
      </w:r>
    </w:p>
    <w:bookmarkStart w:id="44" w:name="publication-bias-analyses"/>
    <w:p>
      <w:pPr>
        <w:pStyle w:val="berschrift3"/>
      </w:pPr>
      <w:r>
        <w:rPr>
          <w:bCs/>
          <w:b/>
        </w:rPr>
        <w:t xml:space="preserve">Publication bias analyses</w:t>
      </w:r>
      <w:r>
        <w:t xml:space="preserve">.</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(Del Re &amp; Hoyt, 2010). We then used precision effect tests (i.e., PET-PEESE; Stanley &amp; Doucouliagos, 2014) and weight-function modeling (Vevea &amp; Hedges, 1995) to test for the presence of publication bias and estimate the bias-corrected overall effect size. As a further sensitivity analysis, we used an approach by Mathur and VanderWeele (2020) to estimate the maximal publication bias required to shift the observed overall effect size estimate to zero.</w:t>
      </w:r>
    </w:p>
    <w:bookmarkEnd w:id="44"/>
    <w:bookmarkEnd w:id="45"/>
    <w:bookmarkEnd w:id="46"/>
    <w:bookmarkStart w:id="52" w:name="results"/>
    <w:p>
      <w:pPr>
        <w:pStyle w:val="berschrift1"/>
      </w:pPr>
      <w:r>
        <w:t xml:space="preserve">Results</w:t>
      </w:r>
    </w:p>
    <w:p>
      <w:pPr>
        <w:pStyle w:val="FirstParagraph"/>
      </w:pPr>
      <w:r>
        <w:t xml:space="preserve">Results indicated that, overall, explicit manipulations of demand characteristics create a small-to-medium acquiescence effect,</w:t>
      </w:r>
      <w:r>
        <w:t xml:space="preserve"> </w:t>
      </w:r>
      <m:oMath>
        <m:r>
          <m:t>d</m:t>
        </m:r>
      </m:oMath>
      <w:r>
        <w:t xml:space="preserve"> </w:t>
      </w:r>
      <w:r>
        <w:t xml:space="preserve">= 0.28 , 95% CI [0.17, 0.39],</w:t>
      </w:r>
      <w:r>
        <w:t xml:space="preserve"> </w:t>
      </w:r>
      <m:oMath>
        <m:r>
          <m:t>t</m:t>
        </m:r>
      </m:oMath>
      <w:r>
        <w:t xml:space="preserve"> </w:t>
      </w:r>
      <w:r>
        <w:t xml:space="preserve">= 5.16,</w:t>
      </w:r>
      <w:r>
        <w:t xml:space="preserve"> </w:t>
      </w:r>
      <m:oMath>
        <m:r>
          <m:t>p</m:t>
        </m:r>
      </m:oMath>
      <w:r>
        <w:t xml:space="preserve"> </w:t>
      </w:r>
      <w:r>
        <w:t xml:space="preserve">&lt; .001. In other words, when explicitly told a hypothesis, participants responses tend to shift in a manner consistent with that hypothesis.</w:t>
      </w:r>
    </w:p>
    <w:p>
      <w:pPr>
        <w:pStyle w:val="Textkrper"/>
      </w:pPr>
      <w:r>
        <w:t xml:space="preserve">That being said, the observed effects of demand characteristics were highly heterogeneous. The standard deviation of the distribution of effects</w:t>
      </w:r>
      <w:r>
        <w:t xml:space="preserve"> </w:t>
      </w:r>
      <m:oMath>
        <m:r>
          <m:t>τ</m:t>
        </m:r>
      </m:oMath>
      <w:r>
        <w:t xml:space="preserve"> </w:t>
      </w:r>
      <w:r>
        <w:t xml:space="preserve">= 0.36 was larger than the overall effect—and 88.48% of variability appeared to be driven by heterogeneity (i.e.,</w:t>
      </w:r>
      <w:r>
        <w:t xml:space="preserve"> </w:t>
      </w:r>
      <m:oMath>
        <m:sSup>
          <m:e>
            <m:r>
              <m:t>I</m:t>
            </m:r>
          </m:e>
          <m:sup>
            <m:r>
              <m:t>2</m:t>
            </m:r>
          </m:sup>
        </m:sSup>
      </m:oMath>
      <w:r>
        <w:t xml:space="preserve"> </w:t>
      </w:r>
      <w:r>
        <w:t xml:space="preserve">= 88.48).</w:t>
      </w:r>
    </w:p>
    <w:bookmarkStart w:id="49" w:name="moderator-analyses"/>
    <w:p>
      <w:pPr>
        <w:pStyle w:val="berschrift3"/>
      </w:pPr>
      <w:r>
        <w:t xml:space="preserve">Moderator analyses.</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bookmarkEnd w:id="47"/>
    <w:bookmarkStart w:id="48" w:name="other-moderators-1"/>
    <w:p>
      <w:pPr>
        <w:pStyle w:val="berschrift4"/>
      </w:pPr>
      <w:r>
        <w:t xml:space="preserve">Other moderators.</w:t>
      </w:r>
    </w:p>
    <w:bookmarkEnd w:id="48"/>
    <w:bookmarkEnd w:id="49"/>
    <w:bookmarkStart w:id="50" w:name="forecasts"/>
    <w:p>
      <w:pPr>
        <w:pStyle w:val="berschrift3"/>
      </w:pPr>
      <w:r>
        <w:t xml:space="preserve">Forecasts.</w:t>
      </w:r>
    </w:p>
    <w:bookmarkEnd w:id="50"/>
    <w:bookmarkStart w:id="51" w:name="publication-bias-analyses-1"/>
    <w:p>
      <w:pPr>
        <w:pStyle w:val="berschrift3"/>
      </w:pPr>
      <w:r>
        <w:t xml:space="preserve">Publication bias analyses.</w:t>
      </w:r>
    </w:p>
    <w:bookmarkEnd w:id="51"/>
    <w:bookmarkEnd w:id="52"/>
    <w:bookmarkStart w:id="53" w:name="discussion"/>
    <w:p>
      <w:pPr>
        <w:pStyle w:val="berschrift1"/>
      </w:pPr>
      <w:r>
        <w:t xml:space="preserve">Discussion</w:t>
      </w:r>
    </w:p>
    <w:bookmarkEnd w:id="53"/>
    <w:bookmarkStart w:id="54"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4"/>
    <w:bookmarkStart w:id="55" w:name="to-do"/>
    <w:p>
      <w:pPr>
        <w:pStyle w:val="berschrift1"/>
      </w:pPr>
      <w:r>
        <w:t xml:space="preserve">To-do</w:t>
      </w:r>
    </w:p>
    <w:p>
      <w:pPr>
        <w:pStyle w:val="FirstParagraph"/>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add refs</w:t>
      </w:r>
    </w:p>
    <w:p>
      <w:pPr>
        <w:pStyle w:val="Textkrper"/>
      </w:pPr>
      <w:r>
        <w:t xml:space="preserve">[] Have M.W. build moderator table</w:t>
      </w:r>
    </w:p>
    <w:p>
      <w:pPr>
        <w:pStyle w:val="Textkrper"/>
      </w:pPr>
      <w:r>
        <w:t xml:space="preserve">[] Have M.W. build codebooks</w:t>
      </w:r>
    </w:p>
    <w:bookmarkEnd w:id="55"/>
    <w:bookmarkStart w:id="74" w:name="references"/>
    <w:p>
      <w:pPr>
        <w:pStyle w:val="berschrift1"/>
      </w:pPr>
      <w:r>
        <w:t xml:space="preserve">References</w:t>
      </w:r>
    </w:p>
    <w:bookmarkStart w:id="73" w:name="refs"/>
    <w:bookmarkStart w:id="56"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w:t>
      </w:r>
    </w:p>
    <w:bookmarkEnd w:id="56"/>
    <w:bookmarkStart w:id="57"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57"/>
    <w:bookmarkStart w:id="58"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58"/>
    <w:bookmarkStart w:id="59"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59"/>
    <w:bookmarkStart w:id="60"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 University of Nebraska Press.</w:t>
      </w:r>
    </w:p>
    <w:bookmarkEnd w:id="60"/>
    <w:bookmarkStart w:id="61"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61"/>
    <w:bookmarkStart w:id="62"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62"/>
    <w:bookmarkStart w:id="63"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63"/>
    <w:bookmarkStart w:id="64"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w:t>
      </w:r>
    </w:p>
    <w:bookmarkEnd w:id="64"/>
    <w:bookmarkStart w:id="65"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65"/>
    <w:bookmarkStart w:id="66"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66"/>
    <w:bookmarkStart w:id="67"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67"/>
    <w:bookmarkStart w:id="68" w:name="ref-rosnow1997people"/>
    <w:p>
      <w:pPr>
        <w:pStyle w:val="Literaturverzeichnis"/>
      </w:pPr>
      <w:r>
        <w:t xml:space="preserve">Rosnow, R., &amp; Rosenthal, R. (1997).</w:t>
      </w:r>
      <w:r>
        <w:t xml:space="preserve"> </w:t>
      </w:r>
      <w:r>
        <w:rPr>
          <w:iCs/>
          <w:i/>
        </w:rPr>
        <w:t xml:space="preserve">People studying people: Artifacts and ethics in behavioral research</w:t>
      </w:r>
      <w:r>
        <w:t xml:space="preserve">.</w:t>
      </w:r>
    </w:p>
    <w:bookmarkEnd w:id="68"/>
    <w:bookmarkStart w:id="69"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69"/>
    <w:bookmarkStart w:id="70"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70"/>
    <w:bookmarkStart w:id="71"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71"/>
    <w:bookmarkStart w:id="72"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72"/>
    <w:bookmarkEnd w:id="73"/>
    <w:bookmarkEnd w:id="7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2022-09-20T19:19:27Z</dcterms:created>
  <dcterms:modified xsi:type="dcterms:W3CDTF">2022-09-20T19:19:27Z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