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6.png" ContentType="image/png"/>
  <Override PartName="/word/media/rId69.png" ContentType="image/png"/>
  <Override PartName="/word/media/rId65.png" ContentType="image/png"/>
  <Override PartName="/word/media/rId42.png" ContentType="image/png"/>
  <Override PartName="/word/media/rId56.png" ContentType="image/png"/>
  <Override PartName="/word/media/rId77.png" ContentType="image/png"/>
  <Override PartName="/word/media/rId46.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their beliefs about the researcher’s hypothesis (i.e., demand characteristics). In a meta-analysis, we combined evidence from 40 studies that experimentally tested this concern by manipulating the hypothesis communicated to participants. Results suggested that information about the researcher’s hypothesis can produce biases in participants’ responses that can be potentially large – but are troublingly unreliable and difficult to explain.</w:t>
      </w:r>
    </w:p>
    <w:p>
      <w:pPr>
        <w:pStyle w:val="authornote"/>
      </w:pPr>
      <w:r>
        <w:t xml:space="preserve">All materials, data (raw and processed), code, and pre-registrations (for Studies 1 and 2)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w:t>
      </w:r>
    </w:p>
    <w:p>
      <w:pPr>
        <w:pStyle w:val="authornote"/>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authornote"/>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195 effect sizes from 40 studies that provided experimental tests of demand effects by manipulating the hypothesis communicated to participants. Results indicated that demand characteristics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post-hoc measures of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 and challenges – of understanding and controlling for demand characteristics in experimental design.</w:t>
      </w:r>
    </w:p>
    <w:p>
      <w:pPr>
        <w:pStyle w:val="Textkrper"/>
      </w:pPr>
      <w:r>
        <w:rPr>
          <w:iCs/>
          <w:i/>
        </w:rPr>
        <w:t xml:space="preserve">Keywords:</w:t>
      </w:r>
      <w:r>
        <w:t xml:space="preserve"> </w:t>
      </w:r>
      <w:r>
        <w:t xml:space="preserve">demand characteristics, expectancies, placebo, confounds,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but their magnitude, direction, and consistency remain unclear. In the present paper, we use meta-analysis and replication to take stock of what we know about demand characteristics. We begin by briefly reviewing mechanisms commonly theorized to underlie their effects.</w:t>
      </w:r>
    </w:p>
    <w:bookmarkStart w:id="22"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 for a comprehensive survey)</w:t>
      </w:r>
      <w:r>
        <w:t xml:space="preserve">. We focus instead on two broad classes of commonly discussed mechanisms: motivations and expectancies.</w:t>
      </w:r>
    </w:p>
    <w:bookmarkEnd w:id="22"/>
    <w:bookmarkStart w:id="24" w:name="motivation-accounts"/>
    <w:p>
      <w:pPr>
        <w:pStyle w:val="berschrift2"/>
      </w:pPr>
      <w:r>
        <w:t xml:space="preserve">Motivation accounts</w:t>
      </w:r>
    </w:p>
    <w:p>
      <w:pPr>
        <w:pStyle w:val="FirstParagraph"/>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 and when participants noticed demand characteristics,</w:t>
      </w:r>
      <w:r>
        <w:t xml:space="preserve"> </w:t>
      </w:r>
      <w:r>
        <w:t xml:space="preserve">Rosnow and Rosenthal (1997)</w:t>
      </w:r>
      <w:r>
        <w:t xml:space="preserve"> </w:t>
      </w:r>
      <w:r>
        <w:t xml:space="preserve">theorized that subsequent changes in participants’ responses would then be driven by their motivation (or lack thereof) to provide hypothesis-consistent responses. Early work on demand characteristics was marked by debates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w:t>
      </w:r>
      <w:r>
        <w:t xml:space="preserve"> </w:t>
      </w:r>
      <w:r>
        <w:rPr>
          <w:iCs/>
          <w:i/>
        </w:rPr>
        <w:t xml:space="preserve">multiple</w:t>
      </w:r>
      <w:r>
        <w:t xml:space="preserve"> </w:t>
      </w:r>
      <w:r>
        <w:t xml:space="preserve">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w:t>
      </w:r>
      <w:r>
        <w:t xml:space="preserve"> </w:t>
      </w:r>
      <w:r>
        <w:t xml:space="preserve">Rosnow and Rosenthal (1997)</w:t>
      </w:r>
      <w:r>
        <w:t xml:space="preserve"> </w:t>
      </w:r>
      <w:r>
        <w:t xml:space="preserve">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3"/>
      </w:r>
      <w:r>
        <w:t xml:space="preserve"> </w:t>
      </w:r>
      <w:r>
        <w:t xml:space="preserve">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bookmarkEnd w:id="24"/>
    <w:bookmarkStart w:id="25" w:name="expectancy-accounts"/>
    <w:p>
      <w:pPr>
        <w:pStyle w:val="berschrift2"/>
      </w:pPr>
      <w:r>
        <w:t xml:space="preserve">Expectancy accounts</w:t>
      </w:r>
    </w:p>
    <w:p>
      <w:pPr>
        <w:pStyle w:val="FirstParagraph"/>
      </w:pPr>
      <w:r>
        <w:t xml:space="preserve">Whereas motivation accounts emphasize the role of participants’ motivation to provide hypothesis-consistent responses,</w:t>
      </w:r>
      <w:r>
        <w:t xml:space="preserve"> </w:t>
      </w:r>
      <w:r>
        <w:rPr>
          <w:iCs/>
          <w:i/>
        </w:rPr>
        <w:t xml:space="preserve">expectancy accounts</w:t>
      </w:r>
      <w:r>
        <w:t xml:space="preserve"> </w:t>
      </w:r>
      <w:r>
        <w:t xml:space="preserve">developed in related work on placebo</w:t>
      </w:r>
      <w:r>
        <w:t xml:space="preserve"> </w:t>
      </w:r>
      <w:r>
        <w:t xml:space="preserve">(Stewart-Williams &amp; Podd, 2004)</w:t>
      </w:r>
      <w:r>
        <w:t xml:space="preserve"> </w:t>
      </w:r>
      <w:r>
        <w:t xml:space="preserve">and mindset</w:t>
      </w:r>
      <w:r>
        <w:t xml:space="preserve"> </w:t>
      </w:r>
      <w:r>
        <w:t xml:space="preserve">(Zion &amp; Crum, 2018)</w:t>
      </w:r>
      <w:r>
        <w:t xml:space="preserve"> </w:t>
      </w:r>
      <w:r>
        <w:t xml:space="preserve">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activation and/or shaping of expectancies.</w:t>
      </w:r>
    </w:p>
    <w:p>
      <w:pPr>
        <w:pStyle w:val="Textkrper"/>
      </w:pPr>
      <w:r>
        <w:t xml:space="preserve">In a review on placebo effects,</w:t>
      </w:r>
      <w:r>
        <w:t xml:space="preserve"> </w:t>
      </w:r>
      <w:r>
        <w:t xml:space="preserve">Stewart-Williams and Podd (2004)</w:t>
      </w:r>
      <w:r>
        <w:t xml:space="preserve"> </w:t>
      </w:r>
      <w:r>
        <w:t xml:space="preserve">provided a framework that can be extended to demand effects. In this framework, they suggested that placebo effects can be driven both by previously-learned associations (e.g., via classical conditioning) and newly presented information (e.g., demand characteristics). Although</w:t>
      </w:r>
      <w:r>
        <w:t xml:space="preserve"> </w:t>
      </w:r>
      <w:r>
        <w:t xml:space="preserve">Stewart-Williams and Podd (2004)</w:t>
      </w:r>
      <w:r>
        <w:t xml:space="preserve"> </w:t>
      </w:r>
      <w:r>
        <w:t xml:space="preserve">never mentioned demand characteristics, demand effects are conceptually similar to what they describe as</w:t>
      </w:r>
      <w:r>
        <w:t xml:space="preserve"> </w:t>
      </w:r>
      <w:r>
        <w:t xml:space="preserve">“</w:t>
      </w:r>
      <w:r>
        <w:t xml:space="preserve">nonpharmacological placebo effects in humans,</w:t>
      </w:r>
      <w:r>
        <w:t xml:space="preserve">”</w:t>
      </w:r>
      <w:r>
        <w:t xml:space="preserve"> </w:t>
      </w:r>
      <w:r>
        <w:t xml:space="preserve">which they hypothesized are</w:t>
      </w:r>
      <w:r>
        <w:t xml:space="preserve"> </w:t>
      </w:r>
      <w:r>
        <w:t xml:space="preserve">“</w:t>
      </w:r>
      <w:r>
        <w:t xml:space="preserve">mediated entirely by expectancies</w:t>
      </w:r>
      <w:r>
        <w:t xml:space="preserve">”</w:t>
      </w:r>
      <w:r>
        <w:t xml:space="preserve"> </w:t>
      </w:r>
      <w:r>
        <w:t xml:space="preserve">(p. 338).</w:t>
      </w:r>
    </w:p>
    <w:bookmarkEnd w:id="25"/>
    <w:bookmarkStart w:id="30" w:name="hybrid-accounts"/>
    <w:p>
      <w:pPr>
        <w:pStyle w:val="berschrift2"/>
      </w:pPr>
      <w:r>
        <w:t xml:space="preserve">Hybrid accounts</w:t>
      </w:r>
    </w:p>
    <w:p>
      <w:pPr>
        <w:pStyle w:val="FirstParagraph"/>
      </w:pPr>
      <w:r>
        <w:t xml:space="preserve">A third possibility recently discussed by</w:t>
      </w:r>
      <w:r>
        <w:t xml:space="preserve"> </w:t>
      </w:r>
      <w:r>
        <w:t xml:space="preserve">Coles, Gaertner, et al. (2022)</w:t>
      </w:r>
      <w:r>
        <w:t xml:space="preserve"> </w:t>
      </w:r>
      <w:r>
        <w:t xml:space="preserve">is that demand effects are mediated by</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4353858"/>
            <wp:effectExtent b="0" l="0" r="0" t="0"/>
            <wp:docPr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title="" id="27" name="Picture"/>
            <a:graphic>
              <a:graphicData uri="http://schemas.openxmlformats.org/drawingml/2006/picture">
                <pic:pic>
                  <pic:nvPicPr>
                    <pic:cNvPr descr="images/metaware_framework.png" id="28" name="Picture"/>
                    <pic:cNvPicPr>
                      <a:picLocks noChangeArrowheads="1" noChangeAspect="1"/>
                    </pic:cNvPicPr>
                  </pic:nvPicPr>
                  <pic:blipFill>
                    <a:blip r:embed="rId26"/>
                    <a:stretch>
                      <a:fillRect/>
                    </a:stretch>
                  </pic:blipFill>
                  <pic:spPr bwMode="auto">
                    <a:xfrm>
                      <a:off x="0" y="0"/>
                      <a:ext cx="5969000" cy="4353858"/>
                    </a:xfrm>
                    <a:prstGeom prst="rect">
                      <a:avLst/>
                    </a:prstGeom>
                    <a:noFill/>
                    <a:ln w="9525">
                      <a:noFill/>
                      <a:headEnd/>
                      <a:tailEnd/>
                    </a:ln>
                  </pic:spPr>
                </pic:pic>
              </a:graphicData>
            </a:graphic>
          </wp:inline>
        </w:drawing>
      </w:r>
    </w:p>
    <w:p>
      <w:pPr>
        <w:pStyle w:val="ImageCaption"/>
      </w:pPr>
      <w:bookmarkStart w:id="29" w:name="fig:framework"/>
      <w:bookmarkEnd w:id="29"/>
      <w:r>
        <w:t xml:space="preserve">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w:t>
      </w:r>
    </w:p>
    <w:bookmarkEnd w:id="30"/>
    <w:bookmarkStart w:id="31" w:name="the-current-paper"/>
    <w:p>
      <w:pPr>
        <w:pStyle w:val="berschrift2"/>
      </w:pPr>
      <w:r>
        <w:t xml:space="preserve">The current paper</w:t>
      </w:r>
    </w:p>
    <w:p>
      <w:pPr>
        <w:pStyle w:val="FirstParagraph"/>
      </w:pPr>
      <w:r>
        <w:t xml:space="preserve">The goal of the current paper is to take stock of the literature on demand characteristics: what is the overall expected effect, how reliable is the effect, and what types of study features and psychological processes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constructs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Although meta-analysis allows us to bring a large body of data to bear on questions about demand characteristics, heterogeneity and an inability to directly measure motivation and expectations in the existing literature limit any conclusions</w:t>
      </w:r>
      <w:r>
        <w:t xml:space="preserve"> </w:t>
      </w:r>
      <w:r>
        <w:t xml:space="preserve">(Simonsohn, Simmons, &amp; Nelson, 2022)</w:t>
      </w:r>
      <w:r>
        <w:t xml:space="preserve">. Thus, in Study 3, we report a replication experiment that re-examines motivation and expectancy accounts.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bookmarkEnd w:id="31"/>
    <w:bookmarkStart w:id="63" w:name="study-1"/>
    <w:p>
      <w:pPr>
        <w:pStyle w:val="berschrift1"/>
      </w:pPr>
      <w:r>
        <w:t xml:space="preserve">Study 1</w:t>
      </w:r>
    </w:p>
    <w:p>
      <w:pPr>
        <w:pStyle w:val="FirstParagraph"/>
      </w:pPr>
      <w:r>
        <w:t xml:space="preserve">Study 1 was designed to provide a quantitative synthesis of demand effects via meta-analysis.</w:t>
      </w:r>
    </w:p>
    <w:bookmarkStart w:id="41"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w:t>
      </w:r>
      <w:r>
        <w:t xml:space="preserve"> </w:t>
      </w:r>
      <w:r>
        <w:rPr>
          <w:iCs/>
          <w:i/>
        </w:rPr>
        <w:t xml:space="preserve">conventionally</w:t>
      </w:r>
      <w:r>
        <w:t xml:space="preserve"> </w:t>
      </w:r>
      <w:r>
        <w:t xml:space="preserve">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32"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did not have language restrictions and went as far back as 1840, which yielded 851 records. We also released a call for unpublished studies on the Society for Personality and Social Psychology Open Forum; Twitter; the Facebook Psychological Methods Discussion group; and the Facebook PsychMAP group. This call yielded 3 additional records. In total, 97 of the records were unpublished.</w:t>
      </w:r>
    </w:p>
    <w:bookmarkEnd w:id="32"/>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criterion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these conditions were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33"/>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5"/>
    <w:bookmarkStart w:id="36"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6"/>
    <w:bookmarkStart w:id="39"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38"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7"/>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moderator allowed us to estimate the difference in the magnitude of published vs. unpublished effects.</w:t>
      </w:r>
    </w:p>
    <w:bookmarkEnd w:id="38"/>
    <w:bookmarkEnd w:id="39"/>
    <w:bookmarkStart w:id="40"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the pre-registration plan and documented amendments. Sample size was determined by the availability of relevant records (i.e., not via power analysis). All code, including the script used to generate a computationally reproducible manuscript using the papaja R package</w:t>
      </w:r>
      <w:r>
        <w:t xml:space="preserve"> </w:t>
      </w:r>
      <w:r>
        <w:t xml:space="preserve">(Aust &amp; Barth, 2022)</w:t>
      </w:r>
      <w:r>
        <w:t xml:space="preserve">, has been checked for reproducibility. Ethics approval was not requested because no new data were collected.</w:t>
      </w:r>
    </w:p>
    <w:bookmarkEnd w:id="40"/>
    <w:bookmarkEnd w:id="41"/>
    <w:bookmarkStart w:id="61"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43" name="Picture"/>
            <a:graphic>
              <a:graphicData uri="http://schemas.openxmlformats.org/drawingml/2006/picture">
                <pic:pic>
                  <pic:nvPicPr>
                    <pic:cNvPr descr="metaware_manuscript_files/figure-docx/forest-1.png" id="44" name="Picture"/>
                    <pic:cNvPicPr>
                      <a:picLocks noChangeArrowheads="1" noChangeAspect="1"/>
                    </pic:cNvPicPr>
                  </pic:nvPicPr>
                  <pic:blipFill>
                    <a:blip r:embed="rId42"/>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bookmarkStart w:id="45" w:name="fig:forest"/>
      <w:bookmarkEnd w:id="45"/>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50" w:name="moderator-analyses"/>
    <w:p>
      <w:pPr>
        <w:pStyle w:val="berschrift3"/>
      </w:pPr>
      <w:r>
        <w:t xml:space="preserve">Moderator analyses.</w:t>
      </w:r>
    </w:p>
    <w:p>
      <w:pPr>
        <w:pStyle w:val="CaptionedFigure"/>
      </w:pPr>
      <w:r>
        <w:drawing>
          <wp:inline>
            <wp:extent cx="5963478" cy="3440468"/>
            <wp:effectExtent b="0" l="0" r="0" t="0"/>
            <wp:docPr descr="Figure 3: For each moderator, we fit a separate 3LMA and subsequently derived subgroup mean effect sizes (dots) and their 95% confidence intervals (error bars)." title="" id="47" name="Picture"/>
            <a:graphic>
              <a:graphicData uri="http://schemas.openxmlformats.org/drawingml/2006/picture">
                <pic:pic>
                  <pic:nvPicPr>
                    <pic:cNvPr descr="metaware_manuscript_files/figure-docx/modforest-1.png" id="48" name="Picture"/>
                    <pic:cNvPicPr>
                      <a:picLocks noChangeArrowheads="1" noChangeAspect="1"/>
                    </pic:cNvPicPr>
                  </pic:nvPicPr>
                  <pic:blipFill>
                    <a:blip r:embed="rId46"/>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49" w:name="fig:modforest"/>
      <w:bookmarkEnd w:id="49"/>
      <w:r>
        <w:t xml:space="preserve">Figure 3: For each moderator, we fit a separate 3LMA and subsequently derived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 they hypothesize</w:t>
      </w:r>
      <w:r>
        <w:t xml:space="preserve"> </w:t>
      </w:r>
      <w:r>
        <w:rPr>
          <w:iCs/>
          <w:i/>
        </w:rPr>
        <w:t xml:space="preserve">no</w:t>
      </w:r>
      <w:r>
        <w:t xml:space="preserve"> </w:t>
      </w:r>
      <w:r>
        <w:t xml:space="preserve">change in response</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depending on whether participants were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50"/>
    <w:bookmarkStart w:id="55"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52" name="Picture"/>
            <a:graphic>
              <a:graphicData uri="http://schemas.openxmlformats.org/drawingml/2006/picture">
                <pic:pic>
                  <pic:nvPicPr>
                    <pic:cNvPr descr="metaware_manuscript_files/figure-docx/predplot-1.png" id="53" name="Picture"/>
                    <pic:cNvPicPr>
                      <a:picLocks noChangeArrowheads="1" noChangeAspect="1"/>
                    </pic:cNvPicPr>
                  </pic:nvPicPr>
                  <pic:blipFill>
                    <a:blip r:embed="rId51"/>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bookmarkStart w:id="54" w:name="fig:predplot"/>
      <w:bookmarkEnd w:id="54"/>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55"/>
    <w:bookmarkStart w:id="60"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virtually unchanged,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&lt;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7" name="Picture"/>
            <a:graphic>
              <a:graphicData uri="http://schemas.openxmlformats.org/drawingml/2006/picture">
                <pic:pic>
                  <pic:nvPicPr>
                    <pic:cNvPr descr="metaware_manuscript_files/figure-docx/funnel-1.png" id="58" name="Picture"/>
                    <pic:cNvPicPr>
                      <a:picLocks noChangeArrowheads="1" noChangeAspect="1"/>
                    </pic:cNvPicPr>
                  </pic:nvPicPr>
                  <pic:blipFill>
                    <a:blip r:embed="rId56"/>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59" w:name="fig:funnel"/>
      <w:bookmarkEnd w:id="59"/>
      <w:r>
        <w:t xml:space="preserve">Figure 5: Raw (Panel A) or aggregated (Panel B) effect sizes plotted against their corresponding standard errors.</w:t>
      </w:r>
    </w:p>
    <w:bookmarkEnd w:id="60"/>
    <w:bookmarkEnd w:id="61"/>
    <w:bookmarkStart w:id="62"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62"/>
    <w:bookmarkEnd w:id="63"/>
    <w:bookmarkStart w:id="84"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bookmarkStart w:id="76" w:name="methodology-1"/>
    <w:p>
      <w:pPr>
        <w:pStyle w:val="berschrift2"/>
      </w:pPr>
      <w:r>
        <w:t xml:space="preserve">Methodology</w:t>
      </w:r>
    </w:p>
    <w:p>
      <w:pPr>
        <w:pStyle w:val="FirstParagraph"/>
      </w:pPr>
      <w:r>
        <w:t xml:space="preserve">For each study in the meta-analysis</w:t>
      </w:r>
      <w:r>
        <w:rPr>
          <w:rStyle w:val="Funotenzeichen"/>
        </w:rPr>
        <w:footnoteReference w:id="64"/>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66" name="Picture"/>
            <a:graphic>
              <a:graphicData uri="http://schemas.openxmlformats.org/drawingml/2006/picture">
                <pic:pic>
                  <pic:nvPicPr>
                    <pic:cNvPr descr="images/metaware_vigs.png" id="67" name="Picture"/>
                    <pic:cNvPicPr>
                      <a:picLocks noChangeArrowheads="1" noChangeAspect="1"/>
                    </pic:cNvPicPr>
                  </pic:nvPicPr>
                  <pic:blipFill>
                    <a:blip r:embed="rId65"/>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bookmarkStart w:id="68" w:name="fig:vig"/>
      <w:bookmarkEnd w:id="68"/>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7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70" name="Picture"/>
            <a:graphic>
              <a:graphicData uri="http://schemas.openxmlformats.org/drawingml/2006/picture">
                <pic:pic>
                  <pic:nvPicPr>
                    <pic:cNvPr descr="images/metaware_mods.png" id="71" name="Picture"/>
                    <pic:cNvPicPr>
                      <a:picLocks noChangeArrowheads="1" noChangeAspect="1"/>
                    </pic:cNvPicPr>
                  </pic:nvPicPr>
                  <pic:blipFill>
                    <a:blip r:embed="rId69"/>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bookmarkStart w:id="72" w:name="fig:mods"/>
      <w:bookmarkEnd w:id="72"/>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73"/>
    <w:bookmarkStart w:id="7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74"/>
    <w:bookmarkStart w:id="75"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5"/>
    <w:bookmarkEnd w:id="76"/>
    <w:bookmarkStart w:id="82"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78" name="Picture"/>
            <a:graphic>
              <a:graphicData uri="http://schemas.openxmlformats.org/drawingml/2006/picture">
                <pic:pic>
                  <pic:nvPicPr>
                    <pic:cNvPr descr="metaware_manuscript_files/figure-docx/modfig-1.png" id="79" name="Picture"/>
                    <pic:cNvPicPr>
                      <a:picLocks noChangeArrowheads="1" noChangeAspect="1"/>
                    </pic:cNvPicPr>
                  </pic:nvPicPr>
                  <pic:blipFill>
                    <a:blip r:embed="rId77"/>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bookmarkStart w:id="80" w:name="fig:modfig"/>
      <w:bookmarkEnd w:id="80"/>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 In other words, in the absence of theory, it is challenging to predict the impact of demand characteristics. Thus, we next turned our attention to the motivation and expectancy accounts.</w:t>
      </w:r>
    </w:p>
    <w:p>
      <w:pPr>
        <w:pStyle w:val="Textkrper"/>
      </w:pPr>
      <w:r>
        <w:t xml:space="preserve">Inconsistent with motivation accounts,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w:t>
      </w:r>
    </w:p>
    <w:p>
      <w:pPr>
        <w:pStyle w:val="Textkrper"/>
      </w:pPr>
      <w:r>
        <w:t xml:space="preserve">The above results provide evidence of an association between demand effects and expectancies – but fails to provide evidence of an association with motivation. However, follow-up exploratory analyses did not indicate that expectancies are a significantly</w:t>
      </w:r>
      <w:r>
        <w:t xml:space="preserve"> </w:t>
      </w:r>
      <w:r>
        <w:rPr>
          <w:iCs/>
          <w:i/>
        </w:rPr>
        <w:t xml:space="preserve">stronger</w:t>
      </w:r>
      <w:r>
        <w:t xml:space="preserve"> </w:t>
      </w:r>
      <w:r>
        <w:t xml:space="preserve">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w:t>
      </w:r>
      <w:r>
        <w:t xml:space="preserve"> </w:t>
      </w:r>
      <w:r>
        <w:rPr>
          <w:iCs/>
          <w:i/>
        </w:rPr>
        <w:t xml:space="preserve">t</w:t>
      </w:r>
      <w:r>
        <w:t xml:space="preserve">(302) = -0.26,</w:t>
      </w:r>
      <w:r>
        <w:t xml:space="preserve"> </w:t>
      </w:r>
      <m:oMath>
        <m:r>
          <m:t>p</m:t>
        </m:r>
      </m:oMath>
      <w:r>
        <w:t xml:space="preserve"> </w:t>
      </w:r>
      <w:r>
        <w:t xml:space="preserve">= .798. In other words, the difference in significance was not itself statistically significant</w:t>
      </w:r>
      <w:r>
        <w:t xml:space="preserve"> </w:t>
      </w:r>
      <w:r>
        <w:t xml:space="preserve">(Gelman &amp; Stern, 2006)</w:t>
      </w:r>
      <w:r>
        <w:t xml:space="preserve">.</w:t>
      </w:r>
    </w:p>
    <w:bookmarkStart w:id="81"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(1) a model containing Study 1 moderators (type of demand characteristics manipulation, participant pool, setting, study design, 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29.60% and 6.98%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pPr>
        <w:pStyle w:val="Textkrper"/>
      </w:pPr>
      <w:r>
        <w:t xml:space="preserve">Including all moderators increased the pseudo-</w:t>
      </w:r>
      <m:oMath>
        <m:sSup>
          <m:e>
            <m:r>
              <m:t>R</m:t>
            </m:r>
          </m:e>
          <m:sup>
            <m:r>
              <m:t>2</m:t>
            </m:r>
          </m:sup>
        </m:sSup>
      </m:oMath>
      <w:r>
        <w:t xml:space="preserve"> </w:t>
      </w:r>
      <w:r>
        <w:t xml:space="preserve">to 34.99%, indicating that the majority of observed variability in demand effects is still unaccounted.</w:t>
      </w:r>
    </w:p>
    <w:bookmarkEnd w:id="81"/>
    <w:bookmarkEnd w:id="82"/>
    <w:bookmarkStart w:id="83"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but the pattern of results was subsequently replicated in Study 3 (described below).</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83"/>
    <w:bookmarkEnd w:id="84"/>
    <w:bookmarkStart w:id="88"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was randomized.</w:t>
      </w:r>
    </w:p>
    <w:bookmarkStart w:id="86"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85"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https://osf.io/3hkre/?view_only=2dc92af53f194e5eab0d7aecafaf01c2</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85"/>
    <w:bookmarkEnd w:id="86"/>
    <w:bookmarkStart w:id="87"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&lt; .001.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 [0.02,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87"/>
    <w:bookmarkEnd w:id="88"/>
    <w:bookmarkStart w:id="89" w:name="general-discussion"/>
    <w:p>
      <w:pPr>
        <w:pStyle w:val="berschrift1"/>
      </w:pPr>
      <w:r>
        <w:t xml:space="preserve">General Discussion</w:t>
      </w:r>
    </w:p>
    <w:p>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 remarkable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89"/>
    <w:bookmarkStart w:id="170" w:name="references"/>
    <w:p>
      <w:pPr>
        <w:pStyle w:val="berschrift1"/>
      </w:pPr>
      <w:r>
        <w:t xml:space="preserve">References</w:t>
      </w:r>
    </w:p>
    <w:p>
      <w:pPr>
        <w:pStyle w:val="FirstParagraph"/>
      </w:pPr>
      <w:r>
        <w:t xml:space="preserve">References marked with an asterisk indicate studies included in the meta-analysis.</w:t>
      </w:r>
    </w:p>
    <w:bookmarkStart w:id="169" w:name="refs"/>
    <w:bookmarkStart w:id="90"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90"/>
    <w:bookmarkStart w:id="92" w:name="ref-R-papaja"/>
    <w:p>
      <w:pPr>
        <w:pStyle w:val="Literaturverzeichnis"/>
      </w:pPr>
      <w:r>
        <w:t xml:space="preserve">Aust, F., &amp; Barth, M. (2022).</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91">
        <w:r>
          <w:rPr>
            <w:rStyle w:val="Hyperlink"/>
          </w:rPr>
          <w:t xml:space="preserve">https://github.com/crsh/papaja</w:t>
        </w:r>
      </w:hyperlink>
    </w:p>
    <w:bookmarkEnd w:id="92"/>
    <w:bookmarkStart w:id="93"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Cs/>
          <w:i/>
        </w:rPr>
        <w:t xml:space="preserve">Perceptual and Motor Skills</w:t>
      </w:r>
      <w:r>
        <w:t xml:space="preserve">,</w:t>
      </w:r>
      <w:r>
        <w:t xml:space="preserve"> </w:t>
      </w:r>
      <w:r>
        <w:rPr>
          <w:iCs/>
          <w:i/>
        </w:rPr>
        <w:t xml:space="preserve">73</w:t>
      </w:r>
      <w:r>
        <w:t xml:space="preserve">(1), 83–92.</w:t>
      </w:r>
    </w:p>
    <w:bookmarkEnd w:id="93"/>
    <w:bookmarkStart w:id="94"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94"/>
    <w:bookmarkStart w:id="95"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95"/>
    <w:bookmarkStart w:id="96"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96"/>
    <w:bookmarkStart w:id="97"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97"/>
    <w:bookmarkStart w:id="98"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Cs/>
          <w:i/>
        </w:rPr>
        <w:t xml:space="preserve">Cognitive Therapy and Research</w:t>
      </w:r>
      <w:r>
        <w:t xml:space="preserve">,</w:t>
      </w:r>
      <w:r>
        <w:t xml:space="preserve"> </w:t>
      </w:r>
      <w:r>
        <w:rPr>
          <w:iCs/>
          <w:i/>
        </w:rPr>
        <w:t xml:space="preserve">31</w:t>
      </w:r>
      <w:r>
        <w:t xml:space="preserve">, 805–815.</w:t>
      </w:r>
    </w:p>
    <w:bookmarkEnd w:id="98"/>
    <w:bookmarkStart w:id="100"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99">
        <w:r>
          <w:rPr>
            <w:rStyle w:val="Hyperlink"/>
          </w:rPr>
          <w:t xml:space="preserve">https://CRAN.R-project.org/package=weightr</w:t>
        </w:r>
      </w:hyperlink>
    </w:p>
    <w:bookmarkEnd w:id="100"/>
    <w:bookmarkStart w:id="101"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101"/>
    <w:bookmarkStart w:id="102"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102"/>
    <w:bookmarkStart w:id="103"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103"/>
    <w:bookmarkStart w:id="104"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104"/>
    <w:bookmarkStart w:id="105"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105"/>
    <w:bookmarkStart w:id="106"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106"/>
    <w:bookmarkStart w:id="107"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Cs/>
          <w:i/>
        </w:rPr>
        <w:t xml:space="preserve">Psychology and Psychotherapy: Theory, Research and Practice</w:t>
      </w:r>
      <w:r>
        <w:t xml:space="preserve">,</w:t>
      </w:r>
      <w:r>
        <w:t xml:space="preserve"> </w:t>
      </w:r>
      <w:r>
        <w:rPr>
          <w:iCs/>
          <w:i/>
        </w:rPr>
        <w:t xml:space="preserve">77</w:t>
      </w:r>
      <w:r>
        <w:t xml:space="preserve">(1), 121–133.</w:t>
      </w:r>
    </w:p>
    <w:bookmarkEnd w:id="107"/>
    <w:bookmarkStart w:id="108"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Cs/>
          <w:i/>
        </w:rPr>
        <w:t xml:space="preserve">The Journal of Psychology</w:t>
      </w:r>
      <w:r>
        <w:t xml:space="preserve">,</w:t>
      </w:r>
      <w:r>
        <w:t xml:space="preserve"> </w:t>
      </w:r>
      <w:r>
        <w:rPr>
          <w:iCs/>
          <w:i/>
        </w:rPr>
        <w:t xml:space="preserve">139</w:t>
      </w:r>
      <w:r>
        <w:t xml:space="preserve">(1), 57–66.</w:t>
      </w:r>
    </w:p>
    <w:bookmarkEnd w:id="108"/>
    <w:bookmarkStart w:id="109"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Cs/>
          <w:i/>
        </w:rPr>
        <w:t xml:space="preserve">The Journal of Psychology</w:t>
      </w:r>
      <w:r>
        <w:t xml:space="preserve">,</w:t>
      </w:r>
      <w:r>
        <w:t xml:space="preserve"> </w:t>
      </w:r>
      <w:r>
        <w:rPr>
          <w:iCs/>
          <w:i/>
        </w:rPr>
        <w:t xml:space="preserve">129</w:t>
      </w:r>
      <w:r>
        <w:t xml:space="preserve">(3), 269–275.</w:t>
      </w:r>
    </w:p>
    <w:bookmarkEnd w:id="109"/>
    <w:bookmarkStart w:id="110"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110"/>
    <w:bookmarkStart w:id="111"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Cs/>
          <w:i/>
        </w:rPr>
        <w:t xml:space="preserve">Journal of Experimental Psychology: Human Perception and Performance</w:t>
      </w:r>
      <w:r>
        <w:t xml:space="preserve">,</w:t>
      </w:r>
      <w:r>
        <w:t xml:space="preserve"> </w:t>
      </w:r>
      <w:r>
        <w:rPr>
          <w:iCs/>
          <w:i/>
        </w:rPr>
        <w:t xml:space="preserve">38</w:t>
      </w:r>
      <w:r>
        <w:t xml:space="preserve">(6), 1582.</w:t>
      </w:r>
    </w:p>
    <w:bookmarkEnd w:id="111"/>
    <w:bookmarkStart w:id="112"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112"/>
    <w:bookmarkStart w:id="113" w:name="ref-earn1979experimental"/>
    <w:p>
      <w:pPr>
        <w:pStyle w:val="Literaturverzeichnis"/>
      </w:pPr>
      <w:r>
        <w:rPr>
          <w:vertAlign w:val="superscript"/>
        </w:rPr>
        <w:t xml:space="preserve">*</w:t>
      </w:r>
      <w:r>
        <w:t xml:space="preserve"> </w:t>
      </w:r>
      <w:r>
        <w:t xml:space="preserve">Earn, B. M. (1979).</w:t>
      </w:r>
      <w:r>
        <w:t xml:space="preserve"> </w:t>
      </w:r>
      <w:r>
        <w:rPr>
          <w:iCs/>
          <w:i/>
        </w:rPr>
        <w:t xml:space="preserve">Experimental compensation, task interest and the cooperation with demand characteristics of volunteer and sign-up subjects.</w:t>
      </w:r>
      <w:r>
        <w:t xml:space="preserve"> </w:t>
      </w:r>
      <w:r>
        <w:t xml:space="preserve">(PhD thesis).</w:t>
      </w:r>
    </w:p>
    <w:bookmarkEnd w:id="113"/>
    <w:bookmarkStart w:id="11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114"/>
    <w:bookmarkStart w:id="11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115"/>
    <w:bookmarkStart w:id="116" w:name="ref-gelman2006difference"/>
    <w:p>
      <w:pPr>
        <w:pStyle w:val="Literaturverzeichnis"/>
      </w:pPr>
      <w:r>
        <w:t xml:space="preserve">Gelman, A., &amp; Stern, H. (2006). The difference between" significant" and" not significant" is not itself statistically significant.</w:t>
      </w:r>
      <w:r>
        <w:t xml:space="preserve"> </w:t>
      </w:r>
      <w:r>
        <w:rPr>
          <w:iCs/>
          <w:i/>
        </w:rPr>
        <w:t xml:space="preserve">The American Statistician</w:t>
      </w:r>
      <w:r>
        <w:t xml:space="preserve">, 328–331.</w:t>
      </w:r>
    </w:p>
    <w:bookmarkEnd w:id="116"/>
    <w:bookmarkStart w:id="117"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17"/>
    <w:bookmarkStart w:id="118"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118"/>
    <w:bookmarkStart w:id="11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19"/>
    <w:bookmarkStart w:id="120"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Cs/>
          <w:i/>
        </w:rPr>
        <w:t xml:space="preserve">Journal of Cognitive Neuroscience</w:t>
      </w:r>
      <w:r>
        <w:t xml:space="preserve">,</w:t>
      </w:r>
      <w:r>
        <w:t xml:space="preserve"> </w:t>
      </w:r>
      <w:r>
        <w:rPr>
          <w:iCs/>
          <w:i/>
        </w:rPr>
        <w:t xml:space="preserve">30</w:t>
      </w:r>
      <w:r>
        <w:t xml:space="preserve">(11), 1720–1733.</w:t>
      </w:r>
    </w:p>
    <w:bookmarkEnd w:id="120"/>
    <w:bookmarkStart w:id="121" w:name="ref-isager2022student"/>
    <w:p>
      <w:pPr>
        <w:pStyle w:val="Literaturverzeichnis"/>
      </w:pPr>
      <w:r>
        <w:rPr>
          <w:vertAlign w:val="superscript"/>
        </w:rPr>
        <w:t xml:space="preserve">*</w:t>
      </w:r>
      <w:r>
        <w:t xml:space="preserve"> </w:t>
      </w:r>
      <w:r>
        <w:t xml:space="preserve">Isager, P. (2022).</w:t>
      </w:r>
      <w:r>
        <w:t xml:space="preserve"> </w:t>
      </w:r>
      <w:r>
        <w:rPr>
          <w:iCs/>
          <w:i/>
        </w:rPr>
        <w:t xml:space="preserve">Student replication of coles et al. 2022</w:t>
      </w:r>
      <w:r>
        <w:t xml:space="preserve">.</w:t>
      </w:r>
    </w:p>
    <w:bookmarkEnd w:id="121"/>
    <w:bookmarkStart w:id="122"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Cs/>
          <w:i/>
        </w:rPr>
        <w:t xml:space="preserve">Cognitive Therapy and Research</w:t>
      </w:r>
      <w:r>
        <w:t xml:space="preserve">,</w:t>
      </w:r>
      <w:r>
        <w:t xml:space="preserve"> </w:t>
      </w:r>
      <w:r>
        <w:rPr>
          <w:iCs/>
          <w:i/>
        </w:rPr>
        <w:t xml:space="preserve">28</w:t>
      </w:r>
      <w:r>
        <w:t xml:space="preserve">, 229–239.</w:t>
      </w:r>
    </w:p>
    <w:bookmarkEnd w:id="122"/>
    <w:bookmarkStart w:id="123"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23"/>
    <w:bookmarkStart w:id="124"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Cs/>
          <w:i/>
        </w:rPr>
        <w:t xml:space="preserve">Appetite</w:t>
      </w:r>
      <w:r>
        <w:t xml:space="preserve">,</w:t>
      </w:r>
      <w:r>
        <w:t xml:space="preserve"> </w:t>
      </w:r>
      <w:r>
        <w:rPr>
          <w:iCs/>
          <w:i/>
        </w:rPr>
        <w:t xml:space="preserve">141</w:t>
      </w:r>
      <w:r>
        <w:t xml:space="preserve">, 104318.</w:t>
      </w:r>
    </w:p>
    <w:bookmarkEnd w:id="124"/>
    <w:bookmarkStart w:id="125"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25"/>
    <w:bookmarkStart w:id="126"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Cs/>
          <w:i/>
        </w:rPr>
        <w:t xml:space="preserve">Personality</w:t>
      </w:r>
      <w:r>
        <w:t xml:space="preserve">,</w:t>
      </w:r>
      <w:r>
        <w:t xml:space="preserve"> </w:t>
      </w:r>
      <w:r>
        <w:rPr>
          <w:iCs/>
          <w:i/>
        </w:rPr>
        <w:t xml:space="preserve">2</w:t>
      </w:r>
      <w:r>
        <w:t xml:space="preserve">(2), 77–91.</w:t>
      </w:r>
    </w:p>
    <w:bookmarkEnd w:id="126"/>
    <w:bookmarkStart w:id="127" w:name="ref-lana1971subject"/>
    <w:p>
      <w:pPr>
        <w:pStyle w:val="Literaturverzeichnis"/>
      </w:pPr>
      <w:r>
        <w:rPr>
          <w:vertAlign w:val="superscript"/>
        </w:rPr>
        <w:t xml:space="preserve">*</w:t>
      </w:r>
      <w:r>
        <w:t xml:space="preserve"> </w:t>
      </w:r>
      <w:r>
        <w:t xml:space="preserve">Lana, R. E., &amp; Menapace, R. H. (1971). Subject commitment and demand characteristics in attitude change.</w:t>
      </w:r>
      <w:r>
        <w:t xml:space="preserve"> </w:t>
      </w:r>
      <w:r>
        <w:rPr>
          <w:iCs/>
          <w:i/>
        </w:rPr>
        <w:t xml:space="preserve">Journal of Personality and Social Psychology</w:t>
      </w:r>
      <w:r>
        <w:t xml:space="preserve">,</w:t>
      </w:r>
      <w:r>
        <w:t xml:space="preserve"> </w:t>
      </w:r>
      <w:r>
        <w:rPr>
          <w:iCs/>
          <w:i/>
        </w:rPr>
        <w:t xml:space="preserve">20</w:t>
      </w:r>
      <w:r>
        <w:t xml:space="preserve">(2), 136.</w:t>
      </w:r>
    </w:p>
    <w:bookmarkEnd w:id="127"/>
    <w:bookmarkStart w:id="128"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28"/>
    <w:bookmarkStart w:id="130"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29">
        <w:r>
          <w:rPr>
            <w:rStyle w:val="Hyperlink"/>
          </w:rPr>
          <w:t xml:space="preserve">https://CRAN.R-project.org/package=emmeans</w:t>
        </w:r>
      </w:hyperlink>
    </w:p>
    <w:bookmarkEnd w:id="130"/>
    <w:bookmarkStart w:id="131"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31"/>
    <w:bookmarkStart w:id="132"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Cs/>
          <w:i/>
        </w:rPr>
        <w:t xml:space="preserve">Psychological Research</w:t>
      </w:r>
      <w:r>
        <w:t xml:space="preserve">,</w:t>
      </w:r>
      <w:r>
        <w:t xml:space="preserve"> </w:t>
      </w:r>
      <w:r>
        <w:rPr>
          <w:iCs/>
          <w:i/>
        </w:rPr>
        <w:t xml:space="preserve">82</w:t>
      </w:r>
      <w:r>
        <w:t xml:space="preserve">(4), 700–707.</w:t>
      </w:r>
    </w:p>
    <w:bookmarkEnd w:id="132"/>
    <w:bookmarkStart w:id="133"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33"/>
    <w:bookmarkStart w:id="134"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Cs/>
          <w:i/>
        </w:rPr>
        <w:t xml:space="preserve">Psychological Reports</w:t>
      </w:r>
      <w:r>
        <w:t xml:space="preserve">,</w:t>
      </w:r>
      <w:r>
        <w:t xml:space="preserve"> </w:t>
      </w:r>
      <w:r>
        <w:rPr>
          <w:iCs/>
          <w:i/>
        </w:rPr>
        <w:t xml:space="preserve">36</w:t>
      </w:r>
      <w:r>
        <w:t xml:space="preserve">(1), 267–278.</w:t>
      </w:r>
    </w:p>
    <w:bookmarkEnd w:id="134"/>
    <w:bookmarkStart w:id="135"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Cs/>
          <w:i/>
        </w:rPr>
        <w:t xml:space="preserve">Journal of Clinical Psychology</w:t>
      </w:r>
      <w:r>
        <w:t xml:space="preserve">.</w:t>
      </w:r>
    </w:p>
    <w:bookmarkEnd w:id="135"/>
    <w:bookmarkStart w:id="136"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36"/>
    <w:bookmarkStart w:id="137"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37"/>
    <w:bookmarkStart w:id="138"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38"/>
    <w:bookmarkStart w:id="139"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39"/>
    <w:bookmarkStart w:id="140"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Cs/>
          <w:i/>
        </w:rPr>
        <w:t xml:space="preserve">The Journal of Abnormal and Social Psychology</w:t>
      </w:r>
      <w:r>
        <w:t xml:space="preserve">,</w:t>
      </w:r>
      <w:r>
        <w:t xml:space="preserve"> </w:t>
      </w:r>
      <w:r>
        <w:rPr>
          <w:iCs/>
          <w:i/>
        </w:rPr>
        <w:t xml:space="preserve">68</w:t>
      </w:r>
      <w:r>
        <w:t xml:space="preserve">(1), 3.</w:t>
      </w:r>
    </w:p>
    <w:bookmarkEnd w:id="140"/>
    <w:bookmarkStart w:id="141"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Cs/>
          <w:i/>
        </w:rPr>
        <w:t xml:space="preserve">The Journal of Social Psychology</w:t>
      </w:r>
      <w:r>
        <w:t xml:space="preserve">,</w:t>
      </w:r>
      <w:r>
        <w:t xml:space="preserve"> </w:t>
      </w:r>
      <w:r>
        <w:rPr>
          <w:iCs/>
          <w:i/>
        </w:rPr>
        <w:t xml:space="preserve">105</w:t>
      </w:r>
      <w:r>
        <w:t xml:space="preserve">(2), 265–275.</w:t>
      </w:r>
    </w:p>
    <w:bookmarkEnd w:id="141"/>
    <w:bookmarkStart w:id="142"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Cs/>
          <w:i/>
        </w:rPr>
        <w:t xml:space="preserve">Journal of Abnormal Psychology</w:t>
      </w:r>
      <w:r>
        <w:t xml:space="preserve">,</w:t>
      </w:r>
      <w:r>
        <w:t xml:space="preserve"> </w:t>
      </w:r>
      <w:r>
        <w:rPr>
          <w:iCs/>
          <w:i/>
        </w:rPr>
        <w:t xml:space="preserve">89</w:t>
      </w:r>
      <w:r>
        <w:t xml:space="preserve">(2), 286.</w:t>
      </w:r>
    </w:p>
    <w:bookmarkEnd w:id="142"/>
    <w:bookmarkStart w:id="144"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3">
        <w:r>
          <w:rPr>
            <w:rStyle w:val="Hyperlink"/>
          </w:rPr>
          <w:t xml:space="preserve">https://www.R-project.org/</w:t>
        </w:r>
      </w:hyperlink>
    </w:p>
    <w:bookmarkEnd w:id="144"/>
    <w:bookmarkStart w:id="145"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45"/>
    <w:bookmarkStart w:id="146"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46"/>
    <w:bookmarkStart w:id="147"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Cs/>
          <w:i/>
        </w:rPr>
        <w:t xml:space="preserve">Journal of Behavioral Decision Making</w:t>
      </w:r>
      <w:r>
        <w:t xml:space="preserve">,</w:t>
      </w:r>
      <w:r>
        <w:t xml:space="preserve"> </w:t>
      </w:r>
      <w:r>
        <w:rPr>
          <w:iCs/>
          <w:i/>
        </w:rPr>
        <w:t xml:space="preserve">27</w:t>
      </w:r>
      <w:r>
        <w:t xml:space="preserve">(1), 1–10.</w:t>
      </w:r>
    </w:p>
    <w:bookmarkEnd w:id="147"/>
    <w:bookmarkStart w:id="148"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48"/>
    <w:bookmarkStart w:id="149"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49"/>
    <w:bookmarkStart w:id="150"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50"/>
    <w:bookmarkStart w:id="15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51"/>
    <w:bookmarkStart w:id="152" w:name="ref-schauer1969demand"/>
    <w:p>
      <w:pPr>
        <w:pStyle w:val="Literaturverzeichnis"/>
      </w:pPr>
      <w:r>
        <w:rPr>
          <w:vertAlign w:val="superscript"/>
        </w:rPr>
        <w:t xml:space="preserve">*</w:t>
      </w:r>
      <w:r>
        <w:t xml:space="preserve"> </w:t>
      </w:r>
      <w:r>
        <w:t xml:space="preserve">Schauer, E. (1969).</w:t>
      </w:r>
      <w:r>
        <w:t xml:space="preserve"> </w:t>
      </w:r>
      <w:r>
        <w:rPr>
          <w:iCs/>
          <w:i/>
        </w:rPr>
        <w:t xml:space="preserve">Demand characteristics in a quasi-psychophysical experiment.</w:t>
      </w:r>
      <w:r>
        <w:t xml:space="preserve"> </w:t>
      </w:r>
      <w:r>
        <w:t xml:space="preserve">(PhD thesis).</w:t>
      </w:r>
    </w:p>
    <w:bookmarkEnd w:id="152"/>
    <w:bookmarkStart w:id="153"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53"/>
    <w:bookmarkStart w:id="154"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Cs/>
          <w:i/>
        </w:rPr>
        <w:t xml:space="preserve">Journal of Behavioral Assessment</w:t>
      </w:r>
      <w:r>
        <w:t xml:space="preserve">,</w:t>
      </w:r>
      <w:r>
        <w:t xml:space="preserve"> </w:t>
      </w:r>
      <w:r>
        <w:rPr>
          <w:iCs/>
          <w:i/>
        </w:rPr>
        <w:t xml:space="preserve">4</w:t>
      </w:r>
      <w:r>
        <w:t xml:space="preserve">, 179–185.</w:t>
      </w:r>
    </w:p>
    <w:bookmarkEnd w:id="154"/>
    <w:bookmarkStart w:id="155"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55"/>
    <w:bookmarkStart w:id="156" w:name="ref-simonsohn2022above"/>
    <w:p>
      <w:pPr>
        <w:pStyle w:val="Literaturverzeichnis"/>
      </w:pPr>
      <w:r>
        <w:t xml:space="preserve">Simonsohn, U., Simmons, J., &amp; Nelson, L. D. (2022). Above averaging in literature reviews.</w:t>
      </w:r>
      <w:r>
        <w:t xml:space="preserve"> </w:t>
      </w:r>
      <w:r>
        <w:rPr>
          <w:iCs/>
          <w:i/>
        </w:rPr>
        <w:t xml:space="preserve">Nature Reviews Psychology</w:t>
      </w:r>
      <w:r>
        <w:t xml:space="preserve">,</w:t>
      </w:r>
      <w:r>
        <w:t xml:space="preserve"> </w:t>
      </w:r>
      <w:r>
        <w:rPr>
          <w:iCs/>
          <w:i/>
        </w:rPr>
        <w:t xml:space="preserve">1</w:t>
      </w:r>
      <w:r>
        <w:t xml:space="preserve">(10), 551–552.</w:t>
      </w:r>
    </w:p>
    <w:bookmarkEnd w:id="156"/>
    <w:bookmarkStart w:id="157"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Cs/>
          <w:i/>
        </w:rPr>
        <w:t xml:space="preserve">The Journal of General Psychology</w:t>
      </w:r>
      <w:r>
        <w:t xml:space="preserve">,</w:t>
      </w:r>
      <w:r>
        <w:t xml:space="preserve"> </w:t>
      </w:r>
      <w:r>
        <w:rPr>
          <w:iCs/>
          <w:i/>
        </w:rPr>
        <w:t xml:space="preserve">113</w:t>
      </w:r>
      <w:r>
        <w:t xml:space="preserve">(3), 289–297.</w:t>
      </w:r>
    </w:p>
    <w:bookmarkEnd w:id="157"/>
    <w:bookmarkStart w:id="158"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58"/>
    <w:bookmarkStart w:id="159"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59"/>
    <w:bookmarkStart w:id="160"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60"/>
    <w:bookmarkStart w:id="161"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61"/>
    <w:bookmarkStart w:id="162"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Cs/>
          <w:i/>
        </w:rPr>
        <w:t xml:space="preserve">The Journal of Nervous and Mental Disease</w:t>
      </w:r>
      <w:r>
        <w:t xml:space="preserve">,</w:t>
      </w:r>
      <w:r>
        <w:t xml:space="preserve"> </w:t>
      </w:r>
      <w:r>
        <w:rPr>
          <w:iCs/>
          <w:i/>
        </w:rPr>
        <w:t xml:space="preserve">194</w:t>
      </w:r>
      <w:r>
        <w:t xml:space="preserve">(6), 415–421.</w:t>
      </w:r>
    </w:p>
    <w:bookmarkEnd w:id="162"/>
    <w:bookmarkStart w:id="163"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Cs/>
          <w:i/>
        </w:rPr>
        <w:t xml:space="preserve">Journal of Environmental Psychology</w:t>
      </w:r>
      <w:r>
        <w:t xml:space="preserve">,</w:t>
      </w:r>
      <w:r>
        <w:t xml:space="preserve"> </w:t>
      </w:r>
      <w:r>
        <w:rPr>
          <w:iCs/>
          <w:i/>
        </w:rPr>
        <w:t xml:space="preserve">11</w:t>
      </w:r>
      <w:r>
        <w:t xml:space="preserve">(1), 87–95.</w:t>
      </w:r>
    </w:p>
    <w:bookmarkEnd w:id="163"/>
    <w:bookmarkStart w:id="164"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Cs/>
          <w:i/>
        </w:rPr>
        <w:t xml:space="preserve">Perceptual and Motor Skills</w:t>
      </w:r>
      <w:r>
        <w:t xml:space="preserve">,</w:t>
      </w:r>
      <w:r>
        <w:t xml:space="preserve"> </w:t>
      </w:r>
      <w:r>
        <w:rPr>
          <w:iCs/>
          <w:i/>
        </w:rPr>
        <w:t xml:space="preserve">104</w:t>
      </w:r>
      <w:r>
        <w:t xml:space="preserve">(1), 153–154.</w:t>
      </w:r>
    </w:p>
    <w:bookmarkEnd w:id="164"/>
    <w:bookmarkStart w:id="16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65"/>
    <w:bookmarkStart w:id="16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66"/>
    <w:bookmarkStart w:id="16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67"/>
    <w:bookmarkStart w:id="16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68"/>
    <w:bookmarkEnd w:id="169"/>
    <w:bookmarkEnd w:id="170"/>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33">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7">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64">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QUANTITATIVE REVIEW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QUANTITATIVE REVIEW</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6" Target="media/rId26.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129" Target="https://CRAN.R-project.org/package=emmeans" TargetMode="External" /><Relationship Type="http://schemas.openxmlformats.org/officeDocument/2006/relationships/hyperlink" Id="rId99" Target="https://CRAN.R-project.org/package=weightr" TargetMode="External" /><Relationship Type="http://schemas.openxmlformats.org/officeDocument/2006/relationships/hyperlink" Id="rId91"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43"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29" Target="https://CRAN.R-project.org/package=emmeans" TargetMode="External" /><Relationship Type="http://schemas.openxmlformats.org/officeDocument/2006/relationships/hyperlink" Id="rId99" Target="https://CRAN.R-project.org/package=weightr" TargetMode="External" /><Relationship Type="http://schemas.openxmlformats.org/officeDocument/2006/relationships/hyperlink" Id="rId91"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43"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2024-01-19T22:29:24Z</dcterms:created>
  <dcterms:modified xsi:type="dcterms:W3CDTF">2024-01-19T22:29:24Z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their beliefs about the researcher’s hypothesis (i.e., demand characteristics). In a meta-analysis, we combined evidence from 40 studies that experimentally tested this concern by manipulating the hypothesis communicated to participants. Results suggested that information about the researcher’s hypothesis can produce biases in participants’ responses that can be potentially large – but are troublingly unreliable and difficult to explain.All materials, data (raw and processed), code, and pre-registrations (for Studies 1 and 2) are openly available at https://osf.io/3hkre/?view_only=2dc92af53f194e5eab0d7aecafaf01c2.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C:\Users\NICHOL~1\DOCUME~1\R\WIN-LI~1\4.1\papaja\rmd\APA6-A~2.CSL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kersbergen2019hypothesis;@martin2018attention;@hoogeveen2018did;@rose2014choice;@durgin2012social;@busch2007follow;@cramer2005effect;@kanter2004experimental;@terhune2006induction;@cramer1995effect;@barabasz1991effects;@veitch1991demand;@smith1986influence;@siegel1982influence;@lamberth1971similarity;@polivy1980laboratory;@earn1979experimental;@perry1978demand;@mcginley1975subject;@mcglynn1972experimental;@verpaelst2007demand;@lana1971subject;@schauer1969demand;@cramer2004effect;@isager2022student</vt:lpwstr>
  </property>
  <property fmtid="{D5CDD505-2E9C-101B-9397-08002B2CF9AE}" pid="16" name="output">
    <vt:lpwstr>papaja::apa6_docx</vt:lpwstr>
  </property>
  <property fmtid="{D5CDD505-2E9C-101B-9397-08002B2CF9AE}" pid="17" name="shorttitle">
    <vt:lpwstr>Demand characteristics quantitative review</vt:lpwstr>
  </property>
  <property fmtid="{D5CDD505-2E9C-101B-9397-08002B2CF9AE}" pid="18" name="tablelist">
    <vt:lpwstr>False</vt:lpwstr>
  </property>
</Properties>
</file>