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TBD</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w:t>
      </w:r>
    </w:p>
    <w:p>
      <w:pPr>
        <w:pStyle w:val="Textkrper"/>
      </w:pPr>
      <w:r>
        <w:t xml:space="preserve">The person explains that Colesology in a new approach for estimating causal relationships. However, they adds that the method can sometimes be thrown off by a</w:t>
      </w:r>
      <w:r>
        <w:t xml:space="preserve"> </w:t>
      </w:r>
      <w:r>
        <w:rPr>
          <w:iCs/>
          <w:i/>
        </w:rPr>
        <w:t xml:space="preserve">methodological artifact.</w:t>
      </w:r>
      <w:r>
        <w:t xml:space="preserve"> </w:t>
      </w:r>
      <w:r>
        <w:t xml:space="preserve">You ask the Colesologist about this artifact. They explain that, sometimes, it causes researchers to detect an effect that’s not real; other times, it causes researchers to miss an effect that</w:t>
      </w:r>
      <w:r>
        <w:t xml:space="preserve"> </w:t>
      </w:r>
      <w:r>
        <w:rPr>
          <w:iCs/>
          <w:i/>
        </w:rPr>
        <w:t xml:space="preserve">is</w:t>
      </w:r>
      <w:r>
        <w:t xml:space="preserve"> </w:t>
      </w:r>
      <w:r>
        <w:t xml:space="preserve">real. They add that sometimes the artifact causes estimated relationships to be biased upward; other times, it causes the estimates to be biased downward. And, in general, they explain, it means that the things researchers observe using Colesology don’t necessarily capture real-world human behavior.</w:t>
      </w:r>
    </w:p>
    <w:p>
      <w:pPr>
        <w:pStyle w:val="Textkrper"/>
      </w:pPr>
      <w:r>
        <w:t xml:space="preserve">At this point, you might become skeptical and ask the Colesologist,</w:t>
      </w:r>
      <w:r>
        <w:t xml:space="preserve"> </w:t>
      </w:r>
      <w:r>
        <w:t xml:space="preserve">“</w:t>
      </w:r>
      <w:r>
        <w:t xml:space="preserve">How does this methodological artifact work?</w:t>
      </w:r>
      <w:r>
        <w:t xml:space="preserve">”</w:t>
      </w:r>
      <w:r>
        <w:t xml:space="preserve"> </w:t>
      </w:r>
      <w:r>
        <w:t xml:space="preserve">Their response? They don’t know, because sometimes the artifact seems to matter and other times it doesn’t.</w:t>
      </w:r>
    </w:p>
    <w:p>
      <w:pPr>
        <w:pStyle w:val="Textkrper"/>
      </w:pPr>
      <w:r>
        <w:t xml:space="preserve">If this scenario were real, you would reasonably question whether Colesology is a valid method of scientific inquiry. But here’s the thing: we’re not describing Colesology, we’re describing experimental psychology.</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Not everybody agreed about the importance of these demand characteristics (e.g., Berkowitz, 1971; Milgram, 1972). Nonetheless, over the next 60 years, demand characteristics become recognized as a literal textbook methodological concern in experimental psychology (Sharpe and Whelton, 2016).</w:t>
      </w:r>
    </w:p>
    <w:p>
      <w:pPr>
        <w:pStyle w:val="Textkrper"/>
      </w:pPr>
      <w:r>
        <w:t xml:space="preserve">Orne initially focused on evidence that demand characteristics can lead to false positives—such as patients exhibiting sham symptoms of hypnosis (Orne, 1959). Follow-up research, though, indicated that demand characteristics can also lead to false negatives. For example, Hayes and King (1967) demosntrated that participants will ignore visual cues of depth when they believe that doing so is the purpose of the experiment. In addition to creating inferential errors, demand characteristics can also bias estimates of causal relationships. For example, Coles et al. (2022) 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Yet, it’s still not clear when demand characteristics matter. For example, in large replications of classic studies in behavioral economics, Mummolo and Peterson (2021) consistently failed to find that manipulations of their communicated hypothesis impacted participants’ responses.</w:t>
      </w:r>
    </w:p>
    <w:p>
      <w:pPr>
        <w:pStyle w:val="Textkrper"/>
      </w:pPr>
      <w:r>
        <w:t xml:space="preserve">After over 60 years, experimental psychologists are left with an uncomfortable truth: demand characteristics are a literal textbook methodological concern—but it is not clear when and how their effects emerge. The goal of the current paper is to use meta-analysis to take stock of what we know (and don’t know) about demand characteristics.</w:t>
      </w:r>
    </w:p>
    <w:p>
      <w:pPr>
        <w:pStyle w:val="Textkrper"/>
      </w:pPr>
      <w:r>
        <w:t xml:space="preserve">We first provide an overview of a framework designed to accommodate the potentially varied effects of demand characteristics (Rosnow &amp; Rosenthal, 1997). We also review a complementary framework that attempts to bridge the gap between research on demand characteristics and research on placebo effects (Coles et al., 2022).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 Rosnow and Rosenthal (1997) and Coles et al. (2022). We end with a discussion of the steps we believe are required to transform vague frameworks about demand characteristics into formal theories—theories we believe might help distinguishing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 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 argued that participants must be perceptive to demand characteristics in order for them to impact downstream responses (Rosnow &amp; Aiken, 1973; Strohmetz, 2007).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response bias (for a review, see Rosnow and Rosenthal, 1997; Weber and Cook, 1972). Orne (1962) 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cause them to be evaluated positively (Riecken, 1962; Rosenberg, 1969, 2009; Sigall, Aronson, and Van Hoose, 1970). Masling (1966) argued that participants sometimes interfere with the purpose of the study (</w:t>
      </w:r>
      <w:r>
        <w:t xml:space="preserve">“</w:t>
      </w:r>
      <w:r>
        <w:t xml:space="preserve">negativistic subjects</w:t>
      </w:r>
      <w:r>
        <w:t xml:space="preserve">”</w:t>
      </w:r>
      <w:r>
        <w:t xml:space="preserve">; see also Cook et al. 1970; Silverman, 1977), whereas Fillenbaum (1966) 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a key driver of the effects of demand characteristics is participants’ motivation to provide hypothesis-consistent responses.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 (Barbuto and Scholl, 1998; Boudreaux &amp; Ozer, 2013). Indeed, when the idea of multiple motivations was explored, it was often done so to highlight the more prominent role of a single goal (e.g., evaluation apprehension vs. motivation to help the experimenter; Sigall, Aronson, and Hoose, 1970). However, Rosnow and Rosenthal (1997) found that people have multiple goals in mind when they conceptualize their role as research participants. Participants describe their role as being similar to situations where one is being altruistic (e.g., giving to charity), being evaluated (e.g., being interviewed for a job), and 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 Rosnow and Rosenthal (1997) 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to acquiesce to highly motivated to counter-acquiesce.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 Rosnow and Rosenthal (1997) suggested that there is variability in the extent to which participants have the opportunity to alter the outcome-of-interest. Thus, they posited that demand characteristics can impact outcomes that participants can readily alter.</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and Aiken, 1973; Strohmetz, 2007).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 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that are mediated by the relatively automatic activation of beliefs or pre-existing conditioned responses (Zion and Crum, 2018). Thus, unlike Rosnow and Rosenthal (1997), Coles and colleagues argued that demand characteristics can impact responses even when participants have neither the motivation nor opportunity to adjust their responses. Preliminary evidence for this assertion comes from Coles et al.’s observation that participants’ beliefs did not always match the demand characteristics manipulation. For example, some participants disclosed that they (a) did not personally believe that posed expressions impacted emotion, but (b) recognized that the experimenter did. Both the manipulation of demand characteristics and measures of participants’ beliefs independently moderated facial feedback effects, providing preliminary evidence of distinct psychological mechanisms.</w:t>
      </w:r>
    </w:p>
    <w:bookmarkEnd w:id="29"/>
    <w:bookmarkStart w:id="46" w:name="methodology"/>
    <w:p>
      <w:pPr>
        <w:pStyle w:val="berschrift1"/>
      </w:pPr>
      <w:r>
        <w:t xml:space="preserve">Methodology</w:t>
      </w:r>
    </w:p>
    <w:p>
      <w:pPr>
        <w:pStyle w:val="FirstParagraph"/>
      </w:pPr>
      <w:r>
        <w:t xml:space="preserve">We describe the scope of our meta-analysis using the Population, Intervention, Comparison, Outcome framework (Schardt et al. 2007).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relatively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an effect that was non-nil and non-directional.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(nil demand).</w:t>
      </w:r>
    </w:p>
    <w:p>
      <w:pPr>
        <w:numPr>
          <w:ilvl w:val="0"/>
          <w:numId w:val="1001"/>
        </w:numPr>
      </w:pPr>
      <w:r>
        <w:t xml:space="preserve">The demand characteristics manipulation was not strongly confounded. For example, a study by Sigall and Adair (1974) 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41 studies from 30 records were eligible for inclusion.</w:t>
      </w:r>
    </w:p>
    <w:bookmarkEnd w:id="31"/>
    <w:bookmarkStart w:id="32" w:name="effect-size-index"/>
    <w:p>
      <w:pPr>
        <w:pStyle w:val="berschrift2"/>
      </w:pPr>
      <w:r>
        <w:t xml:space="preserve">Effect size index</w:t>
      </w:r>
    </w:p>
    <w:p>
      <w:pPr>
        <w:pStyle w:val="FirstParagraph"/>
      </w:pPr>
      <w:r>
        <w:t xml:space="preserve">We used standardized mean difference scores as our effect size index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Borenstein, 2009; Cohen, 1988).</w:t>
      </w:r>
    </w:p>
    <w:p>
      <w:pPr>
        <w:pStyle w:val="Textkrper"/>
      </w:pPr>
      <w:r>
        <w:t xml:space="preserve">In some scenarios, we estimated the main effect of demand characteristics. For example, Coles et al. (2022) 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 Coles et al. (2022) study, participants reported happiness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difference-in-differences score.</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 $d_{rm}$. This correlation is rarely reported, so we followed Borenstein’s (2009) recommendation 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w:t>
      </w:r>
    </w:p>
    <w:p>
      <w:pPr>
        <w:pStyle w:val="Textkrper"/>
      </w:pPr>
      <w:r>
        <w:t xml:space="preserve">Often,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comparison involved a single demand characteristic condition (positive, negative, or nil demand) compared to a control group. Sometimes, however, this comparison involved two demand characteristic comparisons (e.g., positive demand compared to negative demand). We coded whether the comparison involved one vs. two comparisons. In addition, we coded each type of comparison: positive vs. control, nil vs. control, negative vs. control, positive vs. nil, positive vs. negative, nil vs. negative.</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 Rosnow and Rosenthal (1997) and Coles et al. (2022) posited that the effects of demand characteristics are moderated by participants’ (1) motivation to provide hypothesis-consistent responses and (2) opportunity to adjust their responses (Figure</w:t>
      </w:r>
      <w:r>
        <w:t xml:space="preserve"> </w:t>
      </w:r>
      <w:r>
        <w:t xml:space="preserve">1</w:t>
      </w:r>
      <w:r>
        <w:t xml:space="preserve">). Coles et al. (2022) 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three moderators-of-interest, we estimated their values through a new set of participants. (See SI for construct validity analyses.) For each demand characteristic condition and dependent variable combination, we created vignettes that described key study details. For example, Standing, Verpaelst, and Ulmer (2008) had two demand characteristics manipulations (positive demand and nil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We assumed that not communicating a hypothesis meant that participants (a) could not be motivated to confirm the hypothesis, and (b) would not have any pre-existing beliefs about the effect-of-interest activated. Thus, we assumed that motivation and belief scores in this condition were zero. We also assumed that opportunity ratings in the control condition were equivalent to the average ratings from non-control conditions.</w:t>
      </w:r>
    </w:p>
    <w:p>
      <w:pPr>
        <w:pStyle w:val="CaptionedFigure"/>
      </w:pPr>
      <w:r>
        <w:drawing>
          <wp:inline>
            <wp:extent cx="5969000" cy="3702084"/>
            <wp:effectExtent b="0" l="0" r="0" t="0"/>
            <wp:docPr descr="Figure 2.  Vignettes for Coles et al. 2022, Study 1."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Coles et al. 2022, Study 1.</w:t>
      </w:r>
    </w:p>
    <w:p>
      <w:pPr>
        <w:pStyle w:val="Textkrper"/>
      </w:pPr>
      <w:r>
        <w:t xml:space="preserve">N undergraduates from Stanford University reviewed 20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7 =</w:t>
      </w:r>
      <w:r>
        <w:t xml:space="preserve"> </w:t>
      </w:r>
      <w:r>
        <w:t xml:space="preserve">“</w:t>
      </w:r>
      <w:r>
        <w:t xml:space="preserve">extremely capable), and (3) believe the experimenter’s hypothesis (0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scores were averaged across rater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75127"/>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7512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and belief scores for the two groups being compared. Doing so allowed us to accommodate the fact that some comparisons involved two demand characteristics conditions. For example, imagine a study where a procedure is either described as mood-boosting (positive demand), described as mood-dampening (negative demand), or not described at all (control). If participants are equally motivated to confirm the hypothesis in both conditions, mood reports will be biased upward in the first condition and downward in the second condition (see Figure</w:t>
      </w:r>
      <w:r>
        <w:t xml:space="preserve"> </w:t>
      </w:r>
      <w:r>
        <w:t xml:space="preserve">3</w:t>
      </w:r>
      <w:r>
        <w:t xml:space="preserve">, Panel A, Column 1). In other words, the size of the demand effect is doubled because the motivational forces in the two conditions produce an additive effect. Similarly,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We used a similar approach for belief scores (Figure</w:t>
      </w:r>
      <w:r>
        <w:t xml:space="preserve"> </w:t>
      </w:r>
      <w:r>
        <w:t xml:space="preserve">3</w:t>
      </w:r>
      <w:r>
        <w:t xml:space="preserve">, Panel B).</w:t>
      </w:r>
    </w:p>
    <w:p>
      <w:pPr>
        <w:pStyle w:val="Textkrper"/>
      </w:pPr>
      <w:r>
        <w:t xml:space="preserve">Theoretically, the opportunity to adjust responses should not differ between conditions. Thus, we averaged the opportunity ratings from the non-control conditions (see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(nil-demand), and (b) is extremely motivated to disconfirm the hypothesis. Relative to a control condition, this participant could disconfirm the hypothesis by either increasing (negative effect direction)</w:t>
      </w:r>
      <w:r>
        <w:t xml:space="preserve"> </w:t>
      </w:r>
      <w:r>
        <w:rPr>
          <w:iCs/>
          <w:i/>
        </w:rPr>
        <w:t xml:space="preserve">or</w:t>
      </w:r>
      <w:r>
        <w:t xml:space="preserve"> </w:t>
      </w:r>
      <w:r>
        <w:t xml:space="preserve">decreasing (positive effect direction) their mood report. Nonetheless, we discuss potential strategies in the Limitations sections for addressing this question in future primary research.</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necessarily explain how demand characteristics work, it might be valuable to be able to predict their effects (Yarkoni &amp; Westfall, 2017). Orne suggested that participants themselves may be able make such forecasts (1969, 1970).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These values were computed using the same approach as motivation and belief scores.</w:t>
      </w:r>
    </w:p>
    <w:bookmarkEnd w:id="42"/>
    <w:bookmarkStart w:id="43" w:name="other-moderators"/>
    <w:p>
      <w:pPr>
        <w:pStyle w:val="berschrift2"/>
      </w:pPr>
      <w:r>
        <w:t xml:space="preserve">Other moderators</w:t>
      </w:r>
    </w:p>
    <w:p>
      <w:pPr>
        <w:pStyle w:val="FirstParagraph"/>
      </w:pPr>
      <w:r>
        <w:t xml:space="preserve">We also coded several moderators for which we had no a-priori hypotheses. This included: (1) whether the study was published vs. unpublished, (2) whether the sample was student or non-student (e.g., MTurk), (3) whether participants were paid, (4) whether the study was conducted online, and (5) whether demand characteristics were manipulated within vs. between subjects.</w:t>
      </w:r>
    </w:p>
    <w:bookmarkEnd w:id="43"/>
    <w:bookmarkStart w:id="45" w:name="meta-analytic-approach"/>
    <w:p>
      <w:pPr>
        <w:pStyle w:val="berschrift2"/>
      </w:pPr>
      <w:r>
        <w:rPr>
          <w:bCs/>
          <w:b/>
        </w:rPr>
        <w:t xml:space="preserve">Meta-analytic approach</w:t>
      </w:r>
    </w:p>
    <w:p>
      <w:pPr>
        <w:pStyle w:val="FirstParagraph"/>
      </w:pPr>
      <w:r>
        <w:t xml:space="preserve">For estimating overall effects and moderators, we used random-effects meta-analysis with robust variance estimates (Hedges, Tipton, &amp; Johnson, 2010). We included random-effects because Rosnow and Rosenthal (1997) and Coles et al. (2022) posited that moderators create a distribution of true effects—as opposed to a single fixed-effect (Hedges &amp; Vevea, 1998). We used robust variance estimates because 85% of studies provided multiple effect sizes of interest, which violates the statistical assumption that effect sizes are independent. Like many meta-analysis procedures, meta-analysis with robust variance estimates uses an inverse-variance weighting scheme that adjusts for dependencies among effect sizes. For the present work, we used a heirarchical effects weighting scheme (Tanner-Smith &amp; Tipton, 2014).</w:t>
      </w:r>
    </w:p>
    <w:p>
      <w:pPr>
        <w:pStyle w:val="Textkrper"/>
      </w:pPr>
      <w:r>
        <w:t xml:space="preserve">To estimate the overall effect size, we fit an intercept-only model. The intercept of this model can be interpreted as the precision-weighted overall effect size, adjusted for correlated-effect dependencies. We used the same approach to estimate subgroup overall effect sizes by subsetting the data by each level of each moderator. For moderator analyses, continuous and effect-coded categorical moderators were separately entered into the meta-regression model.</w:t>
      </w:r>
    </w:p>
    <w:bookmarkStart w:id="44" w:name="publication-bias-analyses"/>
    <w:p>
      <w:pPr>
        <w:pStyle w:val="berschrift3"/>
      </w:pPr>
      <w:r>
        <w:rPr>
          <w:bCs/>
          <w:b/>
        </w:rPr>
        <w:t xml:space="preserve">Publication bias analyses</w:t>
      </w:r>
      <w:r>
        <w:t xml:space="preserve">.</w:t>
      </w:r>
    </w:p>
    <w:p>
      <w:pPr>
        <w:pStyle w:val="FirstParagraph"/>
      </w:pPr>
      <w:r>
        <w:t xml:space="preserve">The most common way to assess publication bias with dependent structures is to aggregate the dependent effect sizes and perform standard publication bias analyses. Following this approach, we used the MAd R package to aggregate dependent effect sizes (Del Re &amp; Hoyt, 2010). We then used precision effect tests (i.e., PET-PEESE; Stanley &amp; Doucouliagos, 2014) and weight-function modeling (Vevea &amp; Hedges, 1995) to test for the presence of publication bias and estimate the bias-corrected overall effect size. As a further sensitivity analysis, we used an approach by Mathur and VanderWeele (2020) to estimate the maximal publication bias required to shift the observed overall effect size estimate to zero.</w:t>
      </w:r>
    </w:p>
    <w:bookmarkEnd w:id="44"/>
    <w:bookmarkEnd w:id="45"/>
    <w:bookmarkEnd w:id="46"/>
    <w:bookmarkStart w:id="48" w:name="results"/>
    <w:p>
      <w:pPr>
        <w:pStyle w:val="berschrift1"/>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0.28 , 95% CI [0.17, 0.39],</w:t>
      </w:r>
      <w:r>
        <w:t xml:space="preserve"> </w:t>
      </w:r>
      <m:oMath>
        <m:r>
          <m:t>t</m:t>
        </m:r>
      </m:oMath>
      <w:r>
        <w:t xml:space="preserve"> </w:t>
      </w:r>
      <w:r>
        <w:t xml:space="preserve">= 5.16,</w:t>
      </w:r>
      <w:r>
        <w:t xml:space="preserve"> </w:t>
      </w:r>
      <m:oMath>
        <m:r>
          <m:t>p</m:t>
        </m:r>
      </m:oMath>
      <w:r>
        <w:t xml:space="preserve"> </w:t>
      </w:r>
      <w:r>
        <w:t xml:space="preserve">= &lt; .001.</w:t>
      </w:r>
    </w:p>
    <w:bookmarkStart w:id="47" w:name="moderator-analyses"/>
    <w:p>
      <w:pPr>
        <w:pStyle w:val="berschrift3"/>
      </w:pPr>
      <w:r>
        <w:t xml:space="preserve">Moderator analyses.</w:t>
      </w:r>
    </w:p>
    <w:p>
      <w:pPr>
        <w:pStyle w:val="FirstParagraph"/>
      </w:pPr>
      <w:r>
        <w:t xml:space="preserve">Heterogeneity</w:t>
      </w:r>
    </w:p>
    <w:bookmarkEnd w:id="47"/>
    <w:bookmarkEnd w:id="48"/>
    <w:bookmarkStart w:id="49" w:name="to-do"/>
    <w:p>
      <w:pPr>
        <w:pStyle w:val="berschrift1"/>
      </w:pPr>
      <w:r>
        <w:t xml:space="preserve">To-do</w:t>
      </w:r>
    </w:p>
    <w:p>
      <w:pPr>
        <w:pStyle w:val="FirstParagraph"/>
      </w:pPr>
      <w:r>
        <w:t xml:space="preserve">[] Start writing preliminary results</w:t>
      </w:r>
    </w:p>
    <w:p>
      <w:pPr>
        <w:pStyle w:val="Textkrper"/>
      </w:pPr>
      <w:r>
        <w:t xml:space="preserve">[] Have Mike review again?</w:t>
      </w:r>
    </w:p>
    <w:p>
      <w:pPr>
        <w:pStyle w:val="Textkrper"/>
      </w:pPr>
      <w:r>
        <w:t xml:space="preserve">[] Update pre-registration</w:t>
      </w:r>
    </w:p>
    <w:p>
      <w:pPr>
        <w:pStyle w:val="Textkrper"/>
      </w:pPr>
      <w:r>
        <w:t xml:space="preserve">[] Separate processing and analysis code</w:t>
      </w:r>
    </w:p>
    <w:p>
      <w:pPr>
        <w:pStyle w:val="Textkrper"/>
      </w:pPr>
      <w:r>
        <w:t xml:space="preserve">[] Clean up folder structure</w:t>
      </w:r>
    </w:p>
    <w:p>
      <w:pPr>
        <w:pStyle w:val="Textkrper"/>
      </w:pPr>
      <w:r>
        <w:t xml:space="preserve">[] Have M.W. add refs</w:t>
      </w:r>
    </w:p>
    <w:p>
      <w:pPr>
        <w:pStyle w:val="Textkrper"/>
      </w:pPr>
      <w:r>
        <w:t xml:space="preserve">[] Have M.W. build moderator table</w:t>
      </w:r>
    </w:p>
    <w:bookmarkEnd w:id="49"/>
    <w:bookmarkStart w:id="51" w:name="references"/>
    <w:p>
      <w:pPr>
        <w:pStyle w:val="berschrift1"/>
      </w:pPr>
      <w:r>
        <w:t xml:space="preserve">References</w:t>
      </w:r>
    </w:p>
    <w:bookmarkStart w:id="50" w:name="refs"/>
    <w:bookmarkEnd w:id="50"/>
    <w:bookmarkEnd w:id="5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2022-09-16T21:58:54Z</dcterms:created>
  <dcterms:modified xsi:type="dcterms:W3CDTF">2022-09-16T21:58:54Z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