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6.png" ContentType="image/png"/>
  <Override PartName="/word/media/rId63.png" ContentType="image/png"/>
  <Override PartName="/word/media/rId60.png" ContentType="image/png"/>
  <Override PartName="/word/media/rId41.png" ContentType="image/png"/>
  <Override PartName="/word/media/rId52.png" ContentType="image/png"/>
  <Override PartName="/word/media/rId70.png" ContentType="image/png"/>
  <Override PartName="/word/media/rId44.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experimental tests of demand effects by manipulating the hypothesis communicated to participants. Results indicated that demand characteristics tend to produce small overall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conventional motivation accounts, we did not find evidence that demand effects were driven by participants’ motivation or opportunity to adjust their responses. We did, however, find robust evidence for accounts that emphasize the role of participants’ expectancies about the hypothesized effects. Similar findings emerged in a direct replication of one recent study included in the meta-analysis. Taken together, results underscore the importance – and challenges – of understanding and controlling for demand characteristics in experimental design.</w:t>
      </w:r>
    </w:p>
    <w:p>
      <w:pPr>
        <w:pStyle w:val="Textkrper"/>
      </w:pPr>
      <w:r>
        <w:rPr>
          <w:iCs/>
          <w:i/>
        </w:rPr>
        <w:t xml:space="preserve">Keywords:</w:t>
      </w:r>
      <w:r>
        <w:t xml:space="preserve"> </w:t>
      </w:r>
      <w:r>
        <w:t xml:space="preserve">demand characteristics, expectancies, placebo, confounds,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but their magnitude, direction, and consistency remain unclear. In the present paper, we use meta-analysis and replication to take stock of what we know about demand characteristics. We begin by briefly reviewing mechanisms commonly theorized to underlie their effects.</w:t>
      </w:r>
    </w:p>
    <w:bookmarkStart w:id="22"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 A detailed review of such disagreements is outside the scope of our quantitative review</w:t>
      </w:r>
      <w:r>
        <w:t xml:space="preserve"> </w:t>
      </w:r>
      <w:r>
        <w:t xml:space="preserve">(but see Corneille &amp; Lush, 2022 for a comprehensive survey)</w:t>
      </w:r>
      <w:r>
        <w:t xml:space="preserve">. We focus instead on two broad classes of commonly discussed mechanisms: motivations and expectancies.</w:t>
      </w:r>
    </w:p>
    <w:bookmarkEnd w:id="22"/>
    <w:bookmarkStart w:id="24" w:name="motivation-accounts"/>
    <w:p>
      <w:pPr>
        <w:pStyle w:val="berschrift2"/>
      </w:pPr>
      <w:r>
        <w:t xml:space="preserve">Motivation accounts</w:t>
      </w:r>
    </w:p>
    <w:p>
      <w:pPr>
        <w:pStyle w:val="FirstParagraph"/>
      </w:pPr>
      <w:r>
        <w:t xml:space="preserve">Broadly speaking,</w:t>
      </w:r>
      <w:r>
        <w:t xml:space="preserve"> </w:t>
      </w:r>
      <w:r>
        <w:rPr>
          <w:iCs/>
          <w:i/>
        </w:rPr>
        <w:t xml:space="preserve">motivation accounts</w:t>
      </w:r>
      <w:r>
        <w:t xml:space="preserve"> </w:t>
      </w:r>
      <w:r>
        <w:t xml:space="preserve">posit that demand effects are mediated by participants’ motivation (or lack thereof) to provide hypothesis-consistent responses</w:t>
      </w:r>
      <w:r>
        <w:t xml:space="preserve"> </w:t>
      </w:r>
      <w:r>
        <w:t xml:space="preserve">(Rosnow &amp; Aiken, 1973; Strohmetz, 2008)</w:t>
      </w:r>
      <w:r>
        <w:t xml:space="preserve">. One of the most influential motivation accounts of demand characteristics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 and when participants noticed demand characteristics,</w:t>
      </w:r>
      <w:r>
        <w:t xml:space="preserve"> </w:t>
      </w:r>
      <w:r>
        <w:t xml:space="preserve">Rosnow and Rosenthal (1997)</w:t>
      </w:r>
      <w:r>
        <w:t xml:space="preserve"> </w:t>
      </w:r>
      <w:r>
        <w:t xml:space="preserve">theorized that subsequent changes in participants’ responses would then be driven by their motivation (or lack thereof) to provide hypothesis-consistent responses. Early work on demand characteristics was marked by diebates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w:t>
      </w:r>
      <w:r>
        <w:t xml:space="preserve"> </w:t>
      </w:r>
      <w:r>
        <w:t xml:space="preserve">Rosnow and Rosenthal (1997)</w:t>
      </w:r>
      <w:r>
        <w:t xml:space="preserve">, however, advanced these ideas by demonstrating that participants have</w:t>
      </w:r>
      <w:r>
        <w:t xml:space="preserve"> </w:t>
      </w:r>
      <w:r>
        <w:rPr>
          <w:iCs/>
          <w:i/>
        </w:rPr>
        <w:t xml:space="preserve">multiple</w:t>
      </w:r>
      <w:r>
        <w:t xml:space="preserve"> </w:t>
      </w:r>
      <w:r>
        <w:t xml:space="preserve">shifting motivations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w:t>
      </w:r>
      <w:r>
        <w:t xml:space="preserve"> </w:t>
      </w:r>
      <w:r>
        <w:t xml:space="preserve">Rosnow and Rosenthal (1997)</w:t>
      </w:r>
      <w:r>
        <w:t xml:space="preserve"> </w:t>
      </w:r>
      <w:r>
        <w:t xml:space="preserve">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unotenzeichen"/>
        </w:rPr>
        <w:footnoteReference w:id="23"/>
      </w:r>
      <w:r>
        <w:t xml:space="preserve"> </w:t>
      </w:r>
      <w:r>
        <w:t xml:space="preserve">This influential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bookmarkEnd w:id="24"/>
    <w:bookmarkStart w:id="25" w:name="expectancy-accounts"/>
    <w:p>
      <w:pPr>
        <w:pStyle w:val="berschrift2"/>
      </w:pPr>
      <w:r>
        <w:t xml:space="preserve">Expectancy accounts</w:t>
      </w:r>
    </w:p>
    <w:p>
      <w:pPr>
        <w:pStyle w:val="FirstParagraph"/>
      </w:pPr>
      <w:r>
        <w:t xml:space="preserve">Whereas motivation accounts emphasize the role of participants’ motivation to provide hypothesis-consistent responses,</w:t>
      </w:r>
      <w:r>
        <w:t xml:space="preserve"> </w:t>
      </w:r>
      <w:r>
        <w:rPr>
          <w:iCs/>
          <w:i/>
        </w:rPr>
        <w:t xml:space="preserve">expectancy accounts</w:t>
      </w:r>
      <w:r>
        <w:t xml:space="preserve"> </w:t>
      </w:r>
      <w:r>
        <w:t xml:space="preserve">developed in related work on placebo</w:t>
      </w:r>
      <w:r>
        <w:t xml:space="preserve"> </w:t>
      </w:r>
      <w:r>
        <w:t xml:space="preserve">(Stewart-Williams &amp; Podd, 2004)</w:t>
      </w:r>
      <w:r>
        <w:t xml:space="preserve"> </w:t>
      </w:r>
      <w:r>
        <w:t xml:space="preserve">and mindset</w:t>
      </w:r>
      <w:r>
        <w:t xml:space="preserve"> </w:t>
      </w:r>
      <w:r>
        <w:t xml:space="preserve">(Zion &amp; Crum, 2018)</w:t>
      </w:r>
      <w:r>
        <w:t xml:space="preserve"> </w:t>
      </w:r>
      <w:r>
        <w:t xml:space="preserve">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w:t>
      </w:r>
      <w:r>
        <w:t xml:space="preserve"> </w:t>
      </w:r>
      <w:r>
        <w:t xml:space="preserve">“</w:t>
      </w:r>
      <w:r>
        <w:t xml:space="preserve">good subject effect</w:t>
      </w:r>
      <w:r>
        <w:t xml:space="preserve">”</w:t>
      </w:r>
      <w:r>
        <w:t xml:space="preserve">). On the other hand, an expectancy account might predict that participants will unintentionally experience a change in mood due to the activation and/or shaping of expectancies.</w:t>
      </w:r>
    </w:p>
    <w:p>
      <w:pPr>
        <w:pStyle w:val="Textkrper"/>
      </w:pPr>
      <w:r>
        <w:t xml:space="preserve">In a review on placebo effects,</w:t>
      </w:r>
      <w:r>
        <w:t xml:space="preserve"> </w:t>
      </w:r>
      <w:r>
        <w:t xml:space="preserve">Stewart-Williams and Podd (2004)</w:t>
      </w:r>
      <w:r>
        <w:t xml:space="preserve"> </w:t>
      </w:r>
      <w:r>
        <w:t xml:space="preserve">provided a framework that can be extended to demand effects. In this framework, they suggested that placebo effects can be driven both by previously-learned associations (e.g., via classical conditioning) and newly presented information (e.g., demand characteristics). Although</w:t>
      </w:r>
      <w:r>
        <w:t xml:space="preserve"> </w:t>
      </w:r>
      <w:r>
        <w:t xml:space="preserve">Stewart-Williams and Podd (2004)</w:t>
      </w:r>
      <w:r>
        <w:t xml:space="preserve"> </w:t>
      </w:r>
      <w:r>
        <w:t xml:space="preserve">never mentioned demand characteristics, demand effects are conceptually similar to what they describe as</w:t>
      </w:r>
      <w:r>
        <w:t xml:space="preserve"> </w:t>
      </w:r>
      <w:r>
        <w:t xml:space="preserve">“</w:t>
      </w:r>
      <w:r>
        <w:t xml:space="preserve">nonpharmacological placebo effects in humans,</w:t>
      </w:r>
      <w:r>
        <w:t xml:space="preserve">”</w:t>
      </w:r>
      <w:r>
        <w:t xml:space="preserve"> </w:t>
      </w:r>
      <w:r>
        <w:t xml:space="preserve">which they hypothesized are</w:t>
      </w:r>
      <w:r>
        <w:t xml:space="preserve"> </w:t>
      </w:r>
      <w:r>
        <w:t xml:space="preserve">“</w:t>
      </w:r>
      <w:r>
        <w:t xml:space="preserve">mediated entirely by expectancies</w:t>
      </w:r>
      <w:r>
        <w:t xml:space="preserve">”</w:t>
      </w:r>
      <w:r>
        <w:t xml:space="preserve"> </w:t>
      </w:r>
      <w:r>
        <w:t xml:space="preserve">(p. 338).</w:t>
      </w:r>
    </w:p>
    <w:bookmarkEnd w:id="25"/>
    <w:bookmarkStart w:id="29" w:name="hybrid-accounts"/>
    <w:p>
      <w:pPr>
        <w:pStyle w:val="berschrift2"/>
      </w:pPr>
      <w:r>
        <w:t xml:space="preserve">Hybrid accounts</w:t>
      </w:r>
    </w:p>
    <w:p>
      <w:pPr>
        <w:pStyle w:val="FirstParagraph"/>
      </w:pPr>
      <w:r>
        <w:t xml:space="preserve">A third possibility recently discussed by</w:t>
      </w:r>
      <w:r>
        <w:t xml:space="preserve"> </w:t>
      </w:r>
      <w:r>
        <w:t xml:space="preserve">Coles, Gaertner, et al. (2022)</w:t>
      </w:r>
      <w:r>
        <w:t xml:space="preserve"> </w:t>
      </w:r>
      <w:r>
        <w:t xml:space="preserve">is that demand effects are mediated by</w:t>
      </w:r>
      <w:r>
        <w:t xml:space="preserve"> </w:t>
      </w:r>
      <w:r>
        <w:rPr>
          <w:iCs/>
          <w:i/>
        </w:rPr>
        <w:t xml:space="preserve">both</w:t>
      </w:r>
      <w:r>
        <w:t xml:space="preserve"> </w:t>
      </w:r>
      <w:r>
        <w:t xml:space="preserve">motivation- and expectancy-based mechanisms.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bolsters claims that demand characteristics can impact participants responses via both motivation- and expectancy-based mechanisms, the latter which may operate even when participants have neither the motivation nor the opportunity to adjust their responses.</w:t>
      </w:r>
    </w:p>
    <w:p>
      <w:pPr>
        <w:pStyle w:val="CaptionedFigure"/>
      </w:pPr>
      <w:r>
        <w:drawing>
          <wp:inline>
            <wp:extent cx="5969000" cy="4353858"/>
            <wp:effectExtent b="0" l="0" r="0" t="0"/>
            <wp:docPr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title="" id="27" name="Picture"/>
            <a:graphic>
              <a:graphicData uri="http://schemas.openxmlformats.org/drawingml/2006/picture">
                <pic:pic>
                  <pic:nvPicPr>
                    <pic:cNvPr descr="images/metaware_framework.png" id="28" name="Picture"/>
                    <pic:cNvPicPr>
                      <a:picLocks noChangeArrowheads="1" noChangeAspect="1"/>
                    </pic:cNvPicPr>
                  </pic:nvPicPr>
                  <pic:blipFill>
                    <a:blip r:embed="rId26"/>
                    <a:stretch>
                      <a:fillRect/>
                    </a:stretch>
                  </pic:blipFill>
                  <pic:spPr bwMode="auto">
                    <a:xfrm>
                      <a:off x="0" y="0"/>
                      <a:ext cx="5969000" cy="4353858"/>
                    </a:xfrm>
                    <a:prstGeom prst="rect">
                      <a:avLst/>
                    </a:prstGeom>
                    <a:noFill/>
                    <a:ln w="9525">
                      <a:noFill/>
                      <a:headEnd/>
                      <a:tailEnd/>
                    </a:ln>
                  </pic:spPr>
                </pic:pic>
              </a:graphicData>
            </a:graphic>
          </wp:inline>
        </w:drawing>
      </w:r>
    </w:p>
    <w:p>
      <w:pPr>
        <w:pStyle w:val="ImageCaption"/>
      </w:pPr>
      <w:r>
        <w:t xml:space="preserve">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w:t>
      </w:r>
    </w:p>
    <w:bookmarkEnd w:id="29"/>
    <w:bookmarkStart w:id="30" w:name="the-current-paper"/>
    <w:p>
      <w:pPr>
        <w:pStyle w:val="berschrift2"/>
      </w:pPr>
      <w:r>
        <w:t xml:space="preserve">The current paper</w:t>
      </w:r>
    </w:p>
    <w:p>
      <w:pPr>
        <w:pStyle w:val="FirstParagraph"/>
      </w:pPr>
      <w:r>
        <w:t xml:space="preserve">The goal of the current paper is to take stock of the literature on demand characteristics: what is the overall expected effect, how reliable is the effect, and what types of study features and psychological processes moderate the effect? In Study 1, we report a meta-analysis of strict experimental tests of the effects of demand characteristics.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Although meta-analysis allows us to bring a large body of data to bear on questions about demand characteristics, heterogeneity and an inability to directly measure motivation and expectations in the existing literature limit any conclusions</w:t>
      </w:r>
      <w:r>
        <w:t xml:space="preserve"> </w:t>
      </w:r>
      <w:r>
        <w:t xml:space="preserve">(Simonsohn, Simmons, &amp; Nelson, 2022)</w:t>
      </w:r>
      <w:r>
        <w:t xml:space="preserve">. Thus, in Study 3, we report a replication experiment that re-examines motivation and expectancy accounts. In this replication, we manipulated demand characteristics in an experiment on the effects of facial poses on emotional experience</w:t>
      </w:r>
      <w:r>
        <w:t xml:space="preserve"> </w:t>
      </w:r>
      <w:r>
        <w:t xml:space="preserve">(Coles, Larsen, &amp; Lench, 2019; Coles, March, et al., 2022)</w:t>
      </w:r>
      <w:r>
        <w:t xml:space="preserve">. We then examined the extent to which the effect was moderated by motivation to adjust responses, opportunity to adjust responses, and expectations about the hypothesized effect – allowing us to gather measurements directly related to motivation and expectancy accounts of demand effects.</w:t>
      </w:r>
    </w:p>
    <w:bookmarkEnd w:id="30"/>
    <w:bookmarkStart w:id="58" w:name="study-1"/>
    <w:p>
      <w:pPr>
        <w:pStyle w:val="berschrift1"/>
      </w:pPr>
      <w:r>
        <w:t xml:space="preserve">Study 1</w:t>
      </w:r>
    </w:p>
    <w:p>
      <w:pPr>
        <w:pStyle w:val="FirstParagraph"/>
      </w:pPr>
      <w:r>
        <w:t xml:space="preserve">Study 1 was designed to provide a quantitative synthesis of demand effects via meta-analysis.</w:t>
      </w:r>
    </w:p>
    <w:bookmarkStart w:id="40"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mechanisms (motivation accounts) most</w:t>
      </w:r>
      <w:r>
        <w:t xml:space="preserve"> </w:t>
      </w:r>
      <w:r>
        <w:rPr>
          <w:iCs/>
          <w:i/>
        </w:rPr>
        <w:t xml:space="preserve">conventionally</w:t>
      </w:r>
      <w:r>
        <w:t xml:space="preserve"> </w:t>
      </w:r>
      <w:r>
        <w:t xml:space="preserve">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31"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851 records. We also released a call for unpublished studies on the Society for Personality and Social Psychology Open Forum; Twitter; the Facebook Psychological Methods Discussion group; and the Facebook PsychMAP group. This call yielded 3 additional records. In total, 97 of the records were unpublished.</w:t>
      </w:r>
    </w:p>
    <w:bookmarkEnd w:id="31"/>
    <w:bookmarkStart w:id="33"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criterion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these conditions were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32"/>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3"/>
    <w:bookmarkStart w:id="34"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4"/>
    <w:bookmarkStart w:id="35"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5"/>
    <w:bookmarkStart w:id="38"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with effect sizes weighted based on their inverse-variance. To estimate the overall effect size, we fit an intercept-only 3LMA model. Unless otherwise specified, we conducted moderator analyses by separately entering dummy-coded categorical factors into a new model. Doing so allowed us to avoid issues of collinearity. To test the significance of each moderators, we used model comparison</w:t>
      </w:r>
      <w:r>
        <w:t xml:space="preserve"> </w:t>
      </w:r>
      <w:r>
        <w:rPr>
          <w:iCs/>
          <w:i/>
        </w:rPr>
        <w:t xml:space="preserve">F</w:t>
      </w:r>
      <w:r>
        <w:t xml:space="preserve">-tests. To estimate effect sizes within each subgroup of the moderator, we used model-derived estimates.</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6"/>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moderator allowed us to estimate the difference in the magnitude of published vs. unpublished effects.</w:t>
      </w:r>
    </w:p>
    <w:bookmarkEnd w:id="37"/>
    <w:bookmarkEnd w:id="38"/>
    <w:bookmarkStart w:id="39"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the pre-registration plan and documented amendments. Sample size was determined by the availability of relevant records. All code (including the script used to generate a computationally reproducible manuscript) has been checked for reproducibility. Ethics approval was not requested because no new data were collected.</w:t>
      </w:r>
    </w:p>
    <w:bookmarkEnd w:id="39"/>
    <w:bookmarkEnd w:id="40"/>
    <w:bookmarkStart w:id="56"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title="" id="42" name="Picture"/>
            <a:graphic>
              <a:graphicData uri="http://schemas.openxmlformats.org/drawingml/2006/picture">
                <pic:pic>
                  <pic:nvPicPr>
                    <pic:cNvPr descr="metaware_manuscript_files/figure-docx/forest-1.png" id="43" name="Picture"/>
                    <pic:cNvPicPr>
                      <a:picLocks noChangeArrowheads="1" noChangeAspect="1"/>
                    </pic:cNvPicPr>
                  </pic:nvPicPr>
                  <pic:blipFill>
                    <a:blip r:embed="rId41"/>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7" w:name="moderator-analyses"/>
    <w:p>
      <w:pPr>
        <w:pStyle w:val="berschrift3"/>
      </w:pPr>
      <w:r>
        <w:t xml:space="preserve">Moderator analyses.</w:t>
      </w:r>
    </w:p>
    <w:p>
      <w:pPr>
        <w:pStyle w:val="CaptionedFigure"/>
      </w:pPr>
      <w:r>
        <w:drawing>
          <wp:inline>
            <wp:extent cx="5963478" cy="3440468"/>
            <wp:effectExtent b="0" l="0" r="0" t="0"/>
            <wp:docPr descr="Figure 3.  For each moderator, we fit a separate 3LMA and subsequently derived subgroup mean effect sizes (dots) and their 95% confidence intervals (error bars)." title="" id="45" name="Picture"/>
            <a:graphic>
              <a:graphicData uri="http://schemas.openxmlformats.org/drawingml/2006/picture">
                <pic:pic>
                  <pic:nvPicPr>
                    <pic:cNvPr descr="metaware_manuscript_files/figure-docx/modforest-1.png" id="46" name="Picture"/>
                    <pic:cNvPicPr>
                      <a:picLocks noChangeArrowheads="1" noChangeAspect="1"/>
                    </pic:cNvPicPr>
                  </pic:nvPicPr>
                  <pic:blipFill>
                    <a:blip r:embed="rId44"/>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3: For each moderator, we fit a separate 3LMA and subsequently derived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when researchers communicate that they hypothesize</w:t>
      </w:r>
      <w:r>
        <w:t xml:space="preserve"> </w:t>
      </w:r>
      <w:r>
        <w:rPr>
          <w:iCs/>
          <w:i/>
        </w:rPr>
        <w:t xml:space="preserve">no</w:t>
      </w:r>
      <w:r>
        <w:t xml:space="preserve"> </w:t>
      </w:r>
      <w:r>
        <w:t xml:space="preserve">change in response</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depending on whether participants were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47"/>
    <w:bookmarkStart w:id="51"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9" name="Picture"/>
            <a:graphic>
              <a:graphicData uri="http://schemas.openxmlformats.org/drawingml/2006/picture">
                <pic:pic>
                  <pic:nvPicPr>
                    <pic:cNvPr descr="metaware_manuscript_files/figure-docx/predplot-1.png" id="50" name="Picture"/>
                    <pic:cNvPicPr>
                      <a:picLocks noChangeArrowheads="1" noChangeAspect="1"/>
                    </pic:cNvPicPr>
                  </pic:nvPicPr>
                  <pic:blipFill>
                    <a:blip r:embed="rId48"/>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openly-available data allow researchers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51"/>
    <w:bookmarkStart w:id="55"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virtually unchanged,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 .001)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Panel A) or aggregated (Panel B) effect sizes plotted against their corresponding standard errors." title="" id="53" name="Picture"/>
            <a:graphic>
              <a:graphicData uri="http://schemas.openxmlformats.org/drawingml/2006/picture">
                <pic:pic>
                  <pic:nvPicPr>
                    <pic:cNvPr descr="metaware_manuscript_files/figure-docx/funnel-1.png" id="54" name="Picture"/>
                    <pic:cNvPicPr>
                      <a:picLocks noChangeArrowheads="1" noChangeAspect="1"/>
                    </pic:cNvPicPr>
                  </pic:nvPicPr>
                  <pic:blipFill>
                    <a:blip r:embed="rId52"/>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(Panel A) or aggregated (Panel B) effect sizes plotted against their corresponding standard errors.</w:t>
      </w:r>
    </w:p>
    <w:bookmarkEnd w:id="55"/>
    <w:bookmarkEnd w:id="56"/>
    <w:bookmarkStart w:id="57"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effects, which suggested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two study features that were associated with more hypothesis-consistent shifts in responses: (1) sampling student populations, and (2) communicating that the researchers hypothesizes there will be</w:t>
      </w:r>
      <w:r>
        <w:t xml:space="preserve"> </w:t>
      </w:r>
      <w:r>
        <w:rPr>
          <w:iCs/>
          <w:i/>
        </w:rPr>
        <w:t xml:space="preserve">no</w:t>
      </w:r>
      <w:r>
        <w:t xml:space="preserve"> </w:t>
      </w:r>
      <w:r>
        <w:t xml:space="preserve">shift in responses (i.e., using nil demand manipulations).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w:t>
      </w:r>
      <w:r>
        <w:t xml:space="preserve"> </w:t>
      </w:r>
      <w:r>
        <w:rPr>
          <w:iCs/>
          <w:i/>
        </w:rPr>
        <w:t xml:space="preserve">believe</w:t>
      </w:r>
      <w:r>
        <w:t xml:space="preserve"> </w:t>
      </w:r>
      <w:r>
        <w:t xml:space="preserve">the communicated hypothesis (expectancy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7"/>
    <w:bookmarkEnd w:id="58"/>
    <w:bookmarkStart w:id="76" w:name="study-2"/>
    <w:p>
      <w:pPr>
        <w:pStyle w:val="berschrift1"/>
      </w:pPr>
      <w:r>
        <w:t xml:space="preserve">Study 2</w:t>
      </w:r>
    </w:p>
    <w:p>
      <w:pPr>
        <w:pStyle w:val="FirstParagraph"/>
      </w:pPr>
      <w:r>
        <w:t xml:space="preserve">Study 2 was designed to examine whether observed variability in effect sizes can be explained by mechanisms often discussed in motivation accounts (i.e., motivation and opportunity to adjust responses) and expectancy accounts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them separately into new meta-regression models. Also through meta-regression, we examined whether this new set of raters could retroactively predict the effects of the demand characteristic manipulations in the Study 1 meta-analysis.</w:t>
      </w:r>
    </w:p>
    <w:bookmarkStart w:id="69" w:name="methodology-1"/>
    <w:p>
      <w:pPr>
        <w:pStyle w:val="berschrift2"/>
      </w:pPr>
      <w:r>
        <w:t xml:space="preserve">Methodology</w:t>
      </w:r>
    </w:p>
    <w:p>
      <w:pPr>
        <w:pStyle w:val="FirstParagraph"/>
      </w:pPr>
      <w:r>
        <w:t xml:space="preserve">For each study in the meta-analysis</w:t>
      </w:r>
      <w:r>
        <w:rPr>
          <w:rStyle w:val="Funotenzeichen"/>
        </w:rPr>
        <w:footnoteReference w:id="59"/>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61" name="Picture"/>
            <a:graphic>
              <a:graphicData uri="http://schemas.openxmlformats.org/drawingml/2006/picture">
                <pic:pic>
                  <pic:nvPicPr>
                    <pic:cNvPr descr="images/metaware_vigs.png" id="62" name="Picture"/>
                    <pic:cNvPicPr>
                      <a:picLocks noChangeArrowheads="1" noChangeAspect="1"/>
                    </pic:cNvPicPr>
                  </pic:nvPicPr>
                  <pic:blipFill>
                    <a:blip r:embed="rId60"/>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66"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Column 2). Summing motivation scores allowed us to accommodate this possibility, and we used the same approach for opportunity and expectation ratings.</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2649239" cy="2025888"/>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title="" id="64" name="Picture"/>
            <a:graphic>
              <a:graphicData uri="http://schemas.openxmlformats.org/drawingml/2006/picture">
                <pic:pic>
                  <pic:nvPicPr>
                    <pic:cNvPr descr="images/metaware_mods.png" id="65" name="Picture"/>
                    <pic:cNvPicPr>
                      <a:picLocks noChangeArrowheads="1" noChangeAspect="1"/>
                    </pic:cNvPicPr>
                  </pic:nvPicPr>
                  <pic:blipFill>
                    <a:blip r:embed="rId63"/>
                    <a:stretch>
                      <a:fillRect/>
                    </a:stretch>
                  </pic:blipFill>
                  <pic:spPr bwMode="auto">
                    <a:xfrm>
                      <a:off x="0" y="0"/>
                      <a:ext cx="2649239" cy="2025888"/>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Separate examples are provided for scenarios where motivation is invariant (Column 1) and variant (Column 2) across demand characteristic manipulations.</w:t>
      </w:r>
    </w:p>
    <w:bookmarkEnd w:id="66"/>
    <w:bookmarkStart w:id="67"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7"/>
    <w:bookmarkStart w:id="68"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8"/>
    <w:bookmarkEnd w:id="69"/>
    <w:bookmarkStart w:id="74"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title="" id="71" name="Picture"/>
            <a:graphic>
              <a:graphicData uri="http://schemas.openxmlformats.org/drawingml/2006/picture">
                <pic:pic>
                  <pic:nvPicPr>
                    <pic:cNvPr descr="metaware_manuscript_files/figure-docx/modfig-1.png" id="72" name="Picture"/>
                    <pic:cNvPicPr>
                      <a:picLocks noChangeArrowheads="1" noChangeAspect="1"/>
                    </pic:cNvPicPr>
                  </pic:nvPicPr>
                  <pic:blipFill>
                    <a:blip r:embed="rId70"/>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 In other words, in the absence of theory, it is challenging to predict the impact of demand characteristics. Thus, we next turned our attention to the motivation and expectancy accounts.</w:t>
      </w:r>
    </w:p>
    <w:p>
      <w:pPr>
        <w:pStyle w:val="Textkrper"/>
      </w:pPr>
      <w:r>
        <w:t xml:space="preserve">Inconsistent with motivation accounts,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 However, consistent with expectancy accounts, demand effects were positively associated with expectations about whether the hypothesized effect will occur,</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w:t>
      </w:r>
    </w:p>
    <w:p>
      <w:pPr>
        <w:pStyle w:val="Textkrper"/>
      </w:pPr>
      <w:r>
        <w:t xml:space="preserve">The above results provide evidence of an association between demand effects and expectancies – but fails to provide evidence of an association with motivation. However, follow-up exploratory analyses did not indicate that expectancies are a significantly</w:t>
      </w:r>
      <w:r>
        <w:t xml:space="preserve"> </w:t>
      </w:r>
      <w:r>
        <w:rPr>
          <w:iCs/>
          <w:i/>
        </w:rPr>
        <w:t xml:space="preserve">stronger</w:t>
      </w:r>
      <w:r>
        <w:t xml:space="preserve"> </w:t>
      </w:r>
      <w:r>
        <w:t xml:space="preserve">predictor of demand effects. To examine this, we fit a 3LMA with (1) the type of mechanism (i.e., motivation or belief) entered as a factor, (2) the value of the mechanism (e.g., motivation or belief ratings), and (3) their higher-order interaction. Results did not indicate that the two-way interaction was significant,</w:t>
      </w:r>
      <w:r>
        <w:t xml:space="preserve"> </w:t>
      </w:r>
      <w:r>
        <w:rPr>
          <w:iCs/>
          <w:i/>
        </w:rPr>
        <w:t xml:space="preserve">t</w:t>
      </w:r>
      <w:r>
        <w:t xml:space="preserve">(302) = -0.26,</w:t>
      </w:r>
      <w:r>
        <w:t xml:space="preserve"> </w:t>
      </w:r>
      <m:oMath>
        <m:r>
          <m:t>p</m:t>
        </m:r>
      </m:oMath>
      <w:r>
        <w:t xml:space="preserve"> </w:t>
      </w:r>
      <w:r>
        <w:t xml:space="preserve">= .798. In other words, the difference in significance was not itself statistically significant</w:t>
      </w:r>
      <w:r>
        <w:t xml:space="preserve"> </w:t>
      </w:r>
      <w:r>
        <w:t xml:space="preserve">(Gelman &amp; Stern, 2006)</w:t>
      </w:r>
      <w:r>
        <w:t xml:space="preserve">.</w:t>
      </w:r>
    </w:p>
    <w:bookmarkStart w:id="73"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(1) a model containing Study 1 moderators (type of demand characteristics manipulation, participant pool, setting, study design, and payment), (2) a model containing Study 2 moderators (motivation, opportunity, and expectations), and (3) a model containing both Study 1 and 2 moderators. To ensure comparability, all models included the same set of observations (e.g., any incomplete observations were removed). Results indicated that the Study 1 and 2 moderators respectively accounted for 29.60% and 6.98% of observed variability in demand effects. This might suggest that study features are more powerful predictors of demand effects than the theorized underlying psychological mechanisms; however, we caution against such interpretations given the imperfect ad-hoc measurement of motivations and expectations.</w:t>
      </w:r>
    </w:p>
    <w:p>
      <w:pPr>
        <w:pStyle w:val="Textkrper"/>
      </w:pPr>
      <w:r>
        <w:t xml:space="preserve">Including all moderators increased the pseudo-</w:t>
      </w:r>
      <m:oMath>
        <m:sSup>
          <m:e>
            <m:r>
              <m:t>R</m:t>
            </m:r>
          </m:e>
          <m:sup>
            <m:r>
              <m:t>2</m:t>
            </m:r>
          </m:sup>
        </m:sSup>
      </m:oMath>
      <w:r>
        <w:t xml:space="preserve"> </w:t>
      </w:r>
      <w:r>
        <w:t xml:space="preserve">to 34.99%, indicating that the majority of observed variability in demand effects is still unaccounted.</w:t>
      </w:r>
    </w:p>
    <w:bookmarkEnd w:id="73"/>
    <w:bookmarkEnd w:id="74"/>
    <w:bookmarkStart w:id="75" w:name="discussion-1"/>
    <w:p>
      <w:pPr>
        <w:pStyle w:val="berschrift2"/>
      </w:pPr>
      <w:r>
        <w:t xml:space="preserve">Discussion</w:t>
      </w:r>
    </w:p>
    <w:p>
      <w:pPr>
        <w:pStyle w:val="FirstParagraph"/>
      </w:pPr>
      <w:r>
        <w:t xml:space="preserve">Contrary to a motivation account of demand characteristics</w:t>
      </w:r>
      <w:r>
        <w:t xml:space="preserve"> </w:t>
      </w:r>
      <w:r>
        <w:t xml:space="preserve">(e.g., Rosnow &amp; Rosenthal, 1997)</w:t>
      </w:r>
      <w:r>
        <w:t xml:space="preserve">,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 The difference in significance was not itself statistically significant, bt hte pattern of results was subsequently replicated in Study 3 (described below).</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expectation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75"/>
    <w:bookmarkEnd w:id="76"/>
    <w:bookmarkStart w:id="80"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was randomized.</w:t>
      </w:r>
    </w:p>
    <w:bookmarkStart w:id="78"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7"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7"/>
    <w:bookmarkEnd w:id="78"/>
    <w:bookmarkStart w:id="79"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Also replicating</w:t>
      </w:r>
      <w:r>
        <w:t xml:space="preserve"> </w:t>
      </w:r>
      <w:r>
        <w:t xml:space="preserve">Coles, Gaertner, et al. (2022)</w:t>
      </w:r>
      <w:r>
        <w:t xml:space="preserv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expectancy effects in facial feedback research</w:t>
      </w:r>
      <w:r>
        <w:t xml:space="preserve"> </w:t>
      </w:r>
      <w:r>
        <w:t xml:space="preserve">(Coles, Gaertner, et al., 2022; Coles, March, et al., 2022)</w:t>
      </w:r>
      <w:r>
        <w:t xml:space="preserve">, the effect of facial poses tended to be larger among participants who expected the effect to emerge,</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bookmarkEnd w:id="79"/>
    <w:bookmarkEnd w:id="80"/>
    <w:bookmarkStart w:id="81" w:name="general-discussion"/>
    <w:p>
      <w:pPr>
        <w:pStyle w:val="berschrift1"/>
      </w:pPr>
      <w:r>
        <w:t xml:space="preserve">General Discussion</w:t>
      </w:r>
    </w:p>
    <w:p>
      <w:pPr>
        <w:pStyle w:val="FirstParagraph"/>
      </w:pPr>
      <w:r>
        <w:t xml:space="preserve">Demand characteristics are a puzzling methodological artifact in experimental psychology. Using meta-analysis and a replication of a recent study,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 remarkable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r>
        <w:t xml:space="preserve"> </w:t>
      </w:r>
      <w:r>
        <w:t xml:space="preserve">(Boot, Simons, Stothart, &amp; Stutts, 2013; Corneille &amp; Lush, 2022; Sharpe &amp; Whelton, 2016)</w:t>
      </w:r>
      <w:r>
        <w:t xml:space="preserve">.</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motivation accounts are popular in in the demand characteristics literature</w:t>
      </w:r>
      <w:r>
        <w:t xml:space="preserve"> </w:t>
      </w:r>
      <w:r>
        <w:t xml:space="preserve">(Cook et al., 1970; Orne, 1962; Riecken, 1962; Rosenberg, 1969; Rosnow &amp; Rosenthal, 1997; Sigall et al., 1970)</w:t>
      </w:r>
      <w:r>
        <w:t xml:space="preserve">,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Expectancy effects can certainly be reduced – but it is not clear if they can be fully avoided</w:t>
      </w:r>
      <w:r>
        <w:t xml:space="preserve"> </w:t>
      </w:r>
      <w:r>
        <w:t xml:space="preserve">(Boot et al., 2013)</w:t>
      </w:r>
      <w:r>
        <w:t xml:space="preserve">.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w:t>
      </w:r>
      <w:r>
        <w:t xml:space="preserve"> </w:t>
      </w:r>
      <w:r>
        <w:t xml:space="preserve">(Boot et al., 2013)</w:t>
      </w:r>
      <w:r>
        <w:t xml:space="preserve">.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w:t>
      </w:r>
      <w:r>
        <w:t xml:space="preserve"> </w:t>
      </w:r>
      <w:r>
        <w:t xml:space="preserve">(Boot et al., 2013; Corneille &amp; Lush, 2022)</w:t>
      </w:r>
      <w:r>
        <w:t xml:space="preserve">.</w:t>
      </w:r>
    </w:p>
    <w:bookmarkEnd w:id="81"/>
    <w:bookmarkStart w:id="134" w:name="references"/>
    <w:p>
      <w:pPr>
        <w:pStyle w:val="berschrift1"/>
      </w:pPr>
      <w:r>
        <w:t xml:space="preserve">References</w:t>
      </w:r>
    </w:p>
    <w:bookmarkStart w:id="133" w:name="refs"/>
    <w:bookmarkStart w:id="82"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82"/>
    <w:bookmarkStart w:id="83"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83"/>
    <w:bookmarkStart w:id="84"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84"/>
    <w:bookmarkStart w:id="85"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5"/>
    <w:bookmarkStart w:id="86"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6"/>
    <w:bookmarkStart w:id="88"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7">
        <w:r>
          <w:rPr>
            <w:rStyle w:val="Hyperlink"/>
          </w:rPr>
          <w:t xml:space="preserve">https://CRAN.R-project.org/package=weightr</w:t>
        </w:r>
      </w:hyperlink>
    </w:p>
    <w:bookmarkEnd w:id="88"/>
    <w:bookmarkStart w:id="89"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9"/>
    <w:bookmarkStart w:id="90"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90"/>
    <w:bookmarkStart w:id="91"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91"/>
    <w:bookmarkStart w:id="92"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92"/>
    <w:bookmarkStart w:id="93"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3"/>
    <w:bookmarkStart w:id="94"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4"/>
    <w:bookmarkStart w:id="95"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5"/>
    <w:bookmarkStart w:id="96"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6"/>
    <w:bookmarkStart w:id="97"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7"/>
    <w:bookmarkStart w:id="98"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8"/>
    <w:bookmarkStart w:id="99" w:name="ref-gelman2006difference"/>
    <w:p>
      <w:pPr>
        <w:pStyle w:val="Literaturverzeichnis"/>
      </w:pPr>
      <w:r>
        <w:t xml:space="preserve">Gelman, A., &amp; Stern, H. (2006). The difference between" significant" and" not significant" is not itself statistically significant.</w:t>
      </w:r>
      <w:r>
        <w:t xml:space="preserve"> </w:t>
      </w:r>
      <w:r>
        <w:rPr>
          <w:iCs/>
          <w:i/>
        </w:rPr>
        <w:t xml:space="preserve">The American Statistician</w:t>
      </w:r>
      <w:r>
        <w:t xml:space="preserve">, 328–331.</w:t>
      </w:r>
    </w:p>
    <w:bookmarkEnd w:id="99"/>
    <w:bookmarkStart w:id="100"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100"/>
    <w:bookmarkStart w:id="101"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101"/>
    <w:bookmarkStart w:id="102"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02"/>
    <w:bookmarkStart w:id="103"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3"/>
    <w:bookmarkStart w:id="104"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4"/>
    <w:bookmarkStart w:id="105" w:name="ref-larsen2011further"/>
    <w:p>
      <w:pPr>
        <w:pStyle w:val="Literaturverzeichnis"/>
      </w:pP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05"/>
    <w:bookmarkStart w:id="107"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6">
        <w:r>
          <w:rPr>
            <w:rStyle w:val="Hyperlink"/>
          </w:rPr>
          <w:t xml:space="preserve">https://CRAN.R-project.org/package=emmeans</w:t>
        </w:r>
      </w:hyperlink>
    </w:p>
    <w:bookmarkEnd w:id="107"/>
    <w:bookmarkStart w:id="108"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8"/>
    <w:bookmarkStart w:id="109"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9"/>
    <w:bookmarkStart w:id="110"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10"/>
    <w:bookmarkStart w:id="111"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11"/>
    <w:bookmarkStart w:id="112"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12"/>
    <w:bookmarkStart w:id="113"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3"/>
    <w:bookmarkStart w:id="115"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4">
        <w:r>
          <w:rPr>
            <w:rStyle w:val="Hyperlink"/>
          </w:rPr>
          <w:t xml:space="preserve">https://www.R-project.org/</w:t>
        </w:r>
      </w:hyperlink>
    </w:p>
    <w:bookmarkEnd w:id="115"/>
    <w:bookmarkStart w:id="116"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6"/>
    <w:bookmarkStart w:id="117"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7"/>
    <w:bookmarkStart w:id="118"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8"/>
    <w:bookmarkStart w:id="119"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9"/>
    <w:bookmarkStart w:id="120"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20"/>
    <w:bookmarkStart w:id="121"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21"/>
    <w:bookmarkStart w:id="122"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22"/>
    <w:bookmarkStart w:id="123"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3"/>
    <w:bookmarkStart w:id="124" w:name="ref-simonsohn2022above"/>
    <w:p>
      <w:pPr>
        <w:pStyle w:val="Literaturverzeichnis"/>
      </w:pPr>
      <w:r>
        <w:t xml:space="preserve">Simonsohn, U., Simmons, J., &amp; Nelson, L. D. (2022). Above averaging in literature reviews.</w:t>
      </w:r>
      <w:r>
        <w:t xml:space="preserve"> </w:t>
      </w:r>
      <w:r>
        <w:rPr>
          <w:iCs/>
          <w:i/>
        </w:rPr>
        <w:t xml:space="preserve">Nature Reviews Psychology</w:t>
      </w:r>
      <w:r>
        <w:t xml:space="preserve">,</w:t>
      </w:r>
      <w:r>
        <w:t xml:space="preserve"> </w:t>
      </w:r>
      <w:r>
        <w:rPr>
          <w:iCs/>
          <w:i/>
        </w:rPr>
        <w:t xml:space="preserve">1</w:t>
      </w:r>
      <w:r>
        <w:t xml:space="preserve">(10), 551–552.</w:t>
      </w:r>
    </w:p>
    <w:bookmarkEnd w:id="124"/>
    <w:bookmarkStart w:id="125"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5"/>
    <w:bookmarkStart w:id="126"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6"/>
    <w:bookmarkStart w:id="127"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7"/>
    <w:bookmarkStart w:id="128"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8"/>
    <w:bookmarkStart w:id="129"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9"/>
    <w:bookmarkStart w:id="130"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30"/>
    <w:bookmarkStart w:id="131"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31"/>
    <w:bookmarkStart w:id="132"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32"/>
    <w:bookmarkEnd w:id="133"/>
    <w:bookmarkEnd w:id="13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unotentext"/>
      </w:pPr>
      <w:r>
        <w:rPr>
          <w:rStyle w:val="Funotenzeichen"/>
        </w:rPr>
        <w:footnoteRef/>
      </w:r>
      <w:r>
        <w:t xml:space="preserve"> </w:t>
      </w:r>
      <w:r>
        <w:t xml:space="preserve">Although outside the scope of our review, it is worth noting that some theorists believe that motivation-based mechanisms can produce demand effects even when participants do not have the opportunity to adjust their responses. For example,</w:t>
      </w:r>
      <w:r>
        <w:t xml:space="preserve"> </w:t>
      </w:r>
      <w:r>
        <w:t xml:space="preserve">Corneille and Lush (2022)</w:t>
      </w:r>
      <w:r>
        <w:t xml:space="preserve"> </w:t>
      </w:r>
      <w:r>
        <w:t xml:space="preserve">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32">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6">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59">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6" Target="media/rId26.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106" Target="https://CRAN.R-project.org/package=emmeans" TargetMode="External" /><Relationship Type="http://schemas.openxmlformats.org/officeDocument/2006/relationships/hyperlink" Id="rId87"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14"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package=emmeans" TargetMode="External" /><Relationship Type="http://schemas.openxmlformats.org/officeDocument/2006/relationships/hyperlink" Id="rId87"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14"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2024-01-13T00:07:14Z</dcterms:created>
  <dcterms:modified xsi:type="dcterms:W3CDTF">2024-01-13T00:07:14Z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