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5.png" ContentType="image/png"/>
  <Override PartName="/word/media/rId69.png" ContentType="image/png"/>
  <Override PartName="/word/media/rId65.png" ContentType="image/png"/>
  <Override PartName="/word/media/rId41.png" ContentType="image/png"/>
  <Override PartName="/word/media/rId56.png" ContentType="image/png"/>
  <Override PartName="/word/media/rId77.png" ContentType="image/png"/>
  <Override PartName="/word/media/rId46.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have</w:t>
      </w:r>
      <w:r>
        <w:t xml:space="preserve"> </w:t>
      </w:r>
      <w:r>
        <w:t xml:space="preserve">we</w:t>
      </w:r>
      <w:r>
        <w:t xml:space="preserve"> </w:t>
      </w:r>
      <w:r>
        <w:t xml:space="preserve">learned</w:t>
      </w:r>
      <w:r>
        <w:t xml:space="preserve"> </w:t>
      </w:r>
      <w:r>
        <w:t xml:space="preserve">about</w:t>
      </w:r>
      <w:r>
        <w:t xml:space="preserve"> </w:t>
      </w:r>
      <w:r>
        <w:t xml:space="preserve">demand</w:t>
      </w:r>
      <w:r>
        <w:t xml:space="preserve"> </w:t>
      </w:r>
      <w:r>
        <w:t xml:space="preserve">characteristics?</w:t>
      </w:r>
      <w:r>
        <w:t xml:space="preserve"> </w:t>
      </w:r>
      <w:r>
        <w:t xml:space="preserve">A</w:t>
      </w:r>
      <w:r>
        <w:t xml:space="preserve"> </w:t>
      </w:r>
      <w:r>
        <w:t xml:space="preserve">meta-analytic</w:t>
      </w:r>
      <w:r>
        <w:t xml:space="preserve"> </w:t>
      </w:r>
      <w:r>
        <w:t xml:space="preserve">review</w:t>
      </w:r>
      <w:r>
        <w:t xml:space="preserve"> </w:t>
      </w:r>
      <w:r>
        <w:t xml:space="preserve">of</w:t>
      </w:r>
      <w:r>
        <w:t xml:space="preserve"> </w:t>
      </w:r>
      <w:r>
        <w:t xml:space="preserve">experimental</w:t>
      </w:r>
      <w:r>
        <w:t xml:space="preserve"> </w:t>
      </w:r>
      <w:r>
        <w:t xml:space="preserve">manipulation</w:t>
      </w:r>
      <w:r>
        <w:t xml:space="preserve"> </w:t>
      </w:r>
      <w:r>
        <w:t xml:space="preserve">of</w:t>
      </w:r>
      <w:r>
        <w:t xml:space="preserve"> </w:t>
      </w:r>
      <w:r>
        <w:t xml:space="preserve">explicit</w:t>
      </w:r>
      <w:r>
        <w:t xml:space="preserve"> </w:t>
      </w:r>
      <w:r>
        <w:t xml:space="preserve">hypothesis</w:t>
      </w:r>
      <w:r>
        <w:t xml:space="preserve"> </w:t>
      </w:r>
      <w:r>
        <w:t xml:space="preserve">cues</w:t>
      </w:r>
    </w:p>
    <w:p>
      <w:pPr>
        <w:pStyle w:val="Author"/>
      </w:pPr>
      <w:r>
        <w:t xml:space="preserve">Anonymous for peer review (NAC)</w:t>
      </w:r>
      <w:r>
        <w:rPr>
          <w:vertAlign w:val="superscript"/>
        </w:rPr>
        <w:t xml:space="preserve">1</w:t>
      </w:r>
      <w:r>
        <w:t xml:space="preserve">, Anonymous for peer review (MW)</w:t>
      </w:r>
      <w:r>
        <w:rPr>
          <w:vertAlign w:val="superscript"/>
        </w:rPr>
        <w:t xml:space="preserve">1</w:t>
      </w:r>
      <w:r>
        <w:t xml:space="preserve">, &amp; Anonymous for peer review (MCF)</w:t>
      </w:r>
      <w:r>
        <w:rPr>
          <w:vertAlign w:val="superscript"/>
        </w:rPr>
        <w:t xml:space="preserve">2</w:t>
      </w:r>
    </w:p>
    <w:p>
      <w:pPr>
        <w:pStyle w:val="Author"/>
      </w:pPr>
      <w:r>
        <w:rPr>
          <w:vertAlign w:val="superscript"/>
        </w:rPr>
        <w:t xml:space="preserve">1</w:t>
      </w:r>
      <w:r>
        <w:t xml:space="preserve"> </w:t>
      </w:r>
      <w:r>
        <w:t xml:space="preserve">Anonymous for peer review</w:t>
      </w:r>
    </w:p>
    <w:p>
      <w:pPr>
        <w:pStyle w:val="Author"/>
      </w:pPr>
      <w:r>
        <w:rPr>
          <w:vertAlign w:val="superscript"/>
        </w:rPr>
        <w:t xml:space="preserve">2</w:t>
      </w:r>
      <w:r>
        <w:t xml:space="preserve"> </w:t>
      </w:r>
      <w:r>
        <w:t xml:space="preserve">Anonymous for peer review</w:t>
      </w:r>
    </w:p>
    <w:p>
      <w:pPr>
        <w:pStyle w:val="Textkrper"/>
      </w:pPr>
      <w:r>
        <w:t xml:space="preserve">                                                                                                                                                    </w:t>
      </w:r>
    </w:p>
    <w:p>
      <w:pPr>
        <w:pStyle w:val="Textkrper"/>
      </w:pPr>
      <w:r>
        <w:t xml:space="preserve"> </w:t>
      </w:r>
    </w:p>
    <w:p>
      <w:pPr>
        <w:pStyle w:val="authornote-title"/>
      </w:pPr>
      <w:r>
        <w:t xml:space="preserve">Author note</w:t>
      </w:r>
    </w:p>
    <w:p>
      <w:pPr>
        <w:pStyle w:val="authornote"/>
      </w:pPr>
      <w:r>
        <w:t xml:space="preserve">Public significance statement: A fundamental methodological concern in research with human participants is that their responses are biased by information that convey the researcher’s hypothesis (i.e., demand characteristics). In a meta-analysis, we combined evidence from 40 studies that experimentally tested this concern by manipulating the hypothesis explicitly communicated to participants. Results suggested that explicit information about the researcher’s hypothesis produce biases in participants’ responses that can be potentially large – but are troublingly unreliable and difficult to explain.</w:t>
      </w:r>
    </w:p>
    <w:p>
      <w:pPr>
        <w:pStyle w:val="authornote"/>
      </w:pPr>
      <w:r>
        <w:t xml:space="preserve">All materials, data (raw and processed), code, and pre-registrations (for Studies 1 and 2) are openly available at</w:t>
      </w:r>
      <w:r>
        <w:t xml:space="preserve"> </w:t>
      </w:r>
      <w:hyperlink r:id="rId20">
        <w:r>
          <w:rPr>
            <w:rStyle w:val="Hyperlink"/>
          </w:rPr>
          <w:t xml:space="preserve">https://osf.io/3hkre/?view_only=2dc92af53f194e5eab0d7aecafaf01c2</w:t>
        </w:r>
      </w:hyperlink>
      <w:r>
        <w:t xml:space="preserve">.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w:t>
      </w:r>
    </w:p>
    <w:p>
      <w:pPr>
        <w:pStyle w:val="authornote"/>
      </w:pPr>
      <w:r>
        <w:t xml:space="preserve">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pPr>
        <w:pStyle w:val="authornote"/>
      </w:pPr>
      <w:r>
        <w:t xml:space="preserve">Correspondence concerning this article should be addressed to Anonymous for peer review (NAC), Anonymous for peer review. E-mail: Anonymous for peer review</w:t>
      </w:r>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three-level meta-analysis of 195 effect sizes from 40 studies that provided experimental tests of demand effects by manipulating the hypothesis explicitly communicated to participants. Results indicated that these explicit cues tend to produce small overall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0.31;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1.98 (a massive increase in hypothesis-consistent responding) to</w:t>
      </w:r>
      <w:r>
        <w:t xml:space="preserve"> </w:t>
      </w:r>
      <w:r>
        <w:rPr>
          <w:iCs/>
          <w:i/>
        </w:rPr>
        <w:t xml:space="preserve">d</w:t>
      </w:r>
      <w:r>
        <w:t xml:space="preserve"> </w:t>
      </w:r>
      <w:r>
        <w:t xml:space="preserve">= -1.44 (a massive increase in hypothesis-</w:t>
      </w:r>
      <w:r>
        <w:rPr>
          <w:iCs/>
          <w:i/>
        </w:rPr>
        <w:t xml:space="preserve">in</w:t>
      </w:r>
      <w:r>
        <w:t xml:space="preserve">consistent responding). Contrary to conventional motivation accounts, we did not find evidence that demand effects were driven by post-hoc measures of participants’ motivation or opportunity to adjust their responses. We did, however, find robust evidence for accounts that emphasize the role of participants’ expectancies about the hypothesized effects. Similar findings emerged in a direct replication of one recent study included in the meta-analysis. Taken together, results underscore the importance – and challenges – of understanding and controlling for demand characteristics in experimental design.</w:t>
      </w:r>
    </w:p>
    <w:p>
      <w:pPr>
        <w:pStyle w:val="Textkrper"/>
      </w:pPr>
      <w:r>
        <w:rPr>
          <w:iCs/>
          <w:i/>
        </w:rPr>
        <w:t xml:space="preserve">Keywords:</w:t>
      </w:r>
      <w:r>
        <w:t xml:space="preserve"> </w:t>
      </w:r>
      <w:r>
        <w:t xml:space="preserve">demand characteristics, expectancies, placebo, confounds, meta-analysis</w:t>
      </w:r>
    </w:p>
    <w:p>
      <w:pPr>
        <w:pStyle w:val="h1-pagebreak"/>
      </w:pPr>
      <w:r>
        <w:t xml:space="preserve">What have we learned about demand characteristics? A meta-analytic review of experimental manipulation of explicit hypothesis cues</w:t>
      </w:r>
    </w:p>
    <w:p>
      <w:pPr>
        <w:pStyle w:val="Textkrper"/>
      </w:pPr>
      <w:r>
        <w:t xml:space="preserve">Imagine that one day a mysterious person approaches you and begins telling you about a new method they invented for understanding humans. They tell you that their method is useful for estimating causal relationships, but add that there is one issue: it can sometimes be thrown off by a</w:t>
      </w:r>
      <w:r>
        <w:t xml:space="preserve"> </w:t>
      </w:r>
      <w:r>
        <w:rPr>
          <w:iCs/>
          <w:i/>
        </w:rPr>
        <w:t xml:space="preserve">methodological artifact</w:t>
      </w:r>
      <w:r>
        <w:t xml:space="preserve">. They explain that this artifact sometimes causes researchers to detect an effect that’s not real, and other times causes them to miss an effect that is real; that it sometimes biases estimates upward and other times downward. Then, they offer a confession: the artifact doesn’t always impact their conclusions, and they don’t know why. Sometimes the artifact seems to matter, other times it doesn’t – and its underlying mechanisms are poorly understood.</w:t>
      </w:r>
    </w:p>
    <w:p>
      <w:pPr>
        <w:pStyle w:val="Textkrper"/>
      </w:pPr>
      <w:r>
        <w:t xml:space="preserve">If the above scenario was real, the noted limitations would likely call their whole method into question. However, perhaps experimental psychologists should not be so quick to judge. After all,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 perceptive to demand characteristics –</w:t>
      </w:r>
      <w:r>
        <w:t xml:space="preserve"> </w:t>
      </w:r>
      <w:r>
        <w:t xml:space="preserve">“</w:t>
      </w:r>
      <w:r>
        <w:t xml:space="preserve">cues which convey an experimental hypothesis</w:t>
      </w:r>
      <w:r>
        <w:t xml:space="preserve">”</w:t>
      </w:r>
      <w:r>
        <w:t xml:space="preserve"> </w:t>
      </w:r>
      <w:r>
        <w:t xml:space="preserve">– and generally use these cues to help the experimenter confirm their hypothesis</w:t>
      </w:r>
      <w:r>
        <w:t xml:space="preserve"> </w:t>
      </w:r>
      <w:r>
        <w:t xml:space="preserve">(1962, p. 779)</w:t>
      </w:r>
      <w:r>
        <w:t xml:space="preserve">. Orne initially focused on evidence that demand characteristics can lead to false positives, such as patients exhibiting sham symptoms of hypnosis</w:t>
      </w:r>
      <w:r>
        <w:t xml:space="preserve"> </w:t>
      </w:r>
      <w:r>
        <w:t xml:space="preserve">(Orne, 1959)</w:t>
      </w:r>
      <w:r>
        <w:t xml:space="preserve">. However, demand characteristics can also lead to false negatives. For example, participants will ignore visual cues of depth when they believe that disregarding them is the purpose of the experiment</w:t>
      </w:r>
      <w:r>
        <w:t xml:space="preserve"> </w:t>
      </w:r>
      <w:r>
        <w:t xml:space="preserve">(Hayes &amp; King, 1967)</w:t>
      </w:r>
      <w:r>
        <w:t xml:space="preserve">. In addition to creating inferential errors, demand characteristics can bias estimates of causal relationships. For example, the effects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Puzzlingly, though, demand characteristics do not always seem to matter. For example, in a set of large replications of classic studies in behavioral economics, direct manipulations of demand characteristics consistently failed to impact participants’ responses</w:t>
      </w:r>
      <w:r>
        <w:t xml:space="preserve"> </w:t>
      </w:r>
      <w:r>
        <w:t xml:space="preserve">(Mummolo &amp; Peterson, 2019)</w:t>
      </w:r>
      <w:r>
        <w:t xml:space="preserve">.</w:t>
      </w:r>
    </w:p>
    <w:p>
      <w:pPr>
        <w:pStyle w:val="Textkrper"/>
      </w:pPr>
      <w:r>
        <w:t xml:space="preserve">As this brief review shows, demand characteristics are uncomfortably close to the mysterious methodological artifact described in the opening of the paper. Demand effects are a literal textbook methodological concern in experimental psychology</w:t>
      </w:r>
      <w:r>
        <w:t xml:space="preserve"> </w:t>
      </w:r>
      <w:r>
        <w:t xml:space="preserve">(Sharpe &amp; Whelton, 2016)</w:t>
      </w:r>
      <w:r>
        <w:t xml:space="preserve">, but their magnitude, direction, and consistency remain unclear. In the present paper, we use meta-analysis and replication to take stock of what we know about demand characteristics. We begin by briefly reviewing mechanisms commonly theorized to underlie their effects.</w:t>
      </w:r>
    </w:p>
    <w:bookmarkStart w:id="21" w:name="Xa0d64ece604650f58e403bddeb4af76aa562f5e"/>
    <w:p>
      <w:pPr>
        <w:pStyle w:val="berschrift2"/>
      </w:pPr>
      <w:r>
        <w:t xml:space="preserve">How do demand characteristics alter participant responses?</w:t>
      </w:r>
    </w:p>
    <w:p>
      <w:pPr>
        <w:pStyle w:val="FirstParagraph"/>
      </w:pPr>
      <w:r>
        <w:t xml:space="preserve">Historically, there has been little agreement about how demand characteristics alter participant responses. A detailed review of such disagreements is outside the scope of our quantitative review</w:t>
      </w:r>
      <w:r>
        <w:t xml:space="preserve"> </w:t>
      </w:r>
      <w:r>
        <w:t xml:space="preserve">(but see Corneille &amp; Lush, 2022 for a comprehensive survey)</w:t>
      </w:r>
      <w:r>
        <w:t xml:space="preserve">. We focus instead on two broad classes of commonly discussed mechanisms: motivations and expectancies.</w:t>
      </w:r>
    </w:p>
    <w:bookmarkEnd w:id="21"/>
    <w:bookmarkStart w:id="23" w:name="motivation-accounts"/>
    <w:p>
      <w:pPr>
        <w:pStyle w:val="berschrift2"/>
      </w:pPr>
      <w:r>
        <w:t xml:space="preserve">Motivation accounts</w:t>
      </w:r>
    </w:p>
    <w:p>
      <w:pPr>
        <w:pStyle w:val="FirstParagraph"/>
      </w:pPr>
      <w:r>
        <w:t xml:space="preserve">Broadly speaking,</w:t>
      </w:r>
      <w:r>
        <w:t xml:space="preserve"> </w:t>
      </w:r>
      <w:r>
        <w:rPr>
          <w:iCs/>
          <w:i/>
        </w:rPr>
        <w:t xml:space="preserve">motivation accounts</w:t>
      </w:r>
      <w:r>
        <w:t xml:space="preserve"> </w:t>
      </w:r>
      <w:r>
        <w:t xml:space="preserve">posit that demand effects are mediated by participants’ motivation (or lack thereof) to provide hypothesis-consistent responses</w:t>
      </w:r>
      <w:r>
        <w:t xml:space="preserve"> </w:t>
      </w:r>
      <w:r>
        <w:t xml:space="preserve">(Rosnow &amp; Aiken, 1973; Strohmetz, 2008)</w:t>
      </w:r>
      <w:r>
        <w:t xml:space="preserve">. One of the most influential motivation accounts of demand characteristics was developed by</w:t>
      </w:r>
      <w:r>
        <w:t xml:space="preserve"> </w:t>
      </w:r>
      <w:r>
        <w:t xml:space="preserve">Rosnow and Rosenthal (1997)</w:t>
      </w:r>
      <w:r>
        <w:t xml:space="preserve">, who proposed three key moderators: (1) receptivity to cues, (2) motivation to provide hypothesis-consistent responses, and (3) opportunity to alter responses (Figure</w:t>
      </w:r>
      <w:r>
        <w:t xml:space="preserve"> </w:t>
      </w:r>
      <w:r>
        <w:t xml:space="preserve">1</w:t>
      </w:r>
      <w:r>
        <w:t xml:space="preserve">). To start,</w:t>
      </w:r>
      <w:r>
        <w:t xml:space="preserve"> </w:t>
      </w:r>
      <w:r>
        <w:t xml:space="preserve">Rosnow and Rosenthal (1997)</w:t>
      </w:r>
      <w:r>
        <w:t xml:space="preserve"> </w:t>
      </w:r>
      <w:r>
        <w:t xml:space="preserve">reasoned that participants must be receptive to demand characteristics for there to be response bias</w:t>
      </w:r>
      <w:r>
        <w:t xml:space="preserve"> </w:t>
      </w:r>
      <w:r>
        <w:t xml:space="preserve">(see also Rosnow &amp; Aiken, 1973; Strohmetz, 2008)</w:t>
      </w:r>
      <w:r>
        <w:t xml:space="preserve">. As an extreme example, imagine that a researcher hands an infant a sheet of paper that precisely explains the study hypothesis. Demand characteristics are certainly present, but they are not predicted to have an impact because the infant is not receptive to the cues. We mention this moderator for the sake of comprehensiveness, but we will largely focus the rest of the paper on the two other proposed moderators: motivation and opportunity.</w:t>
      </w:r>
    </w:p>
    <w:p>
      <w:pPr>
        <w:pStyle w:val="Textkrper"/>
      </w:pPr>
      <w:r>
        <w:t xml:space="preserve">If and when participants noticed demand characteristics,</w:t>
      </w:r>
      <w:r>
        <w:t xml:space="preserve"> </w:t>
      </w:r>
      <w:r>
        <w:t xml:space="preserve">Rosnow and Rosenthal (1997)</w:t>
      </w:r>
      <w:r>
        <w:t xml:space="preserve"> </w:t>
      </w:r>
      <w:r>
        <w:t xml:space="preserve">theorized that subsequent changes in participants’ responses would then be driven by their motivation (or lack thereof) to provide hypothesis-consistent responses. Early work on demand characteristics was marked by debates about whether participants are motivated to adjust their responses to (a) help the researcher confirm their hypothesis</w:t>
      </w:r>
      <w:r>
        <w:t xml:space="preserve"> </w:t>
      </w:r>
      <w:r>
        <w:t xml:space="preserve">(Orne, 1962)</w:t>
      </w:r>
      <w:r>
        <w:t xml:space="preserve">, (b) receive positive evaluations</w:t>
      </w:r>
      <w:r>
        <w:t xml:space="preserve"> </w:t>
      </w:r>
      <w:r>
        <w:t xml:space="preserve">(Riecken, 1962; Rosenberg, 1969; Sigall, Aronson, &amp; Van Hoose, 1970)</w:t>
      </w:r>
      <w:r>
        <w:t xml:space="preserve">, (c) interfere with the purpose of the study</w:t>
      </w:r>
      <w:r>
        <w:t xml:space="preserve"> </w:t>
      </w:r>
      <w:r>
        <w:t xml:space="preserve">(Cook et al., 1970; Masling, 1966)</w:t>
      </w:r>
      <w:r>
        <w:t xml:space="preserve">, or (d) follow directions as closely as possible</w:t>
      </w:r>
      <w:r>
        <w:t xml:space="preserve"> </w:t>
      </w:r>
      <w:r>
        <w:t xml:space="preserve">(Fillenbaun &amp; Frey, 1970)</w:t>
      </w:r>
      <w:r>
        <w:t xml:space="preserve">.</w:t>
      </w:r>
      <w:r>
        <w:t xml:space="preserve"> </w:t>
      </w:r>
      <w:r>
        <w:t xml:space="preserve">Rosnow and Rosenthal (1997)</w:t>
      </w:r>
      <w:r>
        <w:t xml:space="preserve">, however, advanced these ideas by demonstrating that participants have</w:t>
      </w:r>
      <w:r>
        <w:t xml:space="preserve"> </w:t>
      </w:r>
      <w:r>
        <w:rPr>
          <w:iCs/>
          <w:i/>
        </w:rPr>
        <w:t xml:space="preserve">multiple</w:t>
      </w:r>
      <w:r>
        <w:t xml:space="preserve"> </w:t>
      </w:r>
      <w:r>
        <w:t xml:space="preserve">shifting motivations in mind when they conceptualize their roles as subjects</w:t>
      </w:r>
      <w:r>
        <w:t xml:space="preserve"> </w:t>
      </w:r>
      <w:r>
        <w:t xml:space="preserve">(Rosnow &amp; Rosenthal, 1997)</w:t>
      </w:r>
      <w:r>
        <w:t xml:space="preserve">. For example, participants appear to be motivated to increase performance on simple tasks when told that this is the experimenter’s expectation – but not when the experimenter adds that the increase in performance will be indicative of a negative personality trait</w:t>
      </w:r>
      <w:r>
        <w:t xml:space="preserve"> </w:t>
      </w:r>
      <w:r>
        <w:t xml:space="preserve">(Sigall et al., 1970)</w:t>
      </w:r>
      <w:r>
        <w:t xml:space="preserve">.</w:t>
      </w:r>
      <w:r>
        <w:t xml:space="preserve"> </w:t>
      </w:r>
      <w:r>
        <w:t xml:space="preserve">Rosnow and Rosenthal (1997)</w:t>
      </w:r>
      <w:r>
        <w:t xml:space="preserve">, thus,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w:t>
      </w:r>
    </w:p>
    <w:p>
      <w:pPr>
        <w:pStyle w:val="Textkrper"/>
      </w:pPr>
      <w:r>
        <w:t xml:space="preserve">If participants are motivated to adjust their response,</w:t>
      </w:r>
      <w:r>
        <w:t xml:space="preserve"> </w:t>
      </w:r>
      <w:r>
        <w:t xml:space="preserve">Rosnow and Rosenthal (1997)</w:t>
      </w:r>
      <w:r>
        <w:t xml:space="preserve"> </w:t>
      </w:r>
      <w:r>
        <w:t xml:space="preserve">theorized that subsequent changes in participants’ responses would then be driven by their ability to alter the outcome of interest. For example, participants can more readily alter responses to self-report measures of prejudice, as opposed to reaction-time-based measures like the Implicit Association Test</w:t>
      </w:r>
      <w:r>
        <w:t xml:space="preserve"> </w:t>
      </w:r>
      <w:r>
        <w:t xml:space="preserve">(Greenwald, McGhee, &amp; Schwartz, 1998)</w:t>
      </w:r>
      <w:r>
        <w:t xml:space="preserve">. Taking this third moderator – opportunity – into account, Rosnow and Rosenthal concluded that demand characteristics only produce response biases when participants (1) notice the cues, (2) are motivated to adjust their responses, and (3) can adjust their responses.</w:t>
      </w:r>
      <w:r>
        <w:rPr>
          <w:rStyle w:val="Funotenzeichen"/>
        </w:rPr>
        <w:footnoteReference w:id="22"/>
      </w:r>
      <w:r>
        <w:t xml:space="preserve"> </w:t>
      </w:r>
      <w:r>
        <w:t xml:space="preserve">This influential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mechanism that is more challenging to eliminate: expectancies.</w:t>
      </w:r>
    </w:p>
    <w:bookmarkEnd w:id="23"/>
    <w:bookmarkStart w:id="24" w:name="expectancy-accounts"/>
    <w:p>
      <w:pPr>
        <w:pStyle w:val="berschrift2"/>
      </w:pPr>
      <w:r>
        <w:t xml:space="preserve">Expectancy accounts</w:t>
      </w:r>
    </w:p>
    <w:p>
      <w:pPr>
        <w:pStyle w:val="FirstParagraph"/>
      </w:pPr>
      <w:r>
        <w:t xml:space="preserve">Whereas motivation accounts emphasize the role of participants’ motivation to provide hypothesis-consistent responses,</w:t>
      </w:r>
      <w:r>
        <w:t xml:space="preserve"> </w:t>
      </w:r>
      <w:r>
        <w:rPr>
          <w:iCs/>
          <w:i/>
        </w:rPr>
        <w:t xml:space="preserve">expectancy accounts</w:t>
      </w:r>
      <w:r>
        <w:t xml:space="preserve"> </w:t>
      </w:r>
      <w:r>
        <w:t xml:space="preserve">developed in related work on placebo</w:t>
      </w:r>
      <w:r>
        <w:t xml:space="preserve"> </w:t>
      </w:r>
      <w:r>
        <w:t xml:space="preserve">(Stewart-Williams &amp; Podd, 2004)</w:t>
      </w:r>
      <w:r>
        <w:t xml:space="preserve"> </w:t>
      </w:r>
      <w:r>
        <w:t xml:space="preserve">and mindset</w:t>
      </w:r>
      <w:r>
        <w:t xml:space="preserve"> </w:t>
      </w:r>
      <w:r>
        <w:t xml:space="preserve">(Zion &amp; Crum, 2018)</w:t>
      </w:r>
      <w:r>
        <w:t xml:space="preserve"> </w:t>
      </w:r>
      <w:r>
        <w:t xml:space="preserve">effects raise a different possibility: demand effects may be mediated by the extent to which participants expect the hypothesized effect to emerge. As an example of this distinction, imagine that a participant knows that a researcher expects an intervention to boost mood. On one hand, a motivation account might predict that participants will intentionally adjust their mood reports because they are motivated to help the experimenter confirm their hypothesis (an idea sometimes referred to as a</w:t>
      </w:r>
      <w:r>
        <w:t xml:space="preserve"> </w:t>
      </w:r>
      <w:r>
        <w:t xml:space="preserve">“</w:t>
      </w:r>
      <w:r>
        <w:t xml:space="preserve">good subject effect</w:t>
      </w:r>
      <w:r>
        <w:t xml:space="preserve">”</w:t>
      </w:r>
      <w:r>
        <w:t xml:space="preserve">). On the other hand, an expectancy account might predict that participants will unintentionally experience a change in mood due to the activation and/or shaping of expectancies.</w:t>
      </w:r>
    </w:p>
    <w:p>
      <w:pPr>
        <w:pStyle w:val="Textkrper"/>
      </w:pPr>
      <w:r>
        <w:t xml:space="preserve">In a review on placebo effects,</w:t>
      </w:r>
      <w:r>
        <w:t xml:space="preserve"> </w:t>
      </w:r>
      <w:r>
        <w:t xml:space="preserve">Stewart-Williams and Podd (2004)</w:t>
      </w:r>
      <w:r>
        <w:t xml:space="preserve"> </w:t>
      </w:r>
      <w:r>
        <w:t xml:space="preserve">provided a framework that can be extended to demand effects. In this framework, they suggested that placebo effects can be driven both by previously-learned associations (e.g., via classical conditioning) and newly presented information (e.g., demand characteristics). Although</w:t>
      </w:r>
      <w:r>
        <w:t xml:space="preserve"> </w:t>
      </w:r>
      <w:r>
        <w:t xml:space="preserve">Stewart-Williams and Podd (2004)</w:t>
      </w:r>
      <w:r>
        <w:t xml:space="preserve"> </w:t>
      </w:r>
      <w:r>
        <w:t xml:space="preserve">never mentioned demand characteristics, demand effects are conceptually similar to what they describe as</w:t>
      </w:r>
      <w:r>
        <w:t xml:space="preserve"> </w:t>
      </w:r>
      <w:r>
        <w:t xml:space="preserve">“</w:t>
      </w:r>
      <w:r>
        <w:t xml:space="preserve">nonpharmacological placebo effects in humans,</w:t>
      </w:r>
      <w:r>
        <w:t xml:space="preserve">”</w:t>
      </w:r>
      <w:r>
        <w:t xml:space="preserve"> </w:t>
      </w:r>
      <w:r>
        <w:t xml:space="preserve">which they hypothesized are</w:t>
      </w:r>
      <w:r>
        <w:t xml:space="preserve"> </w:t>
      </w:r>
      <w:r>
        <w:t xml:space="preserve">“</w:t>
      </w:r>
      <w:r>
        <w:t xml:space="preserve">mediated entirely by expectancies</w:t>
      </w:r>
      <w:r>
        <w:t xml:space="preserve">”</w:t>
      </w:r>
      <w:r>
        <w:t xml:space="preserve"> </w:t>
      </w:r>
      <w:r>
        <w:t xml:space="preserve">(p. 338).</w:t>
      </w:r>
    </w:p>
    <w:bookmarkEnd w:id="24"/>
    <w:bookmarkStart w:id="29" w:name="hybrid-accounts"/>
    <w:p>
      <w:pPr>
        <w:pStyle w:val="berschrift2"/>
      </w:pPr>
      <w:r>
        <w:t xml:space="preserve">Hybrid accounts</w:t>
      </w:r>
    </w:p>
    <w:p>
      <w:pPr>
        <w:pStyle w:val="FirstParagraph"/>
      </w:pPr>
      <w:r>
        <w:t xml:space="preserve">A third possibility recently discussed by</w:t>
      </w:r>
      <w:r>
        <w:t xml:space="preserve"> </w:t>
      </w:r>
      <w:r>
        <w:t xml:space="preserve">Coles, Gaertner, et al. (2022)</w:t>
      </w:r>
      <w:r>
        <w:t xml:space="preserve"> </w:t>
      </w:r>
      <w:r>
        <w:t xml:space="preserve">is that demand effects are mediated by</w:t>
      </w:r>
      <w:r>
        <w:t xml:space="preserve"> </w:t>
      </w:r>
      <w:r>
        <w:rPr>
          <w:iCs/>
          <w:i/>
        </w:rPr>
        <w:t xml:space="preserve">both</w:t>
      </w:r>
      <w:r>
        <w:t xml:space="preserve"> </w:t>
      </w:r>
      <w:r>
        <w:t xml:space="preserve">motivation- and expectancy-based mechanisms. Consistent with this reasoning,</w:t>
      </w:r>
      <w:r>
        <w:t xml:space="preserve"> </w:t>
      </w:r>
      <w:r>
        <w:t xml:space="preserve">Coles, Gaertner, et al. (2022)</w:t>
      </w:r>
      <w:r>
        <w:t xml:space="preserve"> </w:t>
      </w:r>
      <w:r>
        <w:t xml:space="preserve">found that participants’ expectations about facial feedback effects did not always match the hypothesis communicated in the demand characteristics manipulation; Some participants, for example, said they believed facial feedback effects were real despite being told that the researcher hypothesized the opposite. Furthermore, both the communicated hypothesis and measures of participants’ expectations moderated the effects of posed expressions on emotion. This finding bolsters claims that demand characteristics can impact participants responses via both motivation- and expectancy-based mechanisms, the latter which may operate even when participants have neither the motivation nor the opportunity to adjust their responses.</w:t>
      </w:r>
    </w:p>
    <w:p>
      <w:pPr>
        <w:pStyle w:val="CaptionedFigure"/>
      </w:pPr>
      <w:r>
        <w:drawing>
          <wp:inline>
            <wp:extent cx="5969000" cy="4353858"/>
            <wp:effectExtent b="0" l="0" r="0" t="0"/>
            <wp:docPr descr="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 title="" id="26" name="Picture"/>
            <a:graphic>
              <a:graphicData uri="http://schemas.openxmlformats.org/drawingml/2006/picture">
                <pic:pic>
                  <pic:nvPicPr>
                    <pic:cNvPr descr="images/metaware_framework.png" id="27" name="Picture"/>
                    <pic:cNvPicPr>
                      <a:picLocks noChangeArrowheads="1" noChangeAspect="1"/>
                    </pic:cNvPicPr>
                  </pic:nvPicPr>
                  <pic:blipFill>
                    <a:blip r:embed="rId25"/>
                    <a:stretch>
                      <a:fillRect/>
                    </a:stretch>
                  </pic:blipFill>
                  <pic:spPr bwMode="auto">
                    <a:xfrm>
                      <a:off x="0" y="0"/>
                      <a:ext cx="5969000" cy="4353858"/>
                    </a:xfrm>
                    <a:prstGeom prst="rect">
                      <a:avLst/>
                    </a:prstGeom>
                    <a:noFill/>
                    <a:ln w="9525">
                      <a:noFill/>
                      <a:headEnd/>
                      <a:tailEnd/>
                    </a:ln>
                  </pic:spPr>
                </pic:pic>
              </a:graphicData>
            </a:graphic>
          </wp:inline>
        </w:drawing>
      </w:r>
    </w:p>
    <w:p>
      <w:pPr>
        <w:pStyle w:val="ImageCaption"/>
      </w:pPr>
      <w:bookmarkStart w:id="28" w:name="fig:framework"/>
      <w:bookmarkEnd w:id="28"/>
      <w:r>
        <w:t xml:space="preserve">Figure 1: Examples of expectancy (Stewart-Williams &amp; Podd, 2004), motivation (Rosnow and Rosenthal, 1997) and hybrid (Coles, Gaertner, et al., 2022) frameworks for conceptualizing how demand characteristics can lead to increases (green), decreases (red), or no shift (light grey) in hypothesis-consistent responding.</w:t>
      </w:r>
    </w:p>
    <w:bookmarkEnd w:id="29"/>
    <w:bookmarkStart w:id="30" w:name="the-current-paper"/>
    <w:p>
      <w:pPr>
        <w:pStyle w:val="berschrift2"/>
      </w:pPr>
      <w:r>
        <w:t xml:space="preserve">The current paper</w:t>
      </w:r>
    </w:p>
    <w:p>
      <w:pPr>
        <w:pStyle w:val="FirstParagraph"/>
      </w:pPr>
      <w:r>
        <w:t xml:space="preserve">The goal of the current paper is to take stock of the literature on demand characteristics: what is the overall expected effect, how reliable is the effect, and what types of study features and psychological processes moderate the effect? In Study 1, we report a meta-analysis of strict experimental tests of the effects of demand characteristics. We then examine several study features (e.g., whether participants are paid) that may moderate these effects. In Study 2, we report an extension of the meta-analysis that examines whether observed effect size variability can be explained by factors commonly discussed in motivation accounts (i.e., motivation and opportunity to adjust responses) and expectancy accounts (i.e., expectations about the hypothesized effect). To conduct this moderation analysis, we derived estimates of these constructs from a new set of raters. These raters read descriptions of each study in the meta-analysis and then reported the extent to which they hypothetically would have (a) been motivated to confirm the experimenter’s hypothesis, (b) had the opportunity to adjust their responses, and (c) believed the hypothesized effect would occur. We also examined how well these raters could predict the effects of demand characteristic manipulations in the meta-analysis.</w:t>
      </w:r>
    </w:p>
    <w:p>
      <w:pPr>
        <w:pStyle w:val="Textkrper"/>
      </w:pPr>
      <w:r>
        <w:t xml:space="preserve">Although meta-analysis allows us to bring a large body of data to bear on questions about demand characteristics, heterogeneity and an inability to directly measure motivation and expectations in the existing literature limit any conclusions</w:t>
      </w:r>
      <w:r>
        <w:t xml:space="preserve"> </w:t>
      </w:r>
      <w:r>
        <w:t xml:space="preserve">(Simonsohn, Simmons, &amp; Nelson, 2022)</w:t>
      </w:r>
      <w:r>
        <w:t xml:space="preserve">. Thus, in Study 3, we report a replication experiment that re-examines motivation and expectancy accounts. In this replication, we manipulated demand characteristics in an experiment on the effects of facial poses on emotional experience</w:t>
      </w:r>
      <w:r>
        <w:t xml:space="preserve"> </w:t>
      </w:r>
      <w:r>
        <w:t xml:space="preserve">(Coles, Larsen, &amp; Lench, 2019; Coles, March, et al., 2022)</w:t>
      </w:r>
      <w:r>
        <w:t xml:space="preserve">. We then examined the extent to which the effect was moderated by motivation to adjust responses, opportunity to adjust responses, and expectations about the hypothesized effect – allowing us to gather measurements directly related to motivation and expectancy accounts of demand effects.</w:t>
      </w:r>
    </w:p>
    <w:bookmarkEnd w:id="30"/>
    <w:bookmarkStart w:id="63" w:name="study-1"/>
    <w:p>
      <w:pPr>
        <w:pStyle w:val="berschrift1"/>
      </w:pPr>
      <w:r>
        <w:t xml:space="preserve">Study 1</w:t>
      </w:r>
    </w:p>
    <w:p>
      <w:pPr>
        <w:pStyle w:val="FirstParagraph"/>
      </w:pPr>
      <w:r>
        <w:t xml:space="preserve">Study 1 was designed to provide a quantitative synthesis of demand effects via meta-analysis.</w:t>
      </w:r>
    </w:p>
    <w:bookmarkStart w:id="40"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mechanisms (motivation accounts) most</w:t>
      </w:r>
      <w:r>
        <w:t xml:space="preserve"> </w:t>
      </w:r>
      <w:r>
        <w:rPr>
          <w:iCs/>
          <w:i/>
        </w:rPr>
        <w:t xml:space="preserve">conventionally</w:t>
      </w:r>
      <w:r>
        <w:t xml:space="preserve"> </w:t>
      </w:r>
      <w:r>
        <w:t xml:space="preserve">discussed in the demand characteristics literature. Given that there is a sizable literature on placebo effects, excluding clinical studies also improved the feasibility of the meta-analysis.</w:t>
      </w:r>
    </w:p>
    <w:p>
      <w:pPr>
        <w:pStyle w:val="Textkrper"/>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31" w:name="literature-search"/>
    <w:p>
      <w:pPr>
        <w:pStyle w:val="berschrift3"/>
      </w:pPr>
      <w:r>
        <w:t xml:space="preserve">Literature search.</w:t>
      </w:r>
    </w:p>
    <w:p>
      <w:pPr>
        <w:pStyle w:val="FirstParagraph"/>
      </w:pPr>
      <w:r>
        <w:t xml:space="preserve">Our literature search strategy was developed in consultation with a librarian at (anonymous for peer review). Given the broad nature of the demand characteristics construct, we determined that a truly comprehensive strategy was not feasible. Thus, we sought to design a strategy that best balanced comprehensiveness with feasibility.</w:t>
      </w:r>
    </w:p>
    <w:p>
      <w:pPr>
        <w:pStyle w:val="Textkrper"/>
      </w:pPr>
      <w:r>
        <w:t xml:space="preserve">On January 12, 2022, 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On April 17, 2024, we repeated the search to identify records published after the initial search. At that time, we also expanded the search to include conceptually similar terms found in the appendix of an influential book on study artifacts</w:t>
      </w:r>
      <w:r>
        <w:t xml:space="preserve"> </w:t>
      </w:r>
      <w:r>
        <w:t xml:space="preserve">(Rosnow &amp; Rosenthal, 1997)</w:t>
      </w:r>
      <w:r>
        <w:t xml:space="preserve">:</w:t>
      </w:r>
      <w:r>
        <w:t xml:space="preserve"> </w:t>
      </w:r>
      <w:r>
        <w:t xml:space="preserve">“</w:t>
      </w:r>
      <w:r>
        <w:t xml:space="preserve">participant role</w:t>
      </w:r>
      <w:r>
        <w:t xml:space="preserve">”</w:t>
      </w:r>
      <w:r>
        <w:t xml:space="preserve"> </w:t>
      </w:r>
      <w:r>
        <w:t xml:space="preserve">OR</w:t>
      </w:r>
      <w:r>
        <w:t xml:space="preserve"> </w:t>
      </w:r>
      <w:r>
        <w:t xml:space="preserve">“</w:t>
      </w:r>
      <w:r>
        <w:t xml:space="preserve">demand effects</w:t>
      </w:r>
      <w:r>
        <w:t xml:space="preserve">”</w:t>
      </w:r>
      <w:r>
        <w:t xml:space="preserve"> </w:t>
      </w:r>
      <w:r>
        <w:t xml:space="preserve">OR</w:t>
      </w:r>
      <w:r>
        <w:t xml:space="preserve"> </w:t>
      </w:r>
      <w:r>
        <w:t xml:space="preserve">“</w:t>
      </w:r>
      <w:r>
        <w:t xml:space="preserve">good subject effect</w:t>
      </w:r>
      <w:r>
        <w:t xml:space="preserve">”</w:t>
      </w:r>
      <w:r>
        <w:t xml:space="preserve"> </w:t>
      </w:r>
      <w:r>
        <w:t xml:space="preserve">OR</w:t>
      </w:r>
      <w:r>
        <w:t xml:space="preserve"> </w:t>
      </w:r>
      <w:r>
        <w:t xml:space="preserve">“</w:t>
      </w:r>
      <w:r>
        <w:t xml:space="preserve">expectancy effect</w:t>
      </w:r>
      <w:r>
        <w:t xml:space="preserve">”</w:t>
      </w:r>
      <w:r>
        <w:t xml:space="preserve"> </w:t>
      </w:r>
      <w:r>
        <w:t xml:space="preserve">OR</w:t>
      </w:r>
      <w:r>
        <w:t xml:space="preserve"> </w:t>
      </w:r>
      <w:r>
        <w:t xml:space="preserve">“</w:t>
      </w:r>
      <w:r>
        <w:t xml:space="preserve">evaluative apprehension</w:t>
      </w:r>
      <w:r>
        <w:t xml:space="preserve">”</w:t>
      </w:r>
      <w:r>
        <w:t xml:space="preserve">.</w:t>
      </w:r>
    </w:p>
    <w:p>
      <w:pPr>
        <w:pStyle w:val="Textkrper"/>
      </w:pPr>
      <w:r>
        <w:t xml:space="preserve">Our search did not have language restrictions and went as far back as 1840, which yielded 854 records. We also released a call for unpublished studies on the Society for Personality and Social Psychology Open Forum; Twitter; the Facebook Psychological Methods Discussion group; and the Facebook PsychMAP group. This call yielded 0 additional records. In total, 97 of the records were unpublished.</w:t>
      </w:r>
    </w:p>
    <w:bookmarkEnd w:id="31"/>
    <w:bookmarkStart w:id="33"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criterion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these conditions were compared to a</w:t>
      </w:r>
      <w:r>
        <w:t xml:space="preserve"> </w:t>
      </w:r>
      <w:r>
        <w:rPr>
          <w:iCs/>
          <w:i/>
        </w:rPr>
        <w:t xml:space="preserve">control</w:t>
      </w:r>
      <w:r>
        <w:t xml:space="preserve"> </w:t>
      </w:r>
      <w:r>
        <w:t xml:space="preserve">condition, where participants were not told about an effect of an independent variable on a dependent variable.</w:t>
      </w:r>
      <w:r>
        <w:rPr>
          <w:rStyle w:val="Funotenzeichen"/>
        </w:rPr>
        <w:footnoteReference w:id="32"/>
      </w:r>
    </w:p>
    <w:p>
      <w:pPr>
        <w:numPr>
          <w:ilvl w:val="0"/>
          <w:numId w:val="1001"/>
        </w:numPr>
      </w:pPr>
      <w:r>
        <w:t xml:space="preserve">The demand characteristics manipulation was not strongly confounded with another manipulation.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32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33"/>
    <w:bookmarkStart w:id="34"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 In other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bookmarkEnd w:id="34"/>
    <w:bookmarkStart w:id="35"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w:t>
      </w:r>
      <w:r>
        <w:t xml:space="preserve">Demand effects should presumably be additive. For example, imagine a study where the effect of a task is either (a) not described at all (a control condition), (b) described as mood-boosting (positive demand) or (c) described as mood-dampening (negative demand).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 manipulation.</w:t>
      </w:r>
      <w:r>
        <w:t xml:space="preserve"> </w:t>
      </w:r>
      <w:r>
        <w:t xml:space="preserve">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pPr>
        <w:numPr>
          <w:ilvl w:val="0"/>
          <w:numId w:val="1002"/>
        </w:numPr>
      </w:pPr>
      <w:r>
        <w:rPr>
          <w:iCs/>
          <w:i/>
        </w:rPr>
        <w:t xml:space="preserve">Participant pool.</w:t>
      </w:r>
      <w:r>
        <w:t xml:space="preserve"> </w:t>
      </w:r>
      <w:r>
        <w:t xml:space="preserve">Whether students, non-students (e.g., MTurk workers), or a mix of students and non-students were sampled.</w:t>
      </w:r>
    </w:p>
    <w:p>
      <w:pPr>
        <w:numPr>
          <w:ilvl w:val="0"/>
          <w:numId w:val="1002"/>
        </w:numPr>
      </w:pPr>
      <w:r>
        <w:rPr>
          <w:iCs/>
          <w:i/>
        </w:rPr>
        <w:t xml:space="preserve">Setting.</w:t>
      </w:r>
      <w:r>
        <w:t xml:space="preserve"> </w:t>
      </w:r>
      <w:r>
        <w:t xml:space="preserve">Whether the study was conducted online or in-person.</w:t>
      </w:r>
    </w:p>
    <w:p>
      <w:pPr>
        <w:numPr>
          <w:ilvl w:val="0"/>
          <w:numId w:val="1002"/>
        </w:numPr>
      </w:pPr>
      <w:r>
        <w:rPr>
          <w:iCs/>
          <w:i/>
        </w:rPr>
        <w:t xml:space="preserve">Study design.</w:t>
      </w:r>
      <w:r>
        <w:t xml:space="preserve"> </w:t>
      </w:r>
      <w:r>
        <w:t xml:space="preserve">Whether demand characteristics were manipulation within- vs. between-subjects.</w:t>
      </w:r>
    </w:p>
    <w:p>
      <w:pPr>
        <w:numPr>
          <w:ilvl w:val="0"/>
          <w:numId w:val="1002"/>
        </w:numPr>
      </w:pPr>
      <w:r>
        <w:rPr>
          <w:iCs/>
          <w:i/>
        </w:rPr>
        <w:t xml:space="preserve">Payment.</w:t>
      </w:r>
      <w:r>
        <w:t xml:space="preserve"> </w:t>
      </w:r>
      <w:r>
        <w:t xml:space="preserve">Whether participants were paid or unpaid.</w:t>
      </w:r>
    </w:p>
    <w:bookmarkEnd w:id="35"/>
    <w:bookmarkStart w:id="38" w:name="meta-analytic-approach"/>
    <w:p>
      <w:pPr>
        <w:pStyle w:val="berschrift3"/>
      </w:pPr>
      <w:r>
        <w:t xml:space="preserve">Meta-analytic approach.</w:t>
      </w:r>
    </w:p>
    <w:p>
      <w:pPr>
        <w:pStyle w:val="FirstParagraph"/>
      </w:pPr>
      <w:r>
        <w:t xml:space="preserve">For our meta-analytic approach, we used three-level meta-analysis (3LMA; also referred to as</w:t>
      </w:r>
      <w:r>
        <w:t xml:space="preserve"> </w:t>
      </w:r>
      <w:r>
        <w:t xml:space="preserve">“</w:t>
      </w:r>
      <w:r>
        <w:t xml:space="preserve">multilevel</w:t>
      </w:r>
      <w:r>
        <w:t xml:space="preserve">”</w:t>
      </w:r>
      <w:r>
        <w:t xml:space="preserve"> </w:t>
      </w:r>
      <w:r>
        <w:t xml:space="preserve">meta-analysis). Rather than assume that there is a single true effect of demand characteristics, 3LMA assumes that there is a distribution containing</w:t>
      </w:r>
      <w:r>
        <w:t xml:space="preserve"> </w:t>
      </w:r>
      <w:r>
        <w:rPr>
          <w:iCs/>
          <w:i/>
        </w:rPr>
        <w:t xml:space="preserve">multiple true effects</w:t>
      </w:r>
      <w:r>
        <w:t xml:space="preserve">. To separate variability in these true effects from mere sampling error, 3LMA models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w:t>
      </w:r>
    </w:p>
    <w:p>
      <w:pPr>
        <w:pStyle w:val="Textkrper"/>
      </w:pPr>
      <w:r>
        <w:t xml:space="preserve">We fit all models using the metafor package</w:t>
      </w:r>
      <w:r>
        <w:t xml:space="preserve"> </w:t>
      </w:r>
      <w:r>
        <w:t xml:space="preserve">(Viechtbauer, 2010)</w:t>
      </w:r>
      <w:r>
        <w:t xml:space="preserve"> </w:t>
      </w:r>
      <w:r>
        <w:t xml:space="preserve">in R</w:t>
      </w:r>
      <w:r>
        <w:t xml:space="preserve"> </w:t>
      </w:r>
      <w:r>
        <w:t xml:space="preserve">(version 4.1.2, R Core Team, 2021)</w:t>
      </w:r>
      <w:r>
        <w:t xml:space="preserve">, with effect sizes weighted based on their inverse-variance. To estimate the overall effect size, we fit an intercept-only 3LMA model. Unless otherwise specified, we conducted moderator analyses by separately entering dummy-coded categorical factors into a new model. Doing so allowed us to avoid issues of collinearity. To test the significance of each moderators, we used model comparison</w:t>
      </w:r>
      <w:r>
        <w:t xml:space="preserve"> </w:t>
      </w:r>
      <w:r>
        <w:rPr>
          <w:iCs/>
          <w:i/>
        </w:rPr>
        <w:t xml:space="preserve">F</w:t>
      </w:r>
      <w:r>
        <w:t xml:space="preserve">-tests. To estimate effect sizes within each subgroup of the moderator, we used model-derived estimates.</w:t>
      </w:r>
    </w:p>
    <w:bookmarkStart w:id="37"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unotenzeichen"/>
        </w:rPr>
        <w:footnoteReference w:id="36"/>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 – which is typically absent when there is no publication bias – is estimated and controlled for in a meta-regression model. The slope of this model is often interpreted as an estimate of publication bias, and the intercept is often interpreted as the bias-corrected overall effect. These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deployed weight-function modeling using the weightR package</w:t>
      </w:r>
      <w:r>
        <w:t xml:space="preserve"> </w:t>
      </w:r>
      <w:r>
        <w:t xml:space="preserve">(Coburn &amp; Vevea, 2019)</w:t>
      </w:r>
      <w:r>
        <w:t xml:space="preserve">. In weight-function modeling, weighted distribution theory is used to model biased selection based on the significance of observed effects</w:t>
      </w:r>
      <w:r>
        <w:t xml:space="preserve"> </w:t>
      </w:r>
      <w:r>
        <w:t xml:space="preserve">(Vevea &amp; Hedges, 1995)</w:t>
      </w:r>
      <w:r>
        <w:t xml:space="preserve">.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moderator. This moderator allowed us to estimate the difference in the magnitude of published vs. unpublished effects.</w:t>
      </w:r>
    </w:p>
    <w:bookmarkEnd w:id="37"/>
    <w:bookmarkEnd w:id="38"/>
    <w:bookmarkStart w:id="39" w:name="transparency-and-openness"/>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https://osf.io/3hkre/?view_only=2dc92af53f194e5eab0d7aecafaf01c2</w:t>
        </w:r>
      </w:hyperlink>
      <w:r>
        <w:t xml:space="preserve">. This link also contains the pre-registration plan and documented amendments. Sample size was determined by the availability of relevant records (i.e., not via power analysis). All code, including the script used to generate a computationally reproducible manuscript using the papaja R package</w:t>
      </w:r>
      <w:r>
        <w:t xml:space="preserve"> </w:t>
      </w:r>
      <w:r>
        <w:t xml:space="preserve">(Aust &amp; Barth, 2022)</w:t>
      </w:r>
      <w:r>
        <w:t xml:space="preserve">, has been checked for reproducibility. Ethics approval was not requested because no new data were collected.</w:t>
      </w:r>
    </w:p>
    <w:bookmarkEnd w:id="39"/>
    <w:bookmarkEnd w:id="40"/>
    <w:bookmarkStart w:id="61" w:name="results"/>
    <w:p>
      <w:pPr>
        <w:pStyle w:val="berschrift2"/>
      </w:pPr>
      <w:r>
        <w:t xml:space="preserve">Results</w:t>
      </w:r>
    </w:p>
    <w:p>
      <w:pPr>
        <w:pStyle w:val="FirstParagraph"/>
      </w:pPr>
      <w:r>
        <w:t xml:space="preserve">Overall, results indicated that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3.89,</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 title="" id="42" name="Picture"/>
            <a:graphic>
              <a:graphicData uri="http://schemas.openxmlformats.org/drawingml/2006/picture">
                <pic:pic>
                  <pic:nvPicPr>
                    <pic:cNvPr descr="metaware_manuscript_files/figure-docx/forest-1.png" id="43" name="Picture"/>
                    <pic:cNvPicPr>
                      <a:picLocks noChangeArrowheads="1" noChangeAspect="1"/>
                    </pic:cNvPicPr>
                  </pic:nvPicPr>
                  <pic:blipFill>
                    <a:blip r:embed="rId41"/>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bookmarkStart w:id="44" w:name="fig:forest"/>
      <w:bookmarkEnd w:id="44"/>
      <w:r>
        <w:t xml:space="preserve">Figure 2: Forest plot of effect sizes (grey diamonds), their 95% confidence intervals (grey error bars), and their citations (left; see openly-available data for more information).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As a reminder, rather than assume that there is a single true effect of demand characteristics, 3LMA assumes that there are</w:t>
      </w:r>
      <w:r>
        <w:t xml:space="preserve"> </w:t>
      </w:r>
      <w:r>
        <w:rPr>
          <w:iCs/>
          <w:i/>
        </w:rPr>
        <w:t xml:space="preserve">multiple true effects.</w:t>
      </w:r>
      <w:r>
        <w:t xml:space="preserve"> </w:t>
      </w:r>
      <w:r>
        <w:t xml:space="preserve">Consistent with this assumption, observed variability in demand effects drastically exceeded what would be expected from sampling error alone (between-study</w:t>
      </w:r>
      <w:r>
        <w:t xml:space="preserve"> </w:t>
      </w:r>
      <m:oMath>
        <m:r>
          <m:t>τ</m:t>
        </m:r>
      </m:oMath>
      <w:r>
        <w:t xml:space="preserve"> </w:t>
      </w:r>
      <w:r>
        <w:t xml:space="preserve">= 0.31; within-study</w:t>
      </w:r>
      <w:r>
        <w:t xml:space="preserve"> </w:t>
      </w:r>
      <m:oMath>
        <m:r>
          <m:t>σ</m:t>
        </m:r>
      </m:oMath>
      <w:r>
        <w:t xml:space="preserve"> </w:t>
      </w:r>
      <w:r>
        <w:t xml:space="preserve">= 0.20;</w:t>
      </w:r>
      <w:r>
        <w:t xml:space="preserve"> </w:t>
      </w:r>
      <m:oMath>
        <m:r>
          <m:t>Q</m:t>
        </m:r>
      </m:oMath>
      <w:r>
        <w:t xml:space="preserve">(195) = 904.45,</w:t>
      </w:r>
      <w:r>
        <w:t xml:space="preserve"> </w:t>
      </w:r>
      <m:oMath>
        <m:r>
          <m:t>p</m:t>
        </m:r>
      </m:oMath>
      <w:r>
        <w:t xml:space="preserve"> </w:t>
      </w:r>
      <w:r>
        <w:t xml:space="preserve">&lt; .001). 3LMA assumes that the multiple true effects form a normal distribution, which we recreated based on estimates of the average effect size and variability attributed to sources other than sampling error (between-study</w:t>
      </w:r>
      <w:r>
        <w:t xml:space="preserve"> </w:t>
      </w:r>
      <m:oMath>
        <m:r>
          <m:t>τ</m:t>
        </m:r>
      </m:oMath>
      <w:r>
        <w:t xml:space="preserve"> </w:t>
      </w:r>
      <w:r>
        <w:t xml:space="preserve">+ within-study</w:t>
      </w:r>
      <w:r>
        <w:t xml:space="preserve"> </w:t>
      </w:r>
      <m:oMath>
        <m:r>
          <m:t>σ</m:t>
        </m:r>
      </m:oMath>
      <w:r>
        <w:t xml:space="preserve">). As shown in Figure</w:t>
      </w:r>
      <w:r>
        <w:t xml:space="preserve"> </w:t>
      </w:r>
      <w:r>
        <w:t xml:space="preserve">2</w:t>
      </w:r>
      <w:r>
        <w:t xml:space="preserve">, this estimated distribution suggests that demand effects can range from approximately</w:t>
      </w:r>
      <w:r>
        <w:t xml:space="preserve"> </w:t>
      </w:r>
      <m:oMath>
        <m:r>
          <m:t>d</m:t>
        </m:r>
      </m:oMath>
      <w:r>
        <w:t xml:space="preserve"> </w:t>
      </w:r>
      <w:r>
        <w:t xml:space="preserve">= -1.44 to</w:t>
      </w:r>
      <w:r>
        <w:t xml:space="preserve"> </w:t>
      </w:r>
      <m:oMath>
        <m:r>
          <m:t>d</m:t>
        </m:r>
      </m:oMath>
      <w:r>
        <w:t xml:space="preserve"> </w:t>
      </w:r>
      <w:r>
        <w:t xml:space="preserve">= 1.98 — covering the range of most conceivable effects in psychology. As a heuristic, we arbitrarily classified any effect size less than 0.10 standard deviation in either direction as</w:t>
      </w:r>
      <w:r>
        <w:t xml:space="preserve"> </w:t>
      </w:r>
      <w:r>
        <w:t xml:space="preserve">“</w:t>
      </w:r>
      <w:r>
        <w:t xml:space="preserve">negligible</w:t>
      </w:r>
      <w:r>
        <w:t xml:space="preserve">”</w:t>
      </w:r>
      <w:r>
        <w:t xml:space="preserve">. Based on this classification, the recreated distribution suggested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50" w:name="moderator-analyses"/>
    <w:p>
      <w:pPr>
        <w:pStyle w:val="berschrift3"/>
      </w:pPr>
      <w:r>
        <w:t xml:space="preserve">Moderator analyses.</w:t>
      </w:r>
    </w:p>
    <w:p>
      <w:pPr>
        <w:pStyle w:val="TableCaption"/>
      </w:pPr>
      <w:bookmarkStart w:id="45" w:name="tab:modtable"/>
      <w:bookmarkEnd w:id="45"/>
      <w:r>
        <w:t xml:space="preserve">Table </w:t>
      </w:r>
      <w:r>
        <w:br/>
      </w:r>
    </w:p>
    <w:tbl>
      <w:tblPr>
        <w:tblStyle w:val="Table"/>
        <w:tblW w:type="auto" w:w="0"/>
        <w:tblLook w:firstRow="1" w:lastRow="0" w:firstColumn="0" w:lastColumn="0" w:noHBand="0" w:noVBand="0" w:val="0020"/>
        <w:jc w:val="start"/>
        <w:tblCaption w:val="Table  "/>
      </w:tblPr>
      <w:tblGrid>
        <w:gridCol w:w="990"/>
        <w:gridCol w:w="990"/>
        <w:gridCol w:w="990"/>
        <w:gridCol w:w="990"/>
        <w:gridCol w:w="990"/>
        <w:gridCol w:w="990"/>
        <w:gridCol w:w="990"/>
        <w:gridCol w:w="990"/>
      </w:tblGrid>
      <w:tr>
        <w:trPr>
          <w:tblHeader w:val="true"/>
        </w:trPr>
        <w:tc>
          <w:tcPr/>
          <w:p>
            <w:pPr>
              <w:pStyle w:val="Compact"/>
              <w:jc w:val="left"/>
            </w:pPr>
            <w:r>
              <w:t xml:space="preserve">Moderator (bolded) and level</w:t>
            </w:r>
          </w:p>
        </w:tc>
        <w:tc>
          <w:tcPr/>
          <w:p>
            <w:pPr>
              <w:pStyle w:val="Compact"/>
              <w:jc w:val="left"/>
            </w:pPr>
            <w:r>
              <w:t xml:space="preserve">s</w:t>
            </w:r>
          </w:p>
        </w:tc>
        <w:tc>
          <w:tcPr/>
          <w:p>
            <w:pPr>
              <w:pStyle w:val="Compact"/>
              <w:jc w:val="left"/>
            </w:pPr>
            <w:r>
              <w:t xml:space="preserve">k</w:t>
            </w:r>
          </w:p>
        </w:tc>
        <w:tc>
          <w:tcPr/>
          <w:p>
            <w:pPr>
              <w:pStyle w:val="Compact"/>
              <w:jc w:val="left"/>
            </w:pPr>
            <w:r>
              <w:t xml:space="preserve">d</w:t>
            </w:r>
          </w:p>
        </w:tc>
        <w:tc>
          <w:tcPr/>
          <w:p>
            <w:pPr>
              <w:pStyle w:val="Compact"/>
              <w:jc w:val="left"/>
            </w:pPr>
            <w:r>
              <w:t xml:space="preserve">B1</w:t>
            </w:r>
          </w:p>
        </w:tc>
        <w:tc>
          <w:tcPr/>
          <w:p>
            <w:pPr>
              <w:pStyle w:val="Compact"/>
              <w:jc w:val="left"/>
            </w:pPr>
            <w:r>
              <w:t xml:space="preserve">F</w:t>
            </w:r>
          </w:p>
        </w:tc>
        <w:tc>
          <w:tcPr/>
          <w:p>
            <w:pPr>
              <w:pStyle w:val="Compact"/>
              <w:jc w:val="left"/>
            </w:pPr>
            <w:r>
              <w:t xml:space="preserve">95% CI</w:t>
            </w:r>
          </w:p>
        </w:tc>
        <w:tc>
          <w:tcPr/>
          <w:p>
            <w:pPr>
              <w:pStyle w:val="Compact"/>
              <w:jc w:val="left"/>
            </w:pPr>
            <w:r>
              <w:t xml:space="preserve">p</w:t>
            </w:r>
          </w:p>
        </w:tc>
      </w:tr>
      <w:tr>
        <w:tc>
          <w:tcPr/>
          <w:p>
            <w:pPr>
              <w:pStyle w:val="Compact"/>
              <w:jc w:val="left"/>
            </w:pPr>
            <w:r>
              <w:t xml:space="preserve">Student Status</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3.04</w:t>
            </w:r>
          </w:p>
        </w:tc>
        <w:tc>
          <w:tcPr/>
          <w:p>
            <w:pPr>
              <w:pStyle w:val="Compact"/>
              <w:jc w:val="left"/>
            </w:pPr>
            <w:r>
              <w:t xml:space="preserve">–</w:t>
            </w:r>
          </w:p>
        </w:tc>
        <w:tc>
          <w:tcPr/>
          <w:p>
            <w:pPr>
              <w:pStyle w:val="Compact"/>
              <w:jc w:val="left"/>
            </w:pPr>
            <w:r>
              <w:t xml:space="preserve">0.0500270720053826</w:t>
            </w:r>
          </w:p>
        </w:tc>
      </w:tr>
      <w:tr>
        <w:tc>
          <w:tcPr/>
          <w:p>
            <w:pPr>
              <w:pStyle w:val="Compact"/>
              <w:jc w:val="left"/>
            </w:pPr>
            <w:r>
              <w:t xml:space="preserve">     yes</w:t>
            </w:r>
          </w:p>
        </w:tc>
        <w:tc>
          <w:tcPr/>
          <w:p>
            <w:pPr>
              <w:pStyle w:val="Compact"/>
              <w:jc w:val="left"/>
            </w:pPr>
            <w:r>
              <w:t xml:space="preserve">29</w:t>
            </w:r>
          </w:p>
        </w:tc>
        <w:tc>
          <w:tcPr/>
          <w:p>
            <w:pPr>
              <w:pStyle w:val="Compact"/>
              <w:jc w:val="left"/>
            </w:pPr>
            <w:r>
              <w:t xml:space="preserve">144</w:t>
            </w:r>
          </w:p>
        </w:tc>
        <w:tc>
          <w:tcPr/>
          <w:p>
            <w:pPr>
              <w:pStyle w:val="Compact"/>
              <w:jc w:val="left"/>
            </w:pPr>
            <w:r>
              <w:t xml:space="preserve">0.31</w:t>
            </w:r>
          </w:p>
        </w:tc>
        <w:tc>
          <w:tcPr/>
          <w:p>
            <w:pPr>
              <w:pStyle w:val="Compact"/>
              <w:jc w:val="left"/>
            </w:pPr>
            <w:r>
              <w:t xml:space="preserve">–</w:t>
            </w:r>
          </w:p>
        </w:tc>
        <w:tc>
          <w:tcPr/>
          <w:p>
            <w:pPr>
              <w:pStyle w:val="Compact"/>
              <w:jc w:val="left"/>
            </w:pPr>
            <w:r>
              <w:t xml:space="preserve">22.59</w:t>
            </w:r>
          </w:p>
        </w:tc>
        <w:tc>
          <w:tcPr/>
          <w:p>
            <w:pPr>
              <w:pStyle w:val="Compact"/>
              <w:jc w:val="left"/>
            </w:pPr>
            <w:r>
              <w:t xml:space="preserve">[0.18, 0.44]</w:t>
            </w:r>
          </w:p>
        </w:tc>
        <w:tc>
          <w:tcPr/>
          <w:p>
            <w:pPr>
              <w:pStyle w:val="Compact"/>
              <w:jc w:val="left"/>
            </w:pPr>
            <w:r>
              <w:t xml:space="preserve">0.00000403690560693306</w:t>
            </w:r>
          </w:p>
        </w:tc>
      </w:tr>
      <w:tr>
        <w:tc>
          <w:tcPr/>
          <w:p>
            <w:pPr>
              <w:pStyle w:val="Compact"/>
              <w:jc w:val="left"/>
            </w:pPr>
            <w:r>
              <w:t xml:space="preserve">     no</w:t>
            </w:r>
          </w:p>
        </w:tc>
        <w:tc>
          <w:tcPr/>
          <w:p>
            <w:pPr>
              <w:pStyle w:val="Compact"/>
              <w:jc w:val="left"/>
            </w:pPr>
            <w:r>
              <w:t xml:space="preserve">11</w:t>
            </w:r>
          </w:p>
        </w:tc>
        <w:tc>
          <w:tcPr/>
          <w:p>
            <w:pPr>
              <w:pStyle w:val="Compact"/>
              <w:jc w:val="left"/>
            </w:pPr>
            <w:r>
              <w:t xml:space="preserve">25</w:t>
            </w:r>
          </w:p>
        </w:tc>
        <w:tc>
          <w:tcPr/>
          <w:p>
            <w:pPr>
              <w:pStyle w:val="Compact"/>
              <w:jc w:val="left"/>
            </w:pPr>
            <w:r>
              <w:t xml:space="preserve">0.04</w:t>
            </w:r>
          </w:p>
        </w:tc>
        <w:tc>
          <w:tcPr/>
          <w:p>
            <w:pPr>
              <w:pStyle w:val="Compact"/>
              <w:jc w:val="left"/>
            </w:pPr>
            <w:r>
              <w:t xml:space="preserve">–</w:t>
            </w:r>
          </w:p>
        </w:tc>
        <w:tc>
          <w:tcPr/>
          <w:p>
            <w:pPr>
              <w:pStyle w:val="Compact"/>
              <w:jc w:val="left"/>
            </w:pPr>
            <w:r>
              <w:t xml:space="preserve">0.16</w:t>
            </w:r>
          </w:p>
        </w:tc>
        <w:tc>
          <w:tcPr/>
          <w:p>
            <w:pPr>
              <w:pStyle w:val="Compact"/>
              <w:jc w:val="left"/>
            </w:pPr>
            <w:r>
              <w:t xml:space="preserve">[-0.15, 0.23]</w:t>
            </w:r>
          </w:p>
        </w:tc>
        <w:tc>
          <w:tcPr/>
          <w:p>
            <w:pPr>
              <w:pStyle w:val="Compact"/>
              <w:jc w:val="left"/>
            </w:pPr>
            <w:r>
              <w:t xml:space="preserve">0.688990422945898</w:t>
            </w:r>
          </w:p>
        </w:tc>
      </w:tr>
      <w:tr>
        <w:tc>
          <w:tcPr/>
          <w:p>
            <w:pPr>
              <w:pStyle w:val="Compact"/>
              <w:jc w:val="left"/>
            </w:pPr>
            <w:r>
              <w:t xml:space="preserve">     mix</w:t>
            </w:r>
          </w:p>
        </w:tc>
        <w:tc>
          <w:tcPr/>
          <w:p>
            <w:pPr>
              <w:pStyle w:val="Compact"/>
              <w:jc w:val="left"/>
            </w:pPr>
            <w:r>
              <w:t xml:space="preserve">3</w:t>
            </w:r>
          </w:p>
        </w:tc>
        <w:tc>
          <w:tcPr/>
          <w:p>
            <w:pPr>
              <w:pStyle w:val="Compact"/>
              <w:jc w:val="left"/>
            </w:pPr>
            <w:r>
              <w:t xml:space="preserve">20</w:t>
            </w:r>
          </w:p>
        </w:tc>
        <w:tc>
          <w:tcPr/>
          <w:p>
            <w:pPr>
              <w:pStyle w:val="Compact"/>
              <w:jc w:val="left"/>
            </w:pPr>
            <w:r>
              <w:t xml:space="preserve">0.04</w:t>
            </w:r>
          </w:p>
        </w:tc>
        <w:tc>
          <w:tcPr/>
          <w:p>
            <w:pPr>
              <w:pStyle w:val="Compact"/>
              <w:jc w:val="left"/>
            </w:pPr>
            <w:r>
              <w:t xml:space="preserve">–</w:t>
            </w:r>
          </w:p>
        </w:tc>
        <w:tc>
          <w:tcPr/>
          <w:p>
            <w:pPr>
              <w:pStyle w:val="Compact"/>
              <w:jc w:val="left"/>
            </w:pPr>
            <w:r>
              <w:t xml:space="preserve">0.04</w:t>
            </w:r>
          </w:p>
        </w:tc>
        <w:tc>
          <w:tcPr/>
          <w:p>
            <w:pPr>
              <w:pStyle w:val="Compact"/>
              <w:jc w:val="left"/>
            </w:pPr>
            <w:r>
              <w:t xml:space="preserve">[-0.38, 0.47]</w:t>
            </w:r>
          </w:p>
        </w:tc>
        <w:tc>
          <w:tcPr/>
          <w:p>
            <w:pPr>
              <w:pStyle w:val="Compact"/>
              <w:jc w:val="left"/>
            </w:pPr>
            <w:r>
              <w:t xml:space="preserve">0.836752435167723</w:t>
            </w:r>
          </w:p>
        </w:tc>
      </w:tr>
      <w:tr>
        <w:tc>
          <w:tcPr/>
          <w:p>
            <w:pPr>
              <w:pStyle w:val="Compact"/>
              <w:jc w:val="left"/>
            </w:pPr>
            <w:r>
              <w:t xml:space="preserve">Payment Status</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0.33</w:t>
            </w:r>
          </w:p>
        </w:tc>
        <w:tc>
          <w:tcPr/>
          <w:p>
            <w:pPr>
              <w:pStyle w:val="Compact"/>
              <w:jc w:val="left"/>
            </w:pPr>
            <w:r>
              <w:t xml:space="preserve">–</w:t>
            </w:r>
          </w:p>
        </w:tc>
        <w:tc>
          <w:tcPr/>
          <w:p>
            <w:pPr>
              <w:pStyle w:val="Compact"/>
              <w:jc w:val="left"/>
            </w:pPr>
            <w:r>
              <w:t xml:space="preserve">0.564579290338069</w:t>
            </w:r>
          </w:p>
        </w:tc>
      </w:tr>
      <w:tr>
        <w:tc>
          <w:tcPr/>
          <w:p>
            <w:pPr>
              <w:pStyle w:val="Compact"/>
              <w:jc w:val="left"/>
            </w:pPr>
            <w:r>
              <w:t xml:space="preserve">     yes</w:t>
            </w:r>
          </w:p>
        </w:tc>
        <w:tc>
          <w:tcPr/>
          <w:p>
            <w:pPr>
              <w:pStyle w:val="Compact"/>
              <w:jc w:val="left"/>
            </w:pPr>
            <w:r>
              <w:t xml:space="preserve">11</w:t>
            </w:r>
          </w:p>
        </w:tc>
        <w:tc>
          <w:tcPr/>
          <w:p>
            <w:pPr>
              <w:pStyle w:val="Compact"/>
              <w:jc w:val="left"/>
            </w:pPr>
            <w:r>
              <w:t xml:space="preserve">48</w:t>
            </w:r>
          </w:p>
        </w:tc>
        <w:tc>
          <w:tcPr/>
          <w:p>
            <w:pPr>
              <w:pStyle w:val="Compact"/>
              <w:jc w:val="left"/>
            </w:pPr>
            <w:r>
              <w:t xml:space="preserve">0.16</w:t>
            </w:r>
          </w:p>
        </w:tc>
        <w:tc>
          <w:tcPr/>
          <w:p>
            <w:pPr>
              <w:pStyle w:val="Compact"/>
              <w:jc w:val="left"/>
            </w:pPr>
            <w:r>
              <w:t xml:space="preserve">–</w:t>
            </w:r>
          </w:p>
        </w:tc>
        <w:tc>
          <w:tcPr/>
          <w:p>
            <w:pPr>
              <w:pStyle w:val="Compact"/>
              <w:jc w:val="left"/>
            </w:pPr>
            <w:r>
              <w:t xml:space="preserve">2.99</w:t>
            </w:r>
          </w:p>
        </w:tc>
        <w:tc>
          <w:tcPr/>
          <w:p>
            <w:pPr>
              <w:pStyle w:val="Compact"/>
              <w:jc w:val="left"/>
            </w:pPr>
            <w:r>
              <w:t xml:space="preserve">[-0.02, 0.33]</w:t>
            </w:r>
          </w:p>
        </w:tc>
        <w:tc>
          <w:tcPr/>
          <w:p>
            <w:pPr>
              <w:pStyle w:val="Compact"/>
              <w:jc w:val="left"/>
            </w:pPr>
            <w:r>
              <w:t xml:space="preserve">0.0851336232858043</w:t>
            </w:r>
          </w:p>
        </w:tc>
      </w:tr>
      <w:tr>
        <w:tc>
          <w:tcPr/>
          <w:p>
            <w:pPr>
              <w:pStyle w:val="Compact"/>
              <w:jc w:val="left"/>
            </w:pPr>
            <w:r>
              <w:t xml:space="preserve">     no</w:t>
            </w:r>
          </w:p>
        </w:tc>
        <w:tc>
          <w:tcPr/>
          <w:p>
            <w:pPr>
              <w:pStyle w:val="Compact"/>
              <w:jc w:val="left"/>
            </w:pPr>
            <w:r>
              <w:t xml:space="preserve">32</w:t>
            </w:r>
          </w:p>
        </w:tc>
        <w:tc>
          <w:tcPr/>
          <w:p>
            <w:pPr>
              <w:pStyle w:val="Compact"/>
              <w:jc w:val="left"/>
            </w:pPr>
            <w:r>
              <w:t xml:space="preserve">149</w:t>
            </w:r>
          </w:p>
        </w:tc>
        <w:tc>
          <w:tcPr/>
          <w:p>
            <w:pPr>
              <w:pStyle w:val="Compact"/>
              <w:jc w:val="left"/>
            </w:pPr>
            <w:r>
              <w:t xml:space="preserve">0.22</w:t>
            </w:r>
          </w:p>
        </w:tc>
        <w:tc>
          <w:tcPr/>
          <w:p>
            <w:pPr>
              <w:pStyle w:val="Compact"/>
              <w:jc w:val="left"/>
            </w:pPr>
            <w:r>
              <w:t xml:space="preserve">–</w:t>
            </w:r>
          </w:p>
        </w:tc>
        <w:tc>
          <w:tcPr/>
          <w:p>
            <w:pPr>
              <w:pStyle w:val="Compact"/>
              <w:jc w:val="left"/>
            </w:pPr>
            <w:r>
              <w:t xml:space="preserve">13.04</w:t>
            </w:r>
          </w:p>
        </w:tc>
        <w:tc>
          <w:tcPr/>
          <w:p>
            <w:pPr>
              <w:pStyle w:val="Compact"/>
              <w:jc w:val="left"/>
            </w:pPr>
            <w:r>
              <w:t xml:space="preserve">[0.1, 0.34]</w:t>
            </w:r>
          </w:p>
        </w:tc>
        <w:tc>
          <w:tcPr/>
          <w:p>
            <w:pPr>
              <w:pStyle w:val="Compact"/>
              <w:jc w:val="left"/>
            </w:pPr>
            <w:r>
              <w:t xml:space="preserve">0.000389590571887055</w:t>
            </w:r>
          </w:p>
        </w:tc>
      </w:tr>
      <w:tr>
        <w:tc>
          <w:tcPr/>
          <w:p>
            <w:pPr>
              <w:pStyle w:val="Compact"/>
              <w:jc w:val="left"/>
            </w:pPr>
            <w:r>
              <w:t xml:space="preserve">Setting</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2.22</w:t>
            </w:r>
          </w:p>
        </w:tc>
        <w:tc>
          <w:tcPr/>
          <w:p>
            <w:pPr>
              <w:pStyle w:val="Compact"/>
              <w:jc w:val="left"/>
            </w:pPr>
            <w:r>
              <w:t xml:space="preserve">–</w:t>
            </w:r>
          </w:p>
        </w:tc>
        <w:tc>
          <w:tcPr/>
          <w:p>
            <w:pPr>
              <w:pStyle w:val="Compact"/>
              <w:jc w:val="left"/>
            </w:pPr>
            <w:r>
              <w:t xml:space="preserve">0.137873162777035</w:t>
            </w:r>
          </w:p>
        </w:tc>
      </w:tr>
      <w:tr>
        <w:tc>
          <w:tcPr/>
          <w:p>
            <w:pPr>
              <w:pStyle w:val="Compact"/>
              <w:jc w:val="left"/>
            </w:pPr>
            <w:r>
              <w:t xml:space="preserve">     online</w:t>
            </w:r>
          </w:p>
        </w:tc>
        <w:tc>
          <w:tcPr/>
          <w:p>
            <w:pPr>
              <w:pStyle w:val="Compact"/>
              <w:jc w:val="left"/>
            </w:pPr>
            <w:r>
              <w:t xml:space="preserve">12</w:t>
            </w:r>
          </w:p>
        </w:tc>
        <w:tc>
          <w:tcPr/>
          <w:p>
            <w:pPr>
              <w:pStyle w:val="Compact"/>
              <w:jc w:val="left"/>
            </w:pPr>
            <w:r>
              <w:t xml:space="preserve">45</w:t>
            </w:r>
          </w:p>
        </w:tc>
        <w:tc>
          <w:tcPr/>
          <w:p>
            <w:pPr>
              <w:pStyle w:val="Compact"/>
              <w:jc w:val="left"/>
            </w:pPr>
            <w:r>
              <w:t xml:space="preserve">0.12</w:t>
            </w:r>
          </w:p>
        </w:tc>
        <w:tc>
          <w:tcPr/>
          <w:p>
            <w:pPr>
              <w:pStyle w:val="Compact"/>
              <w:jc w:val="left"/>
            </w:pPr>
            <w:r>
              <w:t xml:space="preserve">–</w:t>
            </w:r>
          </w:p>
        </w:tc>
        <w:tc>
          <w:tcPr/>
          <w:p>
            <w:pPr>
              <w:pStyle w:val="Compact"/>
              <w:jc w:val="left"/>
            </w:pPr>
            <w:r>
              <w:t xml:space="preserve">1.58</w:t>
            </w:r>
          </w:p>
        </w:tc>
        <w:tc>
          <w:tcPr/>
          <w:p>
            <w:pPr>
              <w:pStyle w:val="Compact"/>
              <w:jc w:val="left"/>
            </w:pPr>
            <w:r>
              <w:t xml:space="preserve">[-0.07, 0.31]</w:t>
            </w:r>
          </w:p>
        </w:tc>
        <w:tc>
          <w:tcPr/>
          <w:p>
            <w:pPr>
              <w:pStyle w:val="Compact"/>
              <w:jc w:val="left"/>
            </w:pPr>
            <w:r>
              <w:t xml:space="preserve">0.210983144141464</w:t>
            </w:r>
          </w:p>
        </w:tc>
      </w:tr>
      <w:tr>
        <w:tc>
          <w:tcPr/>
          <w:p>
            <w:pPr>
              <w:pStyle w:val="Compact"/>
              <w:jc w:val="left"/>
            </w:pPr>
            <w:r>
              <w:t xml:space="preserve">     in-person</w:t>
            </w:r>
          </w:p>
        </w:tc>
        <w:tc>
          <w:tcPr/>
          <w:p>
            <w:pPr>
              <w:pStyle w:val="Compact"/>
              <w:jc w:val="left"/>
            </w:pPr>
            <w:r>
              <w:t xml:space="preserve">30</w:t>
            </w:r>
          </w:p>
        </w:tc>
        <w:tc>
          <w:tcPr/>
          <w:p>
            <w:pPr>
              <w:pStyle w:val="Compact"/>
              <w:jc w:val="left"/>
            </w:pPr>
            <w:r>
              <w:t xml:space="preserve">149</w:t>
            </w:r>
          </w:p>
        </w:tc>
        <w:tc>
          <w:tcPr/>
          <w:p>
            <w:pPr>
              <w:pStyle w:val="Compact"/>
              <w:jc w:val="left"/>
            </w:pPr>
            <w:r>
              <w:t xml:space="preserve">0.29</w:t>
            </w:r>
          </w:p>
        </w:tc>
        <w:tc>
          <w:tcPr/>
          <w:p>
            <w:pPr>
              <w:pStyle w:val="Compact"/>
              <w:jc w:val="left"/>
            </w:pPr>
            <w:r>
              <w:t xml:space="preserve">–</w:t>
            </w:r>
          </w:p>
        </w:tc>
        <w:tc>
          <w:tcPr/>
          <w:p>
            <w:pPr>
              <w:pStyle w:val="Compact"/>
              <w:jc w:val="left"/>
            </w:pPr>
            <w:r>
              <w:t xml:space="preserve">18.39</w:t>
            </w:r>
          </w:p>
        </w:tc>
        <w:tc>
          <w:tcPr/>
          <w:p>
            <w:pPr>
              <w:pStyle w:val="Compact"/>
              <w:jc w:val="left"/>
            </w:pPr>
            <w:r>
              <w:t xml:space="preserve">[0.16, 0.42]</w:t>
            </w:r>
          </w:p>
        </w:tc>
        <w:tc>
          <w:tcPr/>
          <w:p>
            <w:pPr>
              <w:pStyle w:val="Compact"/>
              <w:jc w:val="left"/>
            </w:pPr>
            <w:r>
              <w:t xml:space="preserve">0.0000285704534097431</w:t>
            </w:r>
          </w:p>
        </w:tc>
      </w:tr>
      <w:tr>
        <w:tc>
          <w:tcPr/>
          <w:p>
            <w:pPr>
              <w:pStyle w:val="Compact"/>
              <w:jc w:val="left"/>
            </w:pPr>
            <w:r>
              <w:t xml:space="preserve">Design</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1.66</w:t>
            </w:r>
          </w:p>
        </w:tc>
        <w:tc>
          <w:tcPr/>
          <w:p>
            <w:pPr>
              <w:pStyle w:val="Compact"/>
              <w:jc w:val="left"/>
            </w:pPr>
            <w:r>
              <w:t xml:space="preserve">–</w:t>
            </w:r>
          </w:p>
        </w:tc>
        <w:tc>
          <w:tcPr/>
          <w:p>
            <w:pPr>
              <w:pStyle w:val="Compact"/>
              <w:jc w:val="left"/>
            </w:pPr>
            <w:r>
              <w:t xml:space="preserve">0.198543633240653</w:t>
            </w:r>
          </w:p>
        </w:tc>
      </w:tr>
      <w:tr>
        <w:tc>
          <w:tcPr/>
          <w:p>
            <w:pPr>
              <w:pStyle w:val="Compact"/>
              <w:jc w:val="left"/>
            </w:pPr>
            <w:r>
              <w:t xml:space="preserve">     within-subjects</w:t>
            </w:r>
          </w:p>
        </w:tc>
        <w:tc>
          <w:tcPr/>
          <w:p>
            <w:pPr>
              <w:pStyle w:val="Compact"/>
              <w:jc w:val="left"/>
            </w:pPr>
            <w:r>
              <w:t xml:space="preserve">6</w:t>
            </w:r>
          </w:p>
        </w:tc>
        <w:tc>
          <w:tcPr/>
          <w:p>
            <w:pPr>
              <w:pStyle w:val="Compact"/>
              <w:jc w:val="left"/>
            </w:pPr>
            <w:r>
              <w:t xml:space="preserve">30</w:t>
            </w:r>
          </w:p>
        </w:tc>
        <w:tc>
          <w:tcPr/>
          <w:p>
            <w:pPr>
              <w:pStyle w:val="Compact"/>
              <w:jc w:val="left"/>
            </w:pPr>
            <w:r>
              <w:t xml:space="preserve">0.09</w:t>
            </w:r>
          </w:p>
        </w:tc>
        <w:tc>
          <w:tcPr/>
          <w:p>
            <w:pPr>
              <w:pStyle w:val="Compact"/>
              <w:jc w:val="left"/>
            </w:pPr>
            <w:r>
              <w:t xml:space="preserve">–</w:t>
            </w:r>
          </w:p>
        </w:tc>
        <w:tc>
          <w:tcPr/>
          <w:p>
            <w:pPr>
              <w:pStyle w:val="Compact"/>
              <w:jc w:val="left"/>
            </w:pPr>
            <w:r>
              <w:t xml:space="preserve">0.61</w:t>
            </w:r>
          </w:p>
        </w:tc>
        <w:tc>
          <w:tcPr/>
          <w:p>
            <w:pPr>
              <w:pStyle w:val="Compact"/>
              <w:jc w:val="left"/>
            </w:pPr>
            <w:r>
              <w:t xml:space="preserve">[-0.14, 0.32]</w:t>
            </w:r>
          </w:p>
        </w:tc>
        <w:tc>
          <w:tcPr/>
          <w:p>
            <w:pPr>
              <w:pStyle w:val="Compact"/>
              <w:jc w:val="left"/>
            </w:pPr>
            <w:r>
              <w:t xml:space="preserve">0.434664402725418</w:t>
            </w:r>
          </w:p>
        </w:tc>
      </w:tr>
      <w:tr>
        <w:tc>
          <w:tcPr/>
          <w:p>
            <w:pPr>
              <w:pStyle w:val="Compact"/>
              <w:jc w:val="left"/>
            </w:pPr>
            <w:r>
              <w:t xml:space="preserve">     between-subjects</w:t>
            </w:r>
          </w:p>
        </w:tc>
        <w:tc>
          <w:tcPr/>
          <w:p>
            <w:pPr>
              <w:pStyle w:val="Compact"/>
              <w:jc w:val="left"/>
            </w:pPr>
            <w:r>
              <w:t xml:space="preserve">40</w:t>
            </w:r>
          </w:p>
        </w:tc>
        <w:tc>
          <w:tcPr/>
          <w:p>
            <w:pPr>
              <w:pStyle w:val="Compact"/>
              <w:jc w:val="left"/>
            </w:pPr>
            <w:r>
              <w:t xml:space="preserve">166</w:t>
            </w:r>
          </w:p>
        </w:tc>
        <w:tc>
          <w:tcPr/>
          <w:p>
            <w:pPr>
              <w:pStyle w:val="Compact"/>
              <w:jc w:val="left"/>
            </w:pPr>
            <w:r>
              <w:t xml:space="preserve">0.24</w:t>
            </w:r>
          </w:p>
        </w:tc>
        <w:tc>
          <w:tcPr/>
          <w:p>
            <w:pPr>
              <w:pStyle w:val="Compact"/>
              <w:jc w:val="left"/>
            </w:pPr>
            <w:r>
              <w:t xml:space="preserve">–</w:t>
            </w:r>
          </w:p>
        </w:tc>
        <w:tc>
          <w:tcPr/>
          <w:p>
            <w:pPr>
              <w:pStyle w:val="Compact"/>
              <w:jc w:val="left"/>
            </w:pPr>
            <w:r>
              <w:t xml:space="preserve">14.87</w:t>
            </w:r>
          </w:p>
        </w:tc>
        <w:tc>
          <w:tcPr/>
          <w:p>
            <w:pPr>
              <w:pStyle w:val="Compact"/>
              <w:jc w:val="left"/>
            </w:pPr>
            <w:r>
              <w:t xml:space="preserve">[0.12, 0.36]</w:t>
            </w:r>
          </w:p>
        </w:tc>
        <w:tc>
          <w:tcPr/>
          <w:p>
            <w:pPr>
              <w:pStyle w:val="Compact"/>
              <w:jc w:val="left"/>
            </w:pPr>
            <w:r>
              <w:t xml:space="preserve">0.000156390641444036</w:t>
            </w:r>
          </w:p>
        </w:tc>
      </w:tr>
      <w:tr>
        <w:tc>
          <w:tcPr/>
          <w:p>
            <w:pPr>
              <w:pStyle w:val="Compact"/>
              <w:jc w:val="left"/>
            </w:pPr>
            <w:r>
              <w:t xml:space="preserve">Comparison type</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6.92</w:t>
            </w:r>
          </w:p>
        </w:tc>
        <w:tc>
          <w:tcPr/>
          <w:p>
            <w:pPr>
              <w:pStyle w:val="Compact"/>
              <w:jc w:val="left"/>
            </w:pPr>
            <w:r>
              <w:t xml:space="preserve">–</w:t>
            </w:r>
          </w:p>
        </w:tc>
        <w:tc>
          <w:tcPr/>
          <w:p>
            <w:pPr>
              <w:pStyle w:val="Compact"/>
              <w:jc w:val="left"/>
            </w:pPr>
            <w:r>
              <w:t xml:space="preserve">0.0000317658889291111</w:t>
            </w:r>
          </w:p>
        </w:tc>
      </w:tr>
      <w:tr>
        <w:tc>
          <w:tcPr/>
          <w:p>
            <w:pPr>
              <w:pStyle w:val="Compact"/>
              <w:jc w:val="left"/>
            </w:pPr>
            <w:r>
              <w:t xml:space="preserve">     positive vs. control</w:t>
            </w:r>
          </w:p>
        </w:tc>
        <w:tc>
          <w:tcPr/>
          <w:p>
            <w:pPr>
              <w:pStyle w:val="Compact"/>
              <w:jc w:val="left"/>
            </w:pPr>
            <w:r>
              <w:t xml:space="preserve">31</w:t>
            </w:r>
          </w:p>
        </w:tc>
        <w:tc>
          <w:tcPr/>
          <w:p>
            <w:pPr>
              <w:pStyle w:val="Compact"/>
              <w:jc w:val="left"/>
            </w:pPr>
            <w:r>
              <w:t xml:space="preserve">0</w:t>
            </w:r>
          </w:p>
        </w:tc>
        <w:tc>
          <w:tcPr/>
          <w:p>
            <w:pPr>
              <w:pStyle w:val="Compact"/>
              <w:jc w:val="left"/>
            </w:pPr>
            <w:r>
              <w:t xml:space="preserve">0.14</w:t>
            </w:r>
          </w:p>
        </w:tc>
        <w:tc>
          <w:tcPr/>
          <w:p>
            <w:pPr>
              <w:pStyle w:val="Compact"/>
              <w:jc w:val="left"/>
            </w:pPr>
            <w:r>
              <w:t xml:space="preserve">–</w:t>
            </w:r>
          </w:p>
        </w:tc>
        <w:tc>
          <w:tcPr/>
          <w:p>
            <w:pPr>
              <w:pStyle w:val="Compact"/>
              <w:jc w:val="left"/>
            </w:pPr>
            <w:r>
              <w:t xml:space="preserve">5.09</w:t>
            </w:r>
          </w:p>
        </w:tc>
        <w:tc>
          <w:tcPr/>
          <w:p>
            <w:pPr>
              <w:pStyle w:val="Compact"/>
              <w:jc w:val="left"/>
            </w:pPr>
            <w:r>
              <w:t xml:space="preserve">[0.02, 0.27]</w:t>
            </w:r>
          </w:p>
        </w:tc>
        <w:tc>
          <w:tcPr/>
          <w:p>
            <w:pPr>
              <w:pStyle w:val="Compact"/>
              <w:jc w:val="left"/>
            </w:pPr>
            <w:r>
              <w:t xml:space="preserve">0.0252004687022962</w:t>
            </w:r>
          </w:p>
        </w:tc>
      </w:tr>
      <w:tr>
        <w:tc>
          <w:tcPr/>
          <w:p>
            <w:pPr>
              <w:pStyle w:val="Compact"/>
              <w:jc w:val="left"/>
            </w:pPr>
            <w:r>
              <w:t xml:space="preserve">     nil vs. control</w:t>
            </w:r>
          </w:p>
        </w:tc>
        <w:tc>
          <w:tcPr/>
          <w:p>
            <w:pPr>
              <w:pStyle w:val="Compact"/>
              <w:jc w:val="left"/>
            </w:pPr>
            <w:r>
              <w:t xml:space="preserve">3</w:t>
            </w:r>
          </w:p>
        </w:tc>
        <w:tc>
          <w:tcPr/>
          <w:p>
            <w:pPr>
              <w:pStyle w:val="Compact"/>
              <w:jc w:val="left"/>
            </w:pPr>
            <w:r>
              <w:t xml:space="preserve">0</w:t>
            </w:r>
          </w:p>
        </w:tc>
        <w:tc>
          <w:tcPr/>
          <w:p>
            <w:pPr>
              <w:pStyle w:val="Compact"/>
              <w:jc w:val="left"/>
            </w:pPr>
            <w:r>
              <w:t xml:space="preserve">0.33</w:t>
            </w:r>
          </w:p>
        </w:tc>
        <w:tc>
          <w:tcPr/>
          <w:p>
            <w:pPr>
              <w:pStyle w:val="Compact"/>
              <w:jc w:val="left"/>
            </w:pPr>
            <w:r>
              <w:t xml:space="preserve">–</w:t>
            </w:r>
          </w:p>
        </w:tc>
        <w:tc>
          <w:tcPr/>
          <w:p>
            <w:pPr>
              <w:pStyle w:val="Compact"/>
              <w:jc w:val="left"/>
            </w:pPr>
            <w:r>
              <w:t xml:space="preserve">11.68</w:t>
            </w:r>
          </w:p>
        </w:tc>
        <w:tc>
          <w:tcPr/>
          <w:p>
            <w:pPr>
              <w:pStyle w:val="Compact"/>
              <w:jc w:val="left"/>
            </w:pPr>
            <w:r>
              <w:t xml:space="preserve">[0.14, 0.52]</w:t>
            </w:r>
          </w:p>
        </w:tc>
        <w:tc>
          <w:tcPr/>
          <w:p>
            <w:pPr>
              <w:pStyle w:val="Compact"/>
              <w:jc w:val="left"/>
            </w:pPr>
            <w:r>
              <w:t xml:space="preserve">0.000772546003621353</w:t>
            </w:r>
          </w:p>
        </w:tc>
      </w:tr>
      <w:tr>
        <w:tc>
          <w:tcPr/>
          <w:p>
            <w:pPr>
              <w:pStyle w:val="Compact"/>
              <w:jc w:val="left"/>
            </w:pPr>
            <w:r>
              <w:t xml:space="preserve">     nil vs. control</w:t>
            </w:r>
          </w:p>
        </w:tc>
        <w:tc>
          <w:tcPr/>
          <w:p>
            <w:pPr>
              <w:pStyle w:val="Compact"/>
              <w:jc w:val="left"/>
            </w:pPr>
            <w:r>
              <w:t xml:space="preserve">3</w:t>
            </w:r>
          </w:p>
        </w:tc>
        <w:tc>
          <w:tcPr/>
          <w:p>
            <w:pPr>
              <w:pStyle w:val="Compact"/>
              <w:jc w:val="left"/>
            </w:pPr>
            <w:r>
              <w:t xml:space="preserve">0</w:t>
            </w:r>
          </w:p>
        </w:tc>
        <w:tc>
          <w:tcPr/>
          <w:p>
            <w:pPr>
              <w:pStyle w:val="Compact"/>
              <w:jc w:val="left"/>
            </w:pPr>
            <w:r>
              <w:t xml:space="preserve">0.33</w:t>
            </w:r>
          </w:p>
        </w:tc>
        <w:tc>
          <w:tcPr/>
          <w:p>
            <w:pPr>
              <w:pStyle w:val="Compact"/>
              <w:jc w:val="left"/>
            </w:pPr>
            <w:r>
              <w:t xml:space="preserve">–</w:t>
            </w:r>
          </w:p>
        </w:tc>
        <w:tc>
          <w:tcPr/>
          <w:p>
            <w:pPr>
              <w:pStyle w:val="Compact"/>
              <w:jc w:val="left"/>
            </w:pPr>
            <w:r>
              <w:t xml:space="preserve">11.68</w:t>
            </w:r>
          </w:p>
        </w:tc>
        <w:tc>
          <w:tcPr/>
          <w:p>
            <w:pPr>
              <w:pStyle w:val="Compact"/>
              <w:jc w:val="left"/>
            </w:pPr>
            <w:r>
              <w:t xml:space="preserve">[0.14, 0.52]</w:t>
            </w:r>
          </w:p>
        </w:tc>
        <w:tc>
          <w:tcPr/>
          <w:p>
            <w:pPr>
              <w:pStyle w:val="Compact"/>
              <w:jc w:val="left"/>
            </w:pPr>
            <w:r>
              <w:t xml:space="preserve">0.000772546003621353</w:t>
            </w:r>
          </w:p>
        </w:tc>
      </w:tr>
      <w:tr>
        <w:tc>
          <w:tcPr/>
          <w:p>
            <w:pPr>
              <w:pStyle w:val="Compact"/>
              <w:jc w:val="left"/>
            </w:pPr>
            <w:r>
              <w:t xml:space="preserve">     negative vs. control</w:t>
            </w:r>
          </w:p>
        </w:tc>
        <w:tc>
          <w:tcPr/>
          <w:p>
            <w:pPr>
              <w:pStyle w:val="Compact"/>
              <w:jc w:val="left"/>
            </w:pPr>
            <w:r>
              <w:t xml:space="preserve">15</w:t>
            </w:r>
          </w:p>
        </w:tc>
        <w:tc>
          <w:tcPr/>
          <w:p>
            <w:pPr>
              <w:pStyle w:val="Compact"/>
              <w:jc w:val="left"/>
            </w:pPr>
            <w:r>
              <w:t xml:space="preserve">0</w:t>
            </w:r>
          </w:p>
        </w:tc>
        <w:tc>
          <w:tcPr/>
          <w:p>
            <w:pPr>
              <w:pStyle w:val="Compact"/>
              <w:jc w:val="left"/>
            </w:pPr>
            <w:r>
              <w:t xml:space="preserve">0.13</w:t>
            </w:r>
          </w:p>
        </w:tc>
        <w:tc>
          <w:tcPr/>
          <w:p>
            <w:pPr>
              <w:pStyle w:val="Compact"/>
              <w:jc w:val="left"/>
            </w:pPr>
            <w:r>
              <w:t xml:space="preserve">–</w:t>
            </w:r>
          </w:p>
        </w:tc>
        <w:tc>
          <w:tcPr/>
          <w:p>
            <w:pPr>
              <w:pStyle w:val="Compact"/>
              <w:jc w:val="left"/>
            </w:pPr>
            <w:r>
              <w:t xml:space="preserve">2.49</w:t>
            </w:r>
          </w:p>
        </w:tc>
        <w:tc>
          <w:tcPr/>
          <w:p>
            <w:pPr>
              <w:pStyle w:val="Compact"/>
              <w:jc w:val="left"/>
            </w:pPr>
            <w:r>
              <w:t xml:space="preserve">[-0.03, 0.29]</w:t>
            </w:r>
          </w:p>
        </w:tc>
        <w:tc>
          <w:tcPr/>
          <w:p>
            <w:pPr>
              <w:pStyle w:val="Compact"/>
              <w:jc w:val="left"/>
            </w:pPr>
            <w:r>
              <w:t xml:space="preserve">0.116055254628733</w:t>
            </w:r>
          </w:p>
        </w:tc>
      </w:tr>
      <w:tr>
        <w:tc>
          <w:tcPr/>
          <w:p>
            <w:pPr>
              <w:pStyle w:val="Compact"/>
              <w:jc w:val="left"/>
            </w:pPr>
            <w:r>
              <w:t xml:space="preserve">     positive vs. nil</w:t>
            </w:r>
          </w:p>
        </w:tc>
        <w:tc>
          <w:tcPr/>
          <w:p>
            <w:pPr>
              <w:pStyle w:val="Compact"/>
              <w:jc w:val="left"/>
            </w:pPr>
            <w:r>
              <w:t xml:space="preserve">6</w:t>
            </w:r>
          </w:p>
        </w:tc>
        <w:tc>
          <w:tcPr/>
          <w:p>
            <w:pPr>
              <w:pStyle w:val="Compact"/>
              <w:jc w:val="left"/>
            </w:pPr>
            <w:r>
              <w:t xml:space="preserve">0</w:t>
            </w:r>
          </w:p>
        </w:tc>
        <w:tc>
          <w:tcPr/>
          <w:p>
            <w:pPr>
              <w:pStyle w:val="Compact"/>
              <w:jc w:val="left"/>
            </w:pPr>
            <w:r>
              <w:t xml:space="preserve">0.47</w:t>
            </w:r>
          </w:p>
        </w:tc>
        <w:tc>
          <w:tcPr/>
          <w:p>
            <w:pPr>
              <w:pStyle w:val="Compact"/>
              <w:jc w:val="left"/>
            </w:pPr>
            <w:r>
              <w:t xml:space="preserve">–</w:t>
            </w:r>
          </w:p>
        </w:tc>
        <w:tc>
          <w:tcPr/>
          <w:p>
            <w:pPr>
              <w:pStyle w:val="Compact"/>
              <w:jc w:val="left"/>
            </w:pPr>
            <w:r>
              <w:t xml:space="preserve">27.1</w:t>
            </w:r>
          </w:p>
        </w:tc>
        <w:tc>
          <w:tcPr/>
          <w:p>
            <w:pPr>
              <w:pStyle w:val="Compact"/>
              <w:jc w:val="left"/>
            </w:pPr>
            <w:r>
              <w:t xml:space="preserve">[0.29, 0.64]</w:t>
            </w:r>
          </w:p>
        </w:tc>
        <w:tc>
          <w:tcPr/>
          <w:p>
            <w:pPr>
              <w:pStyle w:val="Compact"/>
              <w:jc w:val="left"/>
            </w:pPr>
            <w:r>
              <w:t xml:space="preserve">0.000000497610614059787</w:t>
            </w:r>
          </w:p>
        </w:tc>
      </w:tr>
      <w:tr>
        <w:tc>
          <w:tcPr/>
          <w:p>
            <w:pPr>
              <w:pStyle w:val="Compact"/>
              <w:jc w:val="left"/>
            </w:pPr>
            <w:r>
              <w:t xml:space="preserve">     positive vs. negative</w:t>
            </w:r>
          </w:p>
        </w:tc>
        <w:tc>
          <w:tcPr/>
          <w:p>
            <w:pPr>
              <w:pStyle w:val="Compact"/>
              <w:jc w:val="left"/>
            </w:pPr>
            <w:r>
              <w:t xml:space="preserve">15</w:t>
            </w:r>
          </w:p>
        </w:tc>
        <w:tc>
          <w:tcPr/>
          <w:p>
            <w:pPr>
              <w:pStyle w:val="Compact"/>
              <w:jc w:val="left"/>
            </w:pPr>
            <w:r>
              <w:t xml:space="preserve">0</w:t>
            </w:r>
          </w:p>
        </w:tc>
        <w:tc>
          <w:tcPr/>
          <w:p>
            <w:pPr>
              <w:pStyle w:val="Compact"/>
              <w:jc w:val="left"/>
            </w:pPr>
            <w:r>
              <w:t xml:space="preserve">0.33</w:t>
            </w:r>
          </w:p>
        </w:tc>
        <w:tc>
          <w:tcPr/>
          <w:p>
            <w:pPr>
              <w:pStyle w:val="Compact"/>
              <w:jc w:val="left"/>
            </w:pPr>
            <w:r>
              <w:t xml:space="preserve">–</w:t>
            </w:r>
          </w:p>
        </w:tc>
        <w:tc>
          <w:tcPr/>
          <w:p>
            <w:pPr>
              <w:pStyle w:val="Compact"/>
              <w:jc w:val="left"/>
            </w:pPr>
            <w:r>
              <w:t xml:space="preserve">16.89</w:t>
            </w:r>
          </w:p>
        </w:tc>
        <w:tc>
          <w:tcPr/>
          <w:p>
            <w:pPr>
              <w:pStyle w:val="Compact"/>
              <w:jc w:val="left"/>
            </w:pPr>
            <w:r>
              <w:t xml:space="preserve">[0.17, 0.49]</w:t>
            </w:r>
          </w:p>
        </w:tc>
        <w:tc>
          <w:tcPr/>
          <w:p>
            <w:pPr>
              <w:pStyle w:val="Compact"/>
              <w:jc w:val="left"/>
            </w:pPr>
            <w:r>
              <w:t xml:space="preserve">0.0000587337352326916</w:t>
            </w:r>
          </w:p>
        </w:tc>
      </w:tr>
      <w:tr>
        <w:tc>
          <w:tcPr/>
          <w:p>
            <w:pPr>
              <w:pStyle w:val="Compact"/>
              <w:jc w:val="left"/>
            </w:pPr>
            <w:r>
              <w:t xml:space="preserve">Publication status</w:t>
            </w:r>
          </w:p>
        </w:tc>
        <w:tc>
          <w:tcPr/>
          <w:p>
            <w:pPr>
              <w:pStyle w:val="Compact"/>
              <w:jc w:val="left"/>
            </w:pPr>
            <w:r>
              <w:t xml:space="preserve">41</w:t>
            </w:r>
          </w:p>
        </w:tc>
        <w:tc>
          <w:tcPr/>
          <w:p>
            <w:pPr>
              <w:pStyle w:val="Compact"/>
              <w:jc w:val="left"/>
            </w:pPr>
            <w:r>
              <w:t xml:space="preserve">196</w:t>
            </w:r>
          </w:p>
        </w:tc>
        <w:tc>
          <w:tcPr/>
          <w:p>
            <w:pPr>
              <w:pStyle w:val="Compact"/>
              <w:jc w:val="left"/>
            </w:pPr>
            <w:r>
              <w:t xml:space="preserve">–</w:t>
            </w:r>
          </w:p>
        </w:tc>
        <w:tc>
          <w:tcPr/>
          <w:p>
            <w:pPr>
              <w:pStyle w:val="Compact"/>
              <w:jc w:val="left"/>
            </w:pPr>
            <w:r>
              <w:t xml:space="preserve">–</w:t>
            </w:r>
          </w:p>
        </w:tc>
        <w:tc>
          <w:tcPr/>
          <w:p>
            <w:pPr>
              <w:pStyle w:val="Compact"/>
              <w:jc w:val="left"/>
            </w:pPr>
            <w:r>
              <w:t xml:space="preserve">1.08</w:t>
            </w:r>
          </w:p>
        </w:tc>
        <w:tc>
          <w:tcPr/>
          <w:p>
            <w:pPr>
              <w:pStyle w:val="Compact"/>
              <w:jc w:val="left"/>
            </w:pPr>
            <w:r>
              <w:t xml:space="preserve">–</w:t>
            </w:r>
          </w:p>
        </w:tc>
        <w:tc>
          <w:tcPr/>
          <w:p>
            <w:pPr>
              <w:pStyle w:val="Compact"/>
              <w:jc w:val="left"/>
            </w:pPr>
            <w:r>
              <w:t xml:space="preserve">0.298994609046329</w:t>
            </w:r>
          </w:p>
        </w:tc>
      </w:tr>
      <w:tr>
        <w:tc>
          <w:tcPr/>
          <w:p>
            <w:pPr>
              <w:pStyle w:val="Compact"/>
              <w:jc w:val="left"/>
            </w:pPr>
            <w:r>
              <w:t xml:space="preserve">     published</w:t>
            </w:r>
          </w:p>
        </w:tc>
        <w:tc>
          <w:tcPr/>
          <w:p>
            <w:pPr>
              <w:pStyle w:val="Compact"/>
              <w:jc w:val="left"/>
            </w:pPr>
            <w:r>
              <w:t xml:space="preserve">38</w:t>
            </w:r>
          </w:p>
        </w:tc>
        <w:tc>
          <w:tcPr/>
          <w:p>
            <w:pPr>
              <w:pStyle w:val="Compact"/>
              <w:jc w:val="left"/>
            </w:pPr>
            <w:r>
              <w:t xml:space="preserve">192</w:t>
            </w:r>
          </w:p>
        </w:tc>
        <w:tc>
          <w:tcPr/>
          <w:p>
            <w:pPr>
              <w:pStyle w:val="Compact"/>
              <w:jc w:val="left"/>
            </w:pPr>
            <w:r>
              <w:t xml:space="preserve">0.21</w:t>
            </w:r>
          </w:p>
        </w:tc>
        <w:tc>
          <w:tcPr/>
          <w:p>
            <w:pPr>
              <w:pStyle w:val="Compact"/>
              <w:jc w:val="left"/>
            </w:pPr>
            <w:r>
              <w:t xml:space="preserve">–</w:t>
            </w:r>
          </w:p>
        </w:tc>
        <w:tc>
          <w:tcPr/>
          <w:p>
            <w:pPr>
              <w:pStyle w:val="Compact"/>
              <w:jc w:val="left"/>
            </w:pPr>
            <w:r>
              <w:t xml:space="preserve">12.36</w:t>
            </w:r>
          </w:p>
        </w:tc>
        <w:tc>
          <w:tcPr/>
          <w:p>
            <w:pPr>
              <w:pStyle w:val="Compact"/>
              <w:jc w:val="left"/>
            </w:pPr>
            <w:r>
              <w:t xml:space="preserve">[0.09, 0.32]</w:t>
            </w:r>
          </w:p>
        </w:tc>
        <w:tc>
          <w:tcPr/>
          <w:p>
            <w:pPr>
              <w:pStyle w:val="Compact"/>
              <w:jc w:val="left"/>
            </w:pPr>
            <w:r>
              <w:t xml:space="preserve">0.000545731875478866</w:t>
            </w:r>
          </w:p>
        </w:tc>
      </w:tr>
      <w:tr>
        <w:tc>
          <w:tcPr/>
          <w:p>
            <w:pPr>
              <w:pStyle w:val="Compact"/>
              <w:jc w:val="left"/>
            </w:pPr>
            <w:r>
              <w:t xml:space="preserve">     unpublished</w:t>
            </w:r>
          </w:p>
        </w:tc>
        <w:tc>
          <w:tcPr/>
          <w:p>
            <w:pPr>
              <w:pStyle w:val="Compact"/>
              <w:jc w:val="left"/>
            </w:pPr>
            <w:r>
              <w:t xml:space="preserve">3</w:t>
            </w:r>
          </w:p>
        </w:tc>
        <w:tc>
          <w:tcPr/>
          <w:p>
            <w:pPr>
              <w:pStyle w:val="Compact"/>
              <w:jc w:val="left"/>
            </w:pPr>
            <w:r>
              <w:t xml:space="preserve">4</w:t>
            </w:r>
          </w:p>
        </w:tc>
        <w:tc>
          <w:tcPr/>
          <w:p>
            <w:pPr>
              <w:pStyle w:val="Compact"/>
              <w:jc w:val="left"/>
            </w:pPr>
            <w:r>
              <w:t xml:space="preserve">0.46</w:t>
            </w:r>
          </w:p>
        </w:tc>
        <w:tc>
          <w:tcPr/>
          <w:p>
            <w:pPr>
              <w:pStyle w:val="Compact"/>
              <w:jc w:val="left"/>
            </w:pPr>
            <w:r>
              <w:t xml:space="preserve">–</w:t>
            </w:r>
          </w:p>
        </w:tc>
        <w:tc>
          <w:tcPr/>
          <w:p>
            <w:pPr>
              <w:pStyle w:val="Compact"/>
              <w:jc w:val="left"/>
            </w:pPr>
            <w:r>
              <w:t xml:space="preserve">3.86</w:t>
            </w:r>
          </w:p>
        </w:tc>
        <w:tc>
          <w:tcPr/>
          <w:p>
            <w:pPr>
              <w:pStyle w:val="Compact"/>
              <w:jc w:val="left"/>
            </w:pPr>
            <w:r>
              <w:t xml:space="preserve">[0, 0.91]</w:t>
            </w:r>
          </w:p>
        </w:tc>
        <w:tc>
          <w:tcPr/>
          <w:p>
            <w:pPr>
              <w:pStyle w:val="Compact"/>
              <w:jc w:val="left"/>
            </w:pPr>
            <w:r>
              <w:t xml:space="preserve">0.0509597703192027</w:t>
            </w:r>
          </w:p>
        </w:tc>
      </w:tr>
    </w:tbl>
    <w:p>
      <w:pPr>
        <w:pStyle w:val="CaptionedFigure"/>
      </w:pPr>
      <w:r>
        <w:drawing>
          <wp:inline>
            <wp:extent cx="5963478" cy="3440468"/>
            <wp:effectExtent b="0" l="0" r="0" t="0"/>
            <wp:docPr descr="Figure 3: For each moderator, we fit a separate 3LMA and subsequently derived subgroup mean effect sizes (dots) and their 95% confidence intervals (error bars)." title="" id="47" name="Picture"/>
            <a:graphic>
              <a:graphicData uri="http://schemas.openxmlformats.org/drawingml/2006/picture">
                <pic:pic>
                  <pic:nvPicPr>
                    <pic:cNvPr descr="metaware_manuscript_files/figure-docx/modforest-1.png" id="48" name="Picture"/>
                    <pic:cNvPicPr>
                      <a:picLocks noChangeArrowheads="1" noChangeAspect="1"/>
                    </pic:cNvPicPr>
                  </pic:nvPicPr>
                  <pic:blipFill>
                    <a:blip r:embed="rId46"/>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bookmarkStart w:id="49" w:name="fig:modforest"/>
      <w:bookmarkEnd w:id="49"/>
      <w:r>
        <w:t xml:space="preserve">Figure 3: For each moderator, we fit a separate 3LMA and subsequently derived subgroup mean effect sizes (dots) and their 95% confidence intervals (error bars).</w:t>
      </w:r>
    </w:p>
    <w:p>
      <w:pPr>
        <w:pStyle w:val="Textkrper"/>
      </w:pPr>
      <w:r>
        <w:t xml:space="preserve">When variability in effect sizes exceeds what would be expected from sampling error alone, it suggests the presence of moderators. Next, we examine six potential study-level moderators.</w:t>
      </w:r>
    </w:p>
    <w:p>
      <w:pPr>
        <w:pStyle w:val="Textkrper"/>
      </w:pPr>
      <w:r>
        <w:t xml:space="preserve">Results indicated that the effects of demand characteristics tended to differ by participant pool,</w:t>
      </w:r>
      <w:r>
        <w:t xml:space="preserve"> </w:t>
      </w:r>
      <m:oMath>
        <m:r>
          <m:t>F</m:t>
        </m:r>
      </m:oMath>
      <w:r>
        <w:t xml:space="preserve">(2, 183) = 3.04,</w:t>
      </w:r>
      <w:r>
        <w:t xml:space="preserve"> </w:t>
      </w:r>
      <m:oMath>
        <m:r>
          <m:t>p</m:t>
        </m:r>
      </m:oMath>
      <w:r>
        <w:t xml:space="preserve"> </w:t>
      </w:r>
      <w:r>
        <w:t xml:space="preserve">= .050. As shown in Figure</w:t>
      </w:r>
      <w:r>
        <w:t xml:space="preserve"> </w:t>
      </w:r>
      <w:r>
        <w:t xml:space="preserve">3</w:t>
      </w:r>
      <w:r>
        <w:t xml:space="preserve">, effects were generally positive and medium-to-large in studies with students (</w:t>
      </w:r>
      <m:oMath>
        <m:r>
          <m:t>d</m:t>
        </m:r>
      </m:oMath>
      <w:r>
        <w:t xml:space="preserve"> </w:t>
      </w:r>
      <w:r>
        <w:t xml:space="preserve">= 0.31, 95% CI [0.18, 0.44],</w:t>
      </w:r>
      <w:r>
        <w:t xml:space="preserve"> </w:t>
      </w:r>
      <m:oMath>
        <m:r>
          <m:t>p</m:t>
        </m:r>
      </m:oMath>
      <w:r>
        <w:t xml:space="preserve"> </w:t>
      </w:r>
      <w:r>
        <w:t xml:space="preserve">&lt; .001), and near-zero in studies with non-students (</w:t>
      </w:r>
      <m:oMath>
        <m:r>
          <m:t>d</m:t>
        </m:r>
      </m:oMath>
      <w:r>
        <w:t xml:space="preserve"> </w:t>
      </w:r>
      <w:r>
        <w:t xml:space="preserve">= 0.04, 95% CI [-0.15, 0.23],</w:t>
      </w:r>
      <w:r>
        <w:t xml:space="preserve"> </w:t>
      </w:r>
      <m:oMath>
        <m:r>
          <m:t>p</m:t>
        </m:r>
      </m:oMath>
      <w:r>
        <w:t xml:space="preserve"> </w:t>
      </w:r>
      <w:r>
        <w:t xml:space="preserve">= .689) or a mix of students and non-students (</w:t>
      </w:r>
      <m:oMath>
        <m:r>
          <m:t>d</m:t>
        </m:r>
      </m:oMath>
      <w:r>
        <w:t xml:space="preserve"> </w:t>
      </w:r>
      <w:r>
        <w:t xml:space="preserve">= 0.04, 95% CI [-0.38, 0.47],</w:t>
      </w:r>
      <w:r>
        <w:t xml:space="preserve"> </w:t>
      </w:r>
      <m:oMath>
        <m:r>
          <m:t>p</m:t>
        </m:r>
      </m:oMath>
      <w:r>
        <w:t xml:space="preserve"> </w:t>
      </w:r>
      <w:r>
        <w:t xml:space="preserve">= .837). The effects of demand characteristics also tended to be slightly more positive for in-person (</w:t>
      </w:r>
      <m:oMath>
        <m:r>
          <m:t>d</m:t>
        </m:r>
      </m:oMath>
      <w:r>
        <w:t xml:space="preserve"> </w:t>
      </w:r>
      <w:r>
        <w:t xml:space="preserve">= 0.29, 95% CI [0.16, 0.42],</w:t>
      </w:r>
      <w:r>
        <w:t xml:space="preserve"> </w:t>
      </w:r>
      <m:oMath>
        <m:r>
          <m:t>p</m:t>
        </m:r>
      </m:oMath>
      <w:r>
        <w:t xml:space="preserve"> </w:t>
      </w:r>
      <w:r>
        <w:t xml:space="preserve">&lt; .001) vs. online (</w:t>
      </w:r>
      <m:oMath>
        <m:r>
          <m:t>d</m:t>
        </m:r>
      </m:oMath>
      <w:r>
        <w:t xml:space="preserve"> </w:t>
      </w:r>
      <w:r>
        <w:t xml:space="preserve">= 0.12, 95% CI [-0.07, 0.31],</w:t>
      </w:r>
      <w:r>
        <w:t xml:space="preserve"> </w:t>
      </w:r>
      <m:oMath>
        <m:r>
          <m:t>p</m:t>
        </m:r>
      </m:oMath>
      <w:r>
        <w:t xml:space="preserve"> </w:t>
      </w:r>
      <w:r>
        <w:t xml:space="preserve">= .211) studies; however, this difference was not significant,</w:t>
      </w:r>
      <w:r>
        <w:t xml:space="preserve"> </w:t>
      </w:r>
      <m:oMath>
        <m:r>
          <m:t>F</m:t>
        </m:r>
      </m:oMath>
      <w:r>
        <w:t xml:space="preserve">(1, 190) = 2.22,</w:t>
      </w:r>
      <w:r>
        <w:t xml:space="preserve"> </w:t>
      </w:r>
      <m:oMath>
        <m:r>
          <m:t>p</m:t>
        </m:r>
      </m:oMath>
      <w:r>
        <w:t xml:space="preserve"> </w:t>
      </w:r>
      <w:r>
        <w:t xml:space="preserve">= .138 (Figure</w:t>
      </w:r>
      <w:r>
        <w:t xml:space="preserve"> </w:t>
      </w:r>
      <w:r>
        <w:t xml:space="preserve">3</w:t>
      </w:r>
      <w:r>
        <w:t xml:space="preserve">).</w:t>
      </w:r>
    </w:p>
    <w:p>
      <w:pPr>
        <w:pStyle w:val="Textkrper"/>
      </w:pPr>
      <w:r>
        <w:t xml:space="preserve">The effects of demand characteristics were additive. Compared to instances where a demand characteristic condition was compared to a control group (</w:t>
      </w:r>
      <m:oMath>
        <m:r>
          <m:t>d</m:t>
        </m:r>
      </m:oMath>
      <w:r>
        <w:t xml:space="preserve"> </w:t>
      </w:r>
      <w:r>
        <w:t xml:space="preserve">= 0.16, 95% CI [0.04, 0.27],</w:t>
      </w:r>
      <w:r>
        <w:t xml:space="preserve"> </w:t>
      </w:r>
      <m:oMath>
        <m:r>
          <m:t>p</m:t>
        </m:r>
      </m:oMath>
      <w:r>
        <w:t xml:space="preserve"> </w:t>
      </w:r>
      <w:r>
        <w:t xml:space="preserve">= .010),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194) = 19.80,</w:t>
      </w:r>
      <w:r>
        <w:t xml:space="preserve"> </w:t>
      </w:r>
      <m:oMath>
        <m:r>
          <m:t>p</m:t>
        </m:r>
      </m:oMath>
      <w:r>
        <w:t xml:space="preserve"> </w:t>
      </w:r>
      <w:r>
        <w:t xml:space="preserve">&lt; .001. Instances where a demand characteristic condition was compared to a control group allowed us to additionally test whether participants respond more strongly to positive, nil, or negative demand characteristics. Results indicated that they do,</w:t>
      </w:r>
      <w:r>
        <w:t xml:space="preserve"> </w:t>
      </w:r>
      <m:oMath>
        <m:r>
          <m:t>F</m:t>
        </m:r>
      </m:oMath>
      <w:r>
        <w:t xml:space="preserve">(2, 132) = 5.52,</w:t>
      </w:r>
      <w:r>
        <w:t xml:space="preserve"> </w:t>
      </w:r>
      <m:oMath>
        <m:r>
          <m:t>p</m:t>
        </m:r>
      </m:oMath>
      <w:r>
        <w:t xml:space="preserve"> </w:t>
      </w:r>
      <w:r>
        <w:t xml:space="preserve">= .005.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0.15, 95% CI [0.01, 0.30],</w:t>
      </w:r>
      <w:r>
        <w:t xml:space="preserve"> </w:t>
      </w:r>
      <m:oMath>
        <m:r>
          <m:t>p</m:t>
        </m:r>
      </m:oMath>
      <w:r>
        <w:t xml:space="preserve"> </w:t>
      </w:r>
      <w:r>
        <w:t xml:space="preserve">= .041). In other words, participants’ responses most strongly shift when researchers communicate that they hypothesize</w:t>
      </w:r>
      <w:r>
        <w:t xml:space="preserve"> </w:t>
      </w:r>
      <w:r>
        <w:rPr>
          <w:iCs/>
          <w:i/>
        </w:rPr>
        <w:t xml:space="preserve">no</w:t>
      </w:r>
      <w:r>
        <w:t xml:space="preserve"> </w:t>
      </w:r>
      <w:r>
        <w:t xml:space="preserve">change in response</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.435),</w:t>
      </w:r>
      <w:r>
        <w:t xml:space="preserve"> </w:t>
      </w:r>
      <m:oMath>
        <m:r>
          <m:t>F</m:t>
        </m:r>
      </m:oMath>
      <w:r>
        <w:t xml:space="preserve">(1, 194)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depending on whether participants were unpaid (</w:t>
      </w:r>
      <m:oMath>
        <m:r>
          <m:t>d</m:t>
        </m:r>
      </m:oMath>
      <w:r>
        <w:t xml:space="preserve"> </w:t>
      </w:r>
      <w:r>
        <w:t xml:space="preserve">= 0.22, 95% CI [0.10, 0.34],</w:t>
      </w:r>
      <w:r>
        <w:t xml:space="preserve"> </w:t>
      </w:r>
      <m:oMath>
        <m:r>
          <m:t>p</m:t>
        </m:r>
      </m:oMath>
      <w:r>
        <w:t xml:space="preserve"> </w:t>
      </w:r>
      <w:r>
        <w:t xml:space="preserve">&lt; .001) vs. paid (</w:t>
      </w:r>
      <m:oMath>
        <m:r>
          <m:t>d</m:t>
        </m:r>
      </m:oMath>
      <w:r>
        <w:t xml:space="preserve"> </w:t>
      </w:r>
      <w:r>
        <w:t xml:space="preserve">= 0.16, 95% CI [-0.02, 0.33],</w:t>
      </w:r>
      <w:r>
        <w:t xml:space="preserve"> </w:t>
      </w:r>
      <m:oMath>
        <m:r>
          <m:t>p</m:t>
        </m:r>
      </m:oMath>
      <w:r>
        <w:t xml:space="preserve"> </w:t>
      </w:r>
      <w:r>
        <w:t xml:space="preserve">= .085),</w:t>
      </w:r>
      <w:r>
        <w:t xml:space="preserve"> </w:t>
      </w:r>
      <m:oMath>
        <m:r>
          <m:t>F</m:t>
        </m:r>
      </m:oMath>
      <w:r>
        <w:t xml:space="preserve">(1, 193) = 0.33,</w:t>
      </w:r>
      <w:r>
        <w:t xml:space="preserve"> </w:t>
      </w:r>
      <m:oMath>
        <m:r>
          <m:t>p</m:t>
        </m:r>
      </m:oMath>
      <w:r>
        <w:t xml:space="preserve"> </w:t>
      </w:r>
      <w:r>
        <w:t xml:space="preserve">= .565 (Figure</w:t>
      </w:r>
      <w:r>
        <w:t xml:space="preserve"> </w:t>
      </w:r>
      <w:r>
        <w:t xml:space="preserve">3</w:t>
      </w:r>
      <w:r>
        <w:t xml:space="preserve">).</w:t>
      </w:r>
    </w:p>
    <w:bookmarkEnd w:id="50"/>
    <w:bookmarkStart w:id="55" w:name="X4d2f8228bdffda6a1bb824165ec8bac5cd8c7b9"/>
    <w:p>
      <w:pPr>
        <w:pStyle w:val="berschrift3"/>
      </w:pPr>
      <w:r>
        <w:t xml:space="preserve">Estimating demand effects in specific study contexts.</w:t>
      </w:r>
    </w:p>
    <w:p>
      <w:pPr>
        <w:pStyle w:val="CaptionedFigure"/>
      </w:pPr>
      <w:r>
        <w:drawing>
          <wp:inline>
            <wp:extent cx="5963478" cy="2752374"/>
            <wp:effectExtent b="0" l="0" r="0" t="0"/>
            <wp:docPr descr="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 title="" id="52" name="Picture"/>
            <a:graphic>
              <a:graphicData uri="http://schemas.openxmlformats.org/drawingml/2006/picture">
                <pic:pic>
                  <pic:nvPicPr>
                    <pic:cNvPr descr="metaware_manuscript_files/figure-docx/predplot-1.png" id="53" name="Picture"/>
                    <pic:cNvPicPr>
                      <a:picLocks noChangeArrowheads="1" noChangeAspect="1"/>
                    </pic:cNvPicPr>
                  </pic:nvPicPr>
                  <pic:blipFill>
                    <a:blip r:embed="rId51"/>
                    <a:stretch>
                      <a:fillRect/>
                    </a:stretch>
                  </pic:blipFill>
                  <pic:spPr bwMode="auto">
                    <a:xfrm>
                      <a:off x="0" y="0"/>
                      <a:ext cx="5963478" cy="2752374"/>
                    </a:xfrm>
                    <a:prstGeom prst="rect">
                      <a:avLst/>
                    </a:prstGeom>
                    <a:noFill/>
                    <a:ln w="9525">
                      <a:noFill/>
                      <a:headEnd/>
                      <a:tailEnd/>
                    </a:ln>
                  </pic:spPr>
                </pic:pic>
              </a:graphicData>
            </a:graphic>
          </wp:inline>
        </w:drawing>
      </w:r>
    </w:p>
    <w:p>
      <w:pPr>
        <w:pStyle w:val="ImageCaption"/>
      </w:pPr>
      <w:bookmarkStart w:id="54" w:name="fig:predplot"/>
      <w:bookmarkEnd w:id="54"/>
      <w:r>
        <w:t xml:space="preserve">Figure 4: Estimated overall effects (dot) and 95% confidence intervals (error bars) of positive demand characteristics in a classic experimental setting (in-person studies testing positive effects with volunteer student samples) and an online worker setting (online studies testing positive effects with paid non-student samples).</w:t>
      </w:r>
    </w:p>
    <w:p>
      <w:pPr>
        <w:pStyle w:val="Textkrper"/>
      </w:pPr>
      <w:r>
        <w:t xml:space="preserve">Our openly-available data allow researchers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demand characteristics are estimated to produce, on average, a small increase in hypothesis-consistent responding,</w:t>
      </w:r>
      <w:r>
        <w:t xml:space="preserve"> </w:t>
      </w:r>
      <m:oMath>
        <m:r>
          <m:t>d</m:t>
        </m:r>
      </m:oMath>
      <w:r>
        <w:t xml:space="preserve"> </w:t>
      </w:r>
      <w:r>
        <w:t xml:space="preserve">= 0.19, 95% CI [0.05, 0.33,</w:t>
      </w:r>
      <w:r>
        <w:t xml:space="preserve"> </w:t>
      </w:r>
      <m:oMath>
        <m:r>
          <m:t>p</m:t>
        </m:r>
      </m:oMath>
      <w:r>
        <w:t xml:space="preserve"> </w:t>
      </w:r>
      <w:r>
        <w:t xml:space="preserve">= .008] (Figure</w:t>
      </w:r>
      <w:r>
        <w:t xml:space="preserve"> </w:t>
      </w:r>
      <w:r>
        <w:t xml:space="preserve">4</w:t>
      </w:r>
      <w:r>
        <w:t xml:space="preserve">). Second, we estimated the overall impact of demand characteristics in an</w:t>
      </w:r>
      <w:r>
        <w:t xml:space="preserve"> </w:t>
      </w:r>
      <w:r>
        <w:t xml:space="preserve">“</w:t>
      </w:r>
      <w:r>
        <w:t xml:space="preserve">online worker experimental context</w:t>
      </w:r>
      <w:r>
        <w:t xml:space="preserve">”</w:t>
      </w:r>
      <w:r>
        <w:t xml:space="preserve">: studies that (a) are run online, (b) sample non-students, (c) offer participant payment, and (d) test for a positive effect. Here, we did not find that demand characteristics, on average, produce changes in participants’ responses,</w:t>
      </w:r>
      <w:r>
        <w:t xml:space="preserve"> </w:t>
      </w:r>
      <m:oMath>
        <m:r>
          <m:t>d</m:t>
        </m:r>
      </m:oMath>
      <w:r>
        <w:t xml:space="preserve"> </w:t>
      </w:r>
      <w:r>
        <w:t xml:space="preserve">= 0.03, 95% CI [-0.14, 0.20],</w:t>
      </w:r>
      <w:r>
        <w:t xml:space="preserve"> </w:t>
      </w:r>
      <m:oMath>
        <m:r>
          <m:t>p</m:t>
        </m:r>
      </m:oMath>
      <w:r>
        <w:t xml:space="preserve"> </w:t>
      </w:r>
      <w:r>
        <w:t xml:space="preserve">= 0.71 (Figure</w:t>
      </w:r>
      <w:r>
        <w:t xml:space="preserve"> </w:t>
      </w:r>
      <w:r>
        <w:t xml:space="preserve">4</w:t>
      </w:r>
      <w:r>
        <w:t xml:space="preserve">).</w:t>
      </w:r>
    </w:p>
    <w:bookmarkEnd w:id="55"/>
    <w:bookmarkStart w:id="60"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indicated that publication bias favored instances where participants’ responses shifted in a hypothesis-consistent manner. However, a funnel plot where non-independent effect sizes were aggregated indicated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yielded a non-significant estimate of publication bias that favored hypothesis-consistent shifts in participants’ responses,</w:t>
      </w:r>
      <w:r>
        <w:t xml:space="preserve"> </w:t>
      </w:r>
      <m:oMath>
        <m:r>
          <m:t>β</m:t>
        </m:r>
      </m:oMath>
      <w:r>
        <w:t xml:space="preserve"> </w:t>
      </w:r>
      <w:r>
        <w:t xml:space="preserve">= 0.53, 95% CI [-0.20, 1.26],</w:t>
      </w:r>
      <w:r>
        <w:t xml:space="preserve"> </w:t>
      </w:r>
      <m:oMath>
        <m:r>
          <m:t>p</m:t>
        </m:r>
      </m:oMath>
      <w:r>
        <w:t xml:space="preserve"> </w:t>
      </w:r>
      <w:r>
        <w:t xml:space="preserve">= .153. The bias-corrected overall effect size estimate did not significantly differ from zero,</w:t>
      </w:r>
      <w:r>
        <w:t xml:space="preserve"> </w:t>
      </w:r>
      <m:oMath>
        <m:r>
          <m:t>d</m:t>
        </m:r>
      </m:oMath>
      <w:r>
        <w:t xml:space="preserve"> </w:t>
      </w:r>
      <w:r>
        <w:t xml:space="preserve">= 0.09, 95% CI [-0.12, 0.30],</w:t>
      </w:r>
      <w:r>
        <w:t xml:space="preserve"> </w:t>
      </w:r>
      <m:oMath>
        <m:r>
          <m:t>p</m:t>
        </m:r>
      </m:oMath>
      <w:r>
        <w:t xml:space="preserve"> </w:t>
      </w:r>
      <w:r>
        <w:t xml:space="preserve">= .385.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-0.35, 95% CI [-1.39, 0.69],</w:t>
      </w:r>
      <w:r>
        <w:t xml:space="preserve"> </w:t>
      </w:r>
      <m:oMath>
        <m:r>
          <m:t>p</m:t>
        </m:r>
      </m:oMath>
      <w:r>
        <w:t xml:space="preserve"> </w:t>
      </w:r>
      <w:r>
        <w:t xml:space="preserve">= .506. The bias-corrected overall effect size estimate was virtually unchanged,</w:t>
      </w:r>
      <w:r>
        <w:t xml:space="preserve"> </w:t>
      </w:r>
      <m:oMath>
        <m:r>
          <m:t>d</m:t>
        </m:r>
      </m:oMath>
      <w:r>
        <w:t xml:space="preserve"> </w:t>
      </w:r>
      <w:r>
        <w:t xml:space="preserve">= 0.23, 95% CI [0.02, 0.45],</w:t>
      </w:r>
      <w:r>
        <w:t xml:space="preserve"> </w:t>
      </w:r>
      <m:oMath>
        <m:r>
          <m:t>p</m:t>
        </m:r>
      </m:oMath>
      <w:r>
        <w:t xml:space="preserve"> </w:t>
      </w:r>
      <w:r>
        <w:t xml:space="preserve">= .035. In other words, depending on how dependencies were handled, precision-effect tests yielded opposite conclusions about the direction of publication bias and the significance of the bias-corrected overall effect of demand characteristics.</w:t>
      </w:r>
    </w:p>
    <w:p>
      <w:pPr>
        <w:pStyle w:val="Textkrper"/>
      </w:pPr>
      <w:r>
        <w:t xml:space="preserve">Weight-function modeling suggested that better fit was achieved in a model where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.051) and published (</w:t>
      </w:r>
      <m:oMath>
        <m:r>
          <m:t>d</m:t>
        </m:r>
      </m:oMath>
      <w:r>
        <w:t xml:space="preserve"> </w:t>
      </w:r>
      <w:r>
        <w:t xml:space="preserve">= 0.21, 95% CI [0.09, 0.32],</w:t>
      </w:r>
      <w:r>
        <w:t xml:space="preserve"> </w:t>
      </w:r>
      <m:oMath>
        <m:r>
          <m:t>p</m:t>
        </m:r>
      </m:oMath>
      <w:r>
        <w:t xml:space="preserve"> </w:t>
      </w:r>
      <w:r>
        <w:t xml:space="preserve">= &lt; .001) studies yielded a similar pattern, although the difference was not significant,</w:t>
      </w:r>
      <w:r>
        <w:t xml:space="preserve"> </w:t>
      </w:r>
      <m:oMath>
        <m:r>
          <m:t>F</m:t>
        </m:r>
      </m:oMath>
      <w:r>
        <w:t xml:space="preserve">(1, 194) = 1.08,</w:t>
      </w:r>
      <w:r>
        <w:t xml:space="preserve"> </w:t>
      </w:r>
      <m:oMath>
        <m:r>
          <m:t>p</m:t>
        </m:r>
      </m:oMath>
      <w:r>
        <w:t xml:space="preserve"> </w:t>
      </w:r>
      <w:r>
        <w:t xml:space="preserve">= .299.</w:t>
      </w:r>
    </w:p>
    <w:p>
      <w:pPr>
        <w:pStyle w:val="CaptionedFigure"/>
      </w:pPr>
      <w:r>
        <w:drawing>
          <wp:inline>
            <wp:extent cx="5963478" cy="3440468"/>
            <wp:effectExtent b="0" l="0" r="0" t="0"/>
            <wp:docPr descr="Figure 5: Raw (Panel A) or aggregated (Panel B) effect sizes plotted against their corresponding standard errors." title="" id="57" name="Picture"/>
            <a:graphic>
              <a:graphicData uri="http://schemas.openxmlformats.org/drawingml/2006/picture">
                <pic:pic>
                  <pic:nvPicPr>
                    <pic:cNvPr descr="metaware_manuscript_files/figure-docx/funnel-1.png" id="58" name="Picture"/>
                    <pic:cNvPicPr>
                      <a:picLocks noChangeArrowheads="1" noChangeAspect="1"/>
                    </pic:cNvPicPr>
                  </pic:nvPicPr>
                  <pic:blipFill>
                    <a:blip r:embed="rId56"/>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bookmarkStart w:id="59" w:name="fig:funnel"/>
      <w:bookmarkEnd w:id="59"/>
      <w:r>
        <w:t xml:space="preserve">Figure 5: Raw (Panel A) or aggregated (Panel B) effect sizes plotted against their corresponding standard errors.</w:t>
      </w:r>
    </w:p>
    <w:bookmarkEnd w:id="60"/>
    <w:bookmarkEnd w:id="61"/>
    <w:bookmarkStart w:id="62"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high levels of heterogeneity were observed. As an illustration, we estimated the true distribution of demand effects, which suggested that 63% of demand characteristic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two study features that were associated with more hypothesis-consistent shifts in responses: (1) sampling student populations, and (2) communicating that the researchers hypothesizes there will be</w:t>
      </w:r>
      <w:r>
        <w:t xml:space="preserve"> </w:t>
      </w:r>
      <w:r>
        <w:rPr>
          <w:iCs/>
          <w:i/>
        </w:rPr>
        <w:t xml:space="preserve">no</w:t>
      </w:r>
      <w:r>
        <w:t xml:space="preserve"> </w:t>
      </w:r>
      <w:r>
        <w:t xml:space="preserve">shift in responses (i.e., using nil demand manipulations).</w:t>
      </w:r>
    </w:p>
    <w:p>
      <w:pPr>
        <w:pStyle w:val="Textkrper"/>
      </w:pPr>
      <w:r>
        <w:t xml:space="preserve">More practically, we estimated that demand characteristics produce small increases in hypothesis-consistent responding in</w:t>
      </w:r>
      <w:r>
        <w:t xml:space="preserve"> </w:t>
      </w:r>
      <w:r>
        <w:t xml:space="preserve">“</w:t>
      </w:r>
      <w:r>
        <w:t xml:space="preserve">classic experimental settings</w:t>
      </w:r>
      <w:r>
        <w:t xml:space="preserve">”</w:t>
      </w:r>
      <w:r>
        <w:t xml:space="preserve">: in-person studies testing positive effects with unpaid student samples. In contrast, when these studies are run online with paid workers – an</w:t>
      </w:r>
      <w:r>
        <w:t xml:space="preserve"> </w:t>
      </w:r>
      <w:r>
        <w:t xml:space="preserve">“</w:t>
      </w:r>
      <w:r>
        <w:t xml:space="preserve">online worker experimental setting</w:t>
      </w:r>
      <w:r>
        <w:t xml:space="preserve">”</w:t>
      </w:r>
      <w:r>
        <w:t xml:space="preserve"> </w:t>
      </w:r>
      <w:r>
        <w:t xml:space="preserve">– 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examine mechanisms often discussed in motivation and expectancy accounts of demand characteristics. For example, consider our finding that demand characteristics tend to produce more hypothesis-consistent shifts in responses when students (vs. workers) are sampled. If this is true, it may occur because students are more motivated to help the experimenter confirm their hypothesis (motivation account). Alternatively, it may occur because students are more likely to</w:t>
      </w:r>
      <w:r>
        <w:t xml:space="preserve"> </w:t>
      </w:r>
      <w:r>
        <w:rPr>
          <w:iCs/>
          <w:i/>
        </w:rPr>
        <w:t xml:space="preserve">believe</w:t>
      </w:r>
      <w:r>
        <w:t xml:space="preserve"> </w:t>
      </w:r>
      <w:r>
        <w:t xml:space="preserve">the communicated hypothesis (expectancy account).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62"/>
    <w:bookmarkEnd w:id="63"/>
    <w:bookmarkStart w:id="84" w:name="study-2"/>
    <w:p>
      <w:pPr>
        <w:pStyle w:val="berschrift1"/>
      </w:pPr>
      <w:r>
        <w:t xml:space="preserve">Study 2</w:t>
      </w:r>
    </w:p>
    <w:p>
      <w:pPr>
        <w:pStyle w:val="FirstParagraph"/>
      </w:pPr>
      <w:r>
        <w:t xml:space="preserve">Study 2 was designed to examine whether observed variability in effect sizes can be explained by mechanisms often discussed in motivation accounts (i.e., motivation and opportunity to adjust responses) and expectancy accounts (i.e., expectations about the hypothesized effect; Figure</w:t>
      </w:r>
      <w:r>
        <w:t xml:space="preserve"> </w:t>
      </w:r>
      <w:r>
        <w:t xml:space="preserve">1</w:t>
      </w:r>
      <w:r>
        <w:t xml:space="preserve">). Unfortunately, these factors were rarely measured in the studies included in the meta-analysis. We thus estimated their values by soliciting judgments from a set of naïve raters. Using these measurements, we then tested their moderating role by entering them separately into new meta-regression models. Also through meta-regression, we examined whether this new set of raters could retroactively predict the effects of the demand characteristic manipulations in the Study 1 meta-analysis.</w:t>
      </w:r>
    </w:p>
    <w:bookmarkStart w:id="76" w:name="methodology-1"/>
    <w:p>
      <w:pPr>
        <w:pStyle w:val="berschrift2"/>
      </w:pPr>
      <w:r>
        <w:t xml:space="preserve">Methodology</w:t>
      </w:r>
    </w:p>
    <w:p>
      <w:pPr>
        <w:pStyle w:val="FirstParagraph"/>
      </w:pPr>
      <w:r>
        <w:t xml:space="preserve">For each study in the meta-analysis</w:t>
      </w:r>
      <w:r>
        <w:rPr>
          <w:rStyle w:val="Funotenzeichen"/>
        </w:rPr>
        <w:footnoteReference w:id="64"/>
      </w:r>
      <w:r>
        <w:t xml:space="preserve">,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66" name="Picture"/>
            <a:graphic>
              <a:graphicData uri="http://schemas.openxmlformats.org/drawingml/2006/picture">
                <pic:pic>
                  <pic:nvPicPr>
                    <pic:cNvPr descr="images/metaware_vigs.png" id="67" name="Picture"/>
                    <pic:cNvPicPr>
                      <a:picLocks noChangeArrowheads="1" noChangeAspect="1"/>
                    </pic:cNvPicPr>
                  </pic:nvPicPr>
                  <pic:blipFill>
                    <a:blip r:embed="rId65"/>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bookmarkStart w:id="68" w:name="fig:vig"/>
      <w:bookmarkEnd w:id="68"/>
      <w:r>
        <w:t xml:space="preserve">Figure 6: Vignettes for Standing et al. (2008), which described the key details for each demand characteristic condition (bolded and underlined) and dependent variable (bolded and italicized) combination.</w:t>
      </w:r>
    </w:p>
    <w:p>
      <w:pPr>
        <w:pStyle w:val="Textkrper"/>
      </w:pPr>
      <w:r>
        <w:t xml:space="preserve">Using a web-based Qualtrics survey, a convenience sample of 222 undergraduates from (anonymous for peer review) reviewed 10 randomly selected vignettes in exchange for course credit (49% female; 35% male, 14% did not report gender; 2% transgender or gender non-conforming). 32% of participants reported they were White/Caucasian, 28% Asian, 8% Black/African American, and 7% Native Hawaiian or Other Pacific Islander. 11% of participants indicated that their ethnicity could not be described by any single provided category, and 14% did not report ethnicity. The average participant age was 20.20 (</w:t>
      </w:r>
      <m:oMath>
        <m:r>
          <m:t>S</m:t>
        </m:r>
        <m:r>
          <m:t>D</m:t>
        </m:r>
      </m:oMath>
      <w:r>
        <w:t xml:space="preserve"> </w:t>
      </w:r>
      <w:r>
        <w:t xml:space="preserve">= 5.25). Sample size was based on availability of resources (i.e., we collected as much data as possible in a single semester).</w:t>
      </w:r>
    </w:p>
    <w:p>
      <w:pPr>
        <w:pStyle w:val="Textkrper"/>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researcher’s stated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expect the hypothesized effect to occur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(a) did not respond, or (b) did not correctly identify the hypothesis communicated in the vignette. The remaining ratings were averaged across raters to provide mean estimates of motivation, opportunity, and belief for each vignette.</w:t>
      </w:r>
    </w:p>
    <w:bookmarkStart w:id="73"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Column 2). Summing motivation scores allowed us to accommodate this possibility, and we used the same approach for opportunity and expectation ratings.</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p>
      <w:pPr>
        <w:pStyle w:val="CaptionedFigure"/>
      </w:pPr>
      <w:r>
        <w:drawing>
          <wp:inline>
            <wp:extent cx="2649239" cy="2025888"/>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Separate examples are provided for scenarios where motivation is invariant (Column 1) and variant (Column 2) across demand characteristic manipulations." title="" id="70" name="Picture"/>
            <a:graphic>
              <a:graphicData uri="http://schemas.openxmlformats.org/drawingml/2006/picture">
                <pic:pic>
                  <pic:nvPicPr>
                    <pic:cNvPr descr="images/metaware_mods.png" id="71" name="Picture"/>
                    <pic:cNvPicPr>
                      <a:picLocks noChangeArrowheads="1" noChangeAspect="1"/>
                    </pic:cNvPicPr>
                  </pic:nvPicPr>
                  <pic:blipFill>
                    <a:blip r:embed="rId69"/>
                    <a:stretch>
                      <a:fillRect/>
                    </a:stretch>
                  </pic:blipFill>
                  <pic:spPr bwMode="auto">
                    <a:xfrm>
                      <a:off x="0" y="0"/>
                      <a:ext cx="2649239" cy="2025888"/>
                    </a:xfrm>
                    <a:prstGeom prst="rect">
                      <a:avLst/>
                    </a:prstGeom>
                    <a:noFill/>
                    <a:ln w="9525">
                      <a:noFill/>
                      <a:headEnd/>
                      <a:tailEnd/>
                    </a:ln>
                  </pic:spPr>
                </pic:pic>
              </a:graphicData>
            </a:graphic>
          </wp:inline>
        </w:drawing>
      </w:r>
    </w:p>
    <w:p>
      <w:pPr>
        <w:pStyle w:val="ImageCaption"/>
      </w:pPr>
      <w:bookmarkStart w:id="72" w:name="fig:mods"/>
      <w:bookmarkEnd w:id="72"/>
      <w:r>
        <w:t xml:space="preserve">Figure 7: Hypothetical data from a study where a procedure is either described as mood-boosting (positive demand), described as mood-dampening (negative demand), or not described at all (control). Data provides examples of how the effects of demand characteristics (</w:t>
      </w:r>
      <w:r>
        <w:rPr>
          <w:iCs/>
          <w:i/>
        </w:rPr>
        <w:t xml:space="preserve">d</w:t>
      </w:r>
      <w:r>
        <w:t xml:space="preserve">) on self-reported mood are moderating by participants’ reports of their motivation to confirm the stated hypothesis (</w:t>
      </w:r>
      <w:r>
        <w:rPr>
          <w:iCs/>
          <w:i/>
        </w:rPr>
        <w:t xml:space="preserve">m</w:t>
      </w:r>
      <w:r>
        <w:t xml:space="preserve">). Separate examples are provided for scenarios where motivation is invariant (Column 1) and variant (Column 2) across demand characteristic manipulations.</w:t>
      </w:r>
    </w:p>
    <w:bookmarkEnd w:id="73"/>
    <w:bookmarkStart w:id="74"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74"/>
    <w:bookmarkStart w:id="75" w:name="transparency-and-openness-1"/>
    <w:p>
      <w:pPr>
        <w:pStyle w:val="berschrift3"/>
      </w:pPr>
      <w:r>
        <w:t xml:space="preserve">Transparency and openness.</w:t>
      </w:r>
    </w:p>
    <w:p>
      <w:pPr>
        <w:pStyle w:val="FirstParagraph"/>
      </w:pPr>
      <w:r>
        <w:t xml:space="preserve">All materials, data, and code are openly available at</w:t>
      </w:r>
      <w:r>
        <w:t xml:space="preserve"> </w:t>
      </w:r>
      <w:hyperlink r:id="rId20">
        <w:r>
          <w:rPr>
            <w:rStyle w:val="Hyperlink"/>
          </w:rPr>
          <w:t xml:space="preserve">https://osf.io/3hkre/?view_only=2dc92af53f194e5eab0d7aecafaf01c2</w:t>
        </w:r>
      </w:hyperlink>
      <w:r>
        <w:t xml:space="preserve">. This link also contains analysis pre-registration plan, as well as documented amendments. Sample size was based on availability of resources (i.e., we collected as much data as possible in a single semester). All code has been checked for reproducibility. The study was reviewed and approved by the (anonymous for peer review) IRB (protocol #: anonymous for peer review; protocol title: anonymous for peer review).</w:t>
      </w:r>
    </w:p>
    <w:bookmarkEnd w:id="75"/>
    <w:bookmarkEnd w:id="76"/>
    <w:bookmarkStart w:id="82" w:name="results-1"/>
    <w:p>
      <w:pPr>
        <w:pStyle w:val="berschrift2"/>
      </w:pPr>
      <w:r>
        <w:t xml:space="preserve">Results</w:t>
      </w:r>
    </w:p>
    <w:p>
      <w:pPr>
        <w:pStyle w:val="CaptionedFigure"/>
      </w:pPr>
      <w:r>
        <w:drawing>
          <wp:inline>
            <wp:extent cx="5963478" cy="4128561"/>
            <wp:effectExtent b="0" l="0" r="0" t="0"/>
            <wp:docPr descr="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 title="" id="78" name="Picture"/>
            <a:graphic>
              <a:graphicData uri="http://schemas.openxmlformats.org/drawingml/2006/picture">
                <pic:pic>
                  <pic:nvPicPr>
                    <pic:cNvPr descr="metaware_manuscript_files/figure-docx/modfig-1.png" id="79" name="Picture"/>
                    <pic:cNvPicPr>
                      <a:picLocks noChangeArrowheads="1" noChangeAspect="1"/>
                    </pic:cNvPicPr>
                  </pic:nvPicPr>
                  <pic:blipFill>
                    <a:blip r:embed="rId77"/>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bookmarkStart w:id="80" w:name="fig:modfig"/>
      <w:bookmarkEnd w:id="80"/>
      <w:r>
        <w:t xml:space="preserve">Figure 8: Scatterplots of relationships between the observed effects of demand characteristics (y-axis) and motivation (Panel A), opportunity (Panel B), expectancy (Panel C), and prediction (Panel D) ratings (x-axis). Grey dots represent jittered observations, black lines represent estimated linear relationships, and blue ribbons represent 95% confidence intervals for estimated linear relationships.</w:t>
      </w:r>
    </w:p>
    <w:p>
      <w:pPr>
        <w:pStyle w:val="Textkrper"/>
      </w:pPr>
      <w:r>
        <w:t xml:space="preserve">We did not find that raters’ predictions were significantly associated with observed demand effects,</w:t>
      </w:r>
      <w:r>
        <w:t xml:space="preserve"> </w:t>
      </w:r>
      <m:oMath>
        <m:r>
          <m:t>β</m:t>
        </m:r>
      </m:oMath>
      <w:r>
        <w:t xml:space="preserve"> </w:t>
      </w:r>
      <w:r>
        <w:t xml:space="preserve">= 0.08, 95% CI [-0.02, 0.18],</w:t>
      </w:r>
      <w:r>
        <w:t xml:space="preserve"> </w:t>
      </w:r>
      <m:oMath>
        <m:r>
          <m:t>t</m:t>
        </m:r>
      </m:oMath>
      <w:r>
        <w:t xml:space="preserve">(151) = 1.54,</w:t>
      </w:r>
      <w:r>
        <w:t xml:space="preserve"> </w:t>
      </w:r>
      <m:oMath>
        <m:r>
          <m:t>p</m:t>
        </m:r>
      </m:oMath>
      <w:r>
        <w:t xml:space="preserve"> </w:t>
      </w:r>
      <w:r>
        <w:t xml:space="preserve">= .125 (Figure</w:t>
      </w:r>
      <w:r>
        <w:t xml:space="preserve"> </w:t>
      </w:r>
      <w:r>
        <w:t xml:space="preserve">8</w:t>
      </w:r>
      <w:r>
        <w:t xml:space="preserve">, Panel D). In other words, in the absence of theory, it is challenging to predict the impact of demand characteristics. Thus, we next turned our attention to the motivation and expectancy accounts.</w:t>
      </w:r>
    </w:p>
    <w:p>
      <w:pPr>
        <w:pStyle w:val="Textkrper"/>
      </w:pPr>
      <w:r>
        <w:t xml:space="preserve">Inconsistent with motivation accounts, we did not find that demand effects were moderated by ratings of motivation,</w:t>
      </w:r>
      <w:r>
        <w:t xml:space="preserve"> </w:t>
      </w:r>
      <m:oMath>
        <m:r>
          <m:t>β</m:t>
        </m:r>
      </m:oMath>
      <w:r>
        <w:t xml:space="preserve"> </w:t>
      </w:r>
      <w:r>
        <w:t xml:space="preserve">= 0.03, 95% CI [-0.08, 0.14],</w:t>
      </w:r>
      <w:r>
        <w:t xml:space="preserve"> </w:t>
      </w:r>
      <m:oMath>
        <m:r>
          <m:t>t</m:t>
        </m:r>
      </m:oMath>
      <w:r>
        <w:t xml:space="preserve">(151) = 0.54,</w:t>
      </w:r>
      <w:r>
        <w:t xml:space="preserve"> </w:t>
      </w:r>
      <m:oMath>
        <m:r>
          <m:t>p</m:t>
        </m:r>
      </m:oMath>
      <w:r>
        <w:t xml:space="preserve"> </w:t>
      </w:r>
      <w:r>
        <w:t xml:space="preserve">= .589, or opportunity to adjust responses,</w:t>
      </w:r>
      <w:r>
        <w:t xml:space="preserve"> </w:t>
      </w:r>
      <m:oMath>
        <m:r>
          <m:t>β</m:t>
        </m:r>
      </m:oMath>
      <w:r>
        <w:t xml:space="preserve"> </w:t>
      </w:r>
      <w:r>
        <w:t xml:space="preserve">= 0.02, 95% CI [-0.04, 0.09],</w:t>
      </w:r>
      <w:r>
        <w:t xml:space="preserve"> </w:t>
      </w:r>
      <m:oMath>
        <m:r>
          <m:t>t</m:t>
        </m:r>
      </m:oMath>
      <w:r>
        <w:t xml:space="preserve">(151) = 0.76,</w:t>
      </w:r>
      <w:r>
        <w:t xml:space="preserve"> </w:t>
      </w:r>
      <m:oMath>
        <m:r>
          <m:t>p</m:t>
        </m:r>
      </m:oMath>
      <w:r>
        <w:t xml:space="preserve"> </w:t>
      </w:r>
      <w:r>
        <w:t xml:space="preserve">= .451 (Figure</w:t>
      </w:r>
      <w:r>
        <w:t xml:space="preserve"> </w:t>
      </w:r>
      <w:r>
        <w:t xml:space="preserve">8</w:t>
      </w:r>
      <w:r>
        <w:t xml:space="preserve">, Panels A and B). However, consistent with expectancy accounts, demand effects were positively associated with expectations about whether the hypothesized effect will occur,</w:t>
      </w:r>
      <w:r>
        <w:t xml:space="preserve"> </w:t>
      </w:r>
      <m:oMath>
        <m:r>
          <m:t>β</m:t>
        </m:r>
      </m:oMath>
      <w:r>
        <w:t xml:space="preserve"> </w:t>
      </w:r>
      <w:r>
        <w:t xml:space="preserve">= 0.12, 95% CI [0.03, 0.21],</w:t>
      </w:r>
      <w:r>
        <w:t xml:space="preserve"> </w:t>
      </w:r>
      <m:oMath>
        <m:r>
          <m:t>t</m:t>
        </m:r>
      </m:oMath>
      <w:r>
        <w:t xml:space="preserve">(151) = 2.52,</w:t>
      </w:r>
      <w:r>
        <w:t xml:space="preserve"> </w:t>
      </w:r>
      <m:oMath>
        <m:r>
          <m:t>p</m:t>
        </m:r>
      </m:oMath>
      <w:r>
        <w:t xml:space="preserve"> </w:t>
      </w:r>
      <w:r>
        <w:t xml:space="preserve">= .013 (Figure</w:t>
      </w:r>
      <w:r>
        <w:t xml:space="preserve"> </w:t>
      </w:r>
      <w:r>
        <w:t xml:space="preserve">8</w:t>
      </w:r>
      <w:r>
        <w:t xml:space="preserve">, Panel C).</w:t>
      </w:r>
    </w:p>
    <w:p>
      <w:pPr>
        <w:pStyle w:val="Textkrper"/>
      </w:pPr>
      <w:r>
        <w:t xml:space="preserve">The above results provide evidence of an association between demand effects and expectancies – but fails to provide evidence of an association with motivation. However, follow-up exploratory analyses did not indicate that expectancies are a significantly</w:t>
      </w:r>
      <w:r>
        <w:t xml:space="preserve"> </w:t>
      </w:r>
      <w:r>
        <w:rPr>
          <w:iCs/>
          <w:i/>
        </w:rPr>
        <w:t xml:space="preserve">stronger</w:t>
      </w:r>
      <w:r>
        <w:t xml:space="preserve"> </w:t>
      </w:r>
      <w:r>
        <w:t xml:space="preserve">predictor of demand effects. To examine this, we fit a 3LMA with (1) the type of mechanism (i.e., motivation or belief) entered as a factor, (2) the value of the mechanism (e.g., motivation or belief ratings), and (3) their higher-order interaction. Results did not indicate that the two-way interaction was significant,</w:t>
      </w:r>
      <w:r>
        <w:t xml:space="preserve"> </w:t>
      </w:r>
      <w:r>
        <w:rPr>
          <w:iCs/>
          <w:i/>
        </w:rPr>
        <w:t xml:space="preserve">t</w:t>
      </w:r>
      <w:r>
        <w:t xml:space="preserve">(302) = -0.26,</w:t>
      </w:r>
      <w:r>
        <w:t xml:space="preserve"> </w:t>
      </w:r>
      <m:oMath>
        <m:r>
          <m:t>p</m:t>
        </m:r>
      </m:oMath>
      <w:r>
        <w:t xml:space="preserve"> </w:t>
      </w:r>
      <w:r>
        <w:t xml:space="preserve">= .798. In other words, the difference in significance was not itself statistically significant</w:t>
      </w:r>
      <w:r>
        <w:t xml:space="preserve"> </w:t>
      </w:r>
      <w:r>
        <w:t xml:space="preserve">(Gelman &amp; Stern, 2006)</w:t>
      </w:r>
      <w:r>
        <w:t xml:space="preserve">.</w:t>
      </w:r>
    </w:p>
    <w:bookmarkStart w:id="81" w:name="residual-variability"/>
    <w:p>
      <w:pPr>
        <w:pStyle w:val="berschrift3"/>
      </w:pPr>
      <w:r>
        <w:t xml:space="preserve">Residual variability.</w:t>
      </w:r>
    </w:p>
    <w:p>
      <w:pPr>
        <w:pStyle w:val="FirstParagraph"/>
      </w:pPr>
      <w:r>
        <w:t xml:space="preserve">To evaluate how much variability in demand effects is currently accounted for by the moderators examined in Studies 1 and 2, we calculated a pseudo-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a model containing only an intercept and (1) a model containing Study 1 moderators (type of demand characteristics manipulation, participant pool, setting, study design, and payment), (2) a model containing Study 2 moderators (motivation, opportunity, and expectations), and (3) a model containing both Study 1 and 2 moderators. To ensure comparability, all models included the same set of observations (e.g., any incomplete observations were removed). Results indicated that the Study 1 and 2 moderators respectively accounted for 29.60% and 6.98% of observed variability in demand effects. This might suggest that study features are more powerful predictors of demand effects than the theorized underlying psychological mechanisms; however, we caution against such interpretations given the imperfect ad-hoc measurement of motivations and expectations.</w:t>
      </w:r>
    </w:p>
    <w:p>
      <w:pPr>
        <w:pStyle w:val="Textkrper"/>
      </w:pPr>
      <w:r>
        <w:t xml:space="preserve">Including all moderators increased the pseudo-</w:t>
      </w:r>
      <m:oMath>
        <m:sSup>
          <m:e>
            <m:r>
              <m:t>R</m:t>
            </m:r>
          </m:e>
          <m:sup>
            <m:r>
              <m:t>2</m:t>
            </m:r>
          </m:sup>
        </m:sSup>
      </m:oMath>
      <w:r>
        <w:t xml:space="preserve"> </w:t>
      </w:r>
      <w:r>
        <w:t xml:space="preserve">to 34.99%, indicating that the majority of observed variability in demand effects is still unaccounted.</w:t>
      </w:r>
    </w:p>
    <w:bookmarkEnd w:id="81"/>
    <w:bookmarkEnd w:id="82"/>
    <w:bookmarkStart w:id="83" w:name="discussion-1"/>
    <w:p>
      <w:pPr>
        <w:pStyle w:val="berschrift2"/>
      </w:pPr>
      <w:r>
        <w:t xml:space="preserve">Discussion</w:t>
      </w:r>
    </w:p>
    <w:p>
      <w:pPr>
        <w:pStyle w:val="FirstParagraph"/>
      </w:pPr>
      <w:r>
        <w:t xml:space="preserve">Contrary to a motivation account of demand characteristics</w:t>
      </w:r>
      <w:r>
        <w:t xml:space="preserve"> </w:t>
      </w:r>
      <w:r>
        <w:t xml:space="preserve">(e.g., Rosnow &amp; Rosenthal, 1997)</w:t>
      </w:r>
      <w:r>
        <w:t xml:space="preserve">, we did not find evidence that demand effects are moderated by ratings of participants’ motivation and opportunity to adjust responses. However, consistent with an expectancy account, we did find that such effects are moderated by participants’ expectations about the hypothesized effect. The difference in significance was not itself statistically significant, but the pattern of results was subsequently replicated in Study 3 (described below).</w:t>
      </w:r>
    </w:p>
    <w:p>
      <w:pPr>
        <w:pStyle w:val="Textkrper"/>
      </w:pPr>
      <w:r>
        <w:t xml:space="preserve">In the current study, we estimated motivation, opportunity, and expectation scores using a naïve set of raters. This strategy was necessary because researchers have rarely measured these proposed moderators. However, the approach has several limitations. First, raters may not have had enough information to make an accurate estimate of these factors.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w:t>
      </w:r>
      <w:r>
        <w:t xml:space="preserve"> </w:t>
      </w:r>
      <w:r>
        <w:t xml:space="preserve">(Orne, 1969)</w:t>
      </w:r>
      <w:r>
        <w:t xml:space="preserve">. Thus, participants might have provided more valid ratings if they had more information about the studies (e.g., video recreations of the procedures).</w:t>
      </w:r>
    </w:p>
    <w:p>
      <w:pPr>
        <w:pStyle w:val="Textkrper"/>
      </w:pPr>
      <w:r>
        <w:t xml:space="preserve">Second, our specific sample of raters – or maybe even modern-day participants in general – may not be representative of the people sampled in previous research</w:t>
      </w:r>
      <w:r>
        <w:t xml:space="preserve"> </w:t>
      </w:r>
      <w:r>
        <w:t xml:space="preserve">(Gergen, 1973)</w:t>
      </w:r>
      <w:r>
        <w:t xml:space="preserve">. To test this idea, we re-ran our motivation, opportunity, and expectation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sensitivity analysis were largely the same as those from the full dataset.</w:t>
      </w:r>
    </w:p>
    <w:p>
      <w:pPr>
        <w:pStyle w:val="Textkrper"/>
      </w:pPr>
      <w:r>
        <w:t xml:space="preserve">To address the two aforementioned limitations via a different strategy, we re-examined the mechanisms underlying demand effects in a small exploratory replication of an experiment in the meta-analysis.</w:t>
      </w:r>
    </w:p>
    <w:bookmarkEnd w:id="83"/>
    <w:bookmarkEnd w:id="84"/>
    <w:bookmarkStart w:id="88" w:name="study-3"/>
    <w:p>
      <w:pPr>
        <w:pStyle w:val="berschrift1"/>
      </w:pPr>
      <w:r>
        <w:t xml:space="preserve">Study 3</w:t>
      </w:r>
    </w:p>
    <w:p>
      <w:pPr>
        <w:pStyle w:val="FirstParagraph"/>
      </w:pPr>
      <w:r>
        <w:t xml:space="preserve">In addition to the vignette rating task, Study 2 participants also completed an exploratory close replication of an experiment in the meta-analysis</w:t>
      </w:r>
      <w:r>
        <w:t xml:space="preserve"> </w:t>
      </w:r>
      <w:r>
        <w:t xml:space="preserve">(Coles, Gaertner, et al., 2022)</w:t>
      </w:r>
      <w:r>
        <w:t xml:space="preserve">. This experiment examined the extent to which demand characteristics moderate the effect of facial poses on feelings of happiness. The order in which participants completed Studies 2 and 3 was randomized.</w:t>
      </w:r>
    </w:p>
    <w:bookmarkStart w:id="86"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manipulation check exclusions), they did not correct specify whether we expected a positive or nil effect. Afterwards, participants reported the extent to which they were motivated to confirm the hypothesis, had the opportunity to adjust their responses, and expected facial feedback effects to emerge.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Start w:id="85" w:name="transparency-and-openness-2"/>
    <w:p>
      <w:pPr>
        <w:pStyle w:val="berschrift3"/>
      </w:pPr>
      <w:r>
        <w:t xml:space="preserve">Transparency and openness.</w:t>
      </w:r>
    </w:p>
    <w:p>
      <w:pPr>
        <w:pStyle w:val="FirstParagraph"/>
      </w:pPr>
      <w:r>
        <w:t xml:space="preserve">All materials (including exploratory items not described in the manuscript), data, and code are openly available at</w:t>
      </w:r>
      <w:r>
        <w:t xml:space="preserve"> </w:t>
      </w:r>
      <w:hyperlink r:id="rId20">
        <w:r>
          <w:rPr>
            <w:rStyle w:val="Hyperlink"/>
          </w:rPr>
          <w:t xml:space="preserve">https://osf.io/3hkre/?view_only=2dc92af53f194e5eab0d7aecafaf01c2</w:t>
        </w:r>
      </w:hyperlink>
      <w:r>
        <w:t xml:space="preserve">. Sample size was based on availability of resources (i.e., we collected as much data as possible in a single semester). Because the study was exploratory, there was no pre-registration. All code has been checked for reproducibility. The study was reviewed and approved by the (anonymous for peer review) IRB (protocol #: anonymous for peer review; protocol title: anonymous for peer review).</w:t>
      </w:r>
    </w:p>
    <w:bookmarkEnd w:id="85"/>
    <w:bookmarkEnd w:id="86"/>
    <w:bookmarkStart w:id="87" w:name="results-2"/>
    <w:p>
      <w:pPr>
        <w:pStyle w:val="berschrift2"/>
      </w:pPr>
      <w:r>
        <w:t xml:space="preserve">Results</w:t>
      </w:r>
    </w:p>
    <w:p>
      <w:pPr>
        <w:pStyle w:val="FirstParagraph"/>
      </w:pPr>
      <w:r>
        <w:t xml:space="preserve">Following</w:t>
      </w:r>
      <w:r>
        <w:t xml:space="preserve"> </w:t>
      </w:r>
      <w:r>
        <w:t xml:space="preserve">Coles, Gaertner, et al. (2022)</w:t>
      </w:r>
      <w:r>
        <w:t xml:space="preserve">, we used the lme4 R package</w:t>
      </w:r>
      <w:r>
        <w:t xml:space="preserve"> </w:t>
      </w:r>
      <w:r>
        <w:t xml:space="preserve">(Bates, Mächler, Bolker, &amp; Walker, 2015)</w:t>
      </w:r>
      <w:r>
        <w:t xml:space="preserve"> </w:t>
      </w:r>
      <w:r>
        <w:t xml:space="preserve">to fit a mixed-effect regression with (a) facial pose, demand characteristics, and block number entered as effect-coded factors and (b) random-intercepts for participants.</w:t>
      </w:r>
      <w:r>
        <w:t xml:space="preserve"> </w:t>
      </w:r>
      <w:r>
        <w:rPr>
          <w:iCs/>
          <w:i/>
        </w:rPr>
        <w:t xml:space="preserve">F</w:t>
      </w:r>
      <w:r>
        <w:t xml:space="preserve">-values were estimated through ANOVA tables with Type 3 Sums of Squares and Satterthwaite degrees of freedom. Mean-difference scores were estimated using the emmeans R package</w:t>
      </w:r>
      <w:r>
        <w:t xml:space="preserve"> </w:t>
      </w:r>
      <w:r>
        <w:t xml:space="preserve">(Lenth, 2022)</w:t>
      </w:r>
      <w:r>
        <w:t xml:space="preserve">.</w:t>
      </w:r>
    </w:p>
    <w:p>
      <w:pPr>
        <w:pStyle w:val="Textkrper"/>
      </w:pPr>
      <w:r>
        <w:t xml:space="preserve">Replicating</w:t>
      </w:r>
      <w:r>
        <w:t xml:space="preserve"> </w:t>
      </w:r>
      <w:r>
        <w:t xml:space="preserve">Coles, Gaertner, et al. (2022)</w:t>
      </w:r>
      <w:r>
        <w:t xml:space="preserve">,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 95% CI [0.60, 0.82],</w:t>
      </w:r>
      <w:r>
        <w:t xml:space="preserve"> </w:t>
      </w:r>
      <w:r>
        <w:rPr>
          <w:iCs/>
          <w:i/>
        </w:rPr>
        <w:t xml:space="preserve">F</w:t>
      </w:r>
      <w:r>
        <w:t xml:space="preserve">(1, 469.32) = 162.38,</w:t>
      </w:r>
      <w:r>
        <w:t xml:space="preserve"> </w:t>
      </w:r>
      <w:r>
        <w:rPr>
          <w:iCs/>
          <w:i/>
        </w:rPr>
        <w:t xml:space="preserve">p</w:t>
      </w:r>
      <w:r>
        <w:t xml:space="preserve"> </w:t>
      </w:r>
      <w:r>
        <w:t xml:space="preserve">&lt; .001. Also replicating</w:t>
      </w:r>
      <w:r>
        <w:t xml:space="preserve"> </w:t>
      </w:r>
      <w:r>
        <w:t xml:space="preserve">Coles, Gaertner, et al. (2022)</w:t>
      </w:r>
      <w:r>
        <w:t xml:space="preserve">, this effect was more pronounced in the positive (</w:t>
      </w:r>
      <w:r>
        <w:rPr>
          <w:iCs/>
          <w:i/>
        </w:rPr>
        <w:t xml:space="preserve">M</w:t>
      </w:r>
      <w:r>
        <w:rPr>
          <w:vertAlign w:val="subscript"/>
          <w:iCs/>
          <w:i/>
        </w:rPr>
        <w:t xml:space="preserve">diff</w:t>
      </w:r>
      <w:r>
        <w:t xml:space="preserve"> </w:t>
      </w:r>
      <w:r>
        <w:t xml:space="preserve">= 0.89, 95% CI [0.75, 1.04]) vs. nil (</w:t>
      </w:r>
      <w:r>
        <w:rPr>
          <w:iCs/>
          <w:i/>
        </w:rPr>
        <w:t xml:space="preserve">M</w:t>
      </w:r>
      <w:r>
        <w:rPr>
          <w:vertAlign w:val="subscript"/>
          <w:iCs/>
          <w:i/>
        </w:rPr>
        <w:t xml:space="preserve">diff</w:t>
      </w:r>
      <w:r>
        <w:t xml:space="preserve"> </w:t>
      </w:r>
      <w:r>
        <w:t xml:space="preserve">= 0.52, 95% CI [0.36, 0.68]) demand conditions,</w:t>
      </w:r>
      <w:r>
        <w:t xml:space="preserve"> </w:t>
      </w:r>
      <w:r>
        <w:rPr>
          <w:iCs/>
          <w:i/>
        </w:rPr>
        <w:t xml:space="preserve">F</w:t>
      </w:r>
      <w:r>
        <w:t xml:space="preserve">(1, 469.32) = 11.30,</w:t>
      </w:r>
      <w:r>
        <w:t xml:space="preserve"> </w:t>
      </w:r>
      <w:r>
        <w:rPr>
          <w:iCs/>
          <w:i/>
        </w:rPr>
        <w:t xml:space="preserve">p =</w:t>
      </w:r>
      <w:r>
        <w:t xml:space="preserve"> </w:t>
      </w:r>
      <w:r>
        <w:t xml:space="preserve">&lt; .001.</w:t>
      </w:r>
    </w:p>
    <w:p>
      <w:pPr>
        <w:pStyle w:val="Textkrper"/>
      </w:pPr>
      <w:r>
        <w:t xml:space="preserve">Next, we examined the role of motivation, opportunity, and expectations.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95% CI [0.00, 0.09]. However, the estimated moderating relationship was not statistically significant,</w:t>
      </w:r>
      <w:r>
        <w:t xml:space="preserve"> </w:t>
      </w:r>
      <w:r>
        <w:rPr>
          <w:iCs/>
          <w:i/>
        </w:rPr>
        <w:t xml:space="preserve">t</w:t>
      </w:r>
      <w:r>
        <w:t xml:space="preserve">(472.40) = 1.86,</w:t>
      </w:r>
      <w:r>
        <w:t xml:space="preserve"> </w:t>
      </w:r>
      <w:r>
        <w:rPr>
          <w:iCs/>
          <w:i/>
        </w:rPr>
        <w:t xml:space="preserve">p</w:t>
      </w:r>
      <w:r>
        <w:t xml:space="preserve"> </w:t>
      </w:r>
      <w:r>
        <w:t xml:space="preserve">= .063, and was less robust when including participants who did not correctly identify the communicated hypothesis,</w:t>
      </w:r>
      <w:r>
        <w:t xml:space="preserve"> </w:t>
      </w:r>
      <m:oMath>
        <m:r>
          <m:t>β</m:t>
        </m:r>
      </m:oMath>
      <w:r>
        <w:t xml:space="preserve"> </w:t>
      </w:r>
      <w:r>
        <w:t xml:space="preserve">= 0.03, 95% CI [-0.01, 0.07],</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 95% CI [-0.02, 0.08],</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expectancy effects in facial feedback research</w:t>
      </w:r>
      <w:r>
        <w:t xml:space="preserve"> </w:t>
      </w:r>
      <w:r>
        <w:t xml:space="preserve">(Coles, Gaertner, et al., 2022; Coles, March, et al., 2022)</w:t>
      </w:r>
      <w:r>
        <w:t xml:space="preserve">, the effect of facial poses tended to be larger among participants who expected the effect to emerge,</w:t>
      </w:r>
      <w:r>
        <w:t xml:space="preserve"> </w:t>
      </w:r>
      <m:oMath>
        <m:r>
          <m:t>β</m:t>
        </m:r>
      </m:oMath>
      <w:r>
        <w:t xml:space="preserve"> </w:t>
      </w:r>
      <w:r>
        <w:t xml:space="preserve">= 0.05, 95% CI[0.01, 0.08],</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evidence that participants’ expectations – and potentially also their motivation to provide hypothesis consistent responses – moderate facial feedback effects. They do not, however, test whether these factors drive the effects of</w:t>
      </w:r>
      <w:r>
        <w:t xml:space="preserve"> </w:t>
      </w:r>
      <w:r>
        <w:rPr>
          <w:iCs/>
          <w:i/>
        </w:rPr>
        <w:t xml:space="preserve">demand characteristics</w:t>
      </w:r>
      <w:r>
        <w:t xml:space="preserve">. In other words, are there three-way interactions between (1) facial poses, (2) demand characteristics, and (3) ratings of motivation, opportunity, and/or belief? To test this, we fit separate mixed-effect regressions containing (a) facial pose and demand characteristics as effect-coded factors, (b) the potential moderator entered mean-centered as a continuous variable, (c) all higher-order interactions, and (d) random intercepts for participants.</w:t>
      </w:r>
    </w:p>
    <w:p>
      <w:pPr>
        <w:pStyle w:val="Textkrper"/>
      </w:pPr>
      <w:r>
        <w:t xml:space="preserve">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 95% CI [-0.02, 0.08],</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 95% CI [-0.05, 0.05],</w:t>
      </w:r>
      <w:r>
        <w:t xml:space="preserve"> </w:t>
      </w:r>
      <w:r>
        <w:rPr>
          <w:iCs/>
          <w:i/>
        </w:rPr>
        <w:t xml:space="preserve">t</w:t>
      </w:r>
      <w:r>
        <w:t xml:space="preserve">(471.16) = -0.18,</w:t>
      </w:r>
      <w:r>
        <w:t xml:space="preserve"> </w:t>
      </w:r>
      <w:r>
        <w:rPr>
          <w:iCs/>
          <w:i/>
        </w:rPr>
        <w:t xml:space="preserve">p</w:t>
      </w:r>
      <w:r>
        <w:t xml:space="preserve"> </w:t>
      </w:r>
      <w:r>
        <w:t xml:space="preserve">= .854. We did, however, find evidence of a three-way interaction involving expectations about facial feedback effects. Specifically, the interaction between facial poses and demand characteristics (</w:t>
      </w:r>
      <m:oMath>
        <m:r>
          <m:t>β</m:t>
        </m:r>
      </m:oMath>
      <w:r>
        <w:t xml:space="preserve"> </w:t>
      </w:r>
      <w:r>
        <w:t xml:space="preserve">= 0.08, 95% CI [0.02, 0.13],</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who expected facial feedback effects to occur,</w:t>
      </w:r>
      <w:r>
        <w:t xml:space="preserve"> </w:t>
      </w:r>
      <m:oMath>
        <m:r>
          <m:t>β</m:t>
        </m:r>
      </m:oMath>
      <w:r>
        <w:t xml:space="preserve"> </w:t>
      </w:r>
      <w:r>
        <w:t xml:space="preserve">= 0.06, 95% CI [0.03, 0.10],</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support for a motivation account of demand effects.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support for an expectancy account: facial feedback and demand effects were moderated by expectations about the communicated hypothesis.</w:t>
      </w:r>
    </w:p>
    <w:bookmarkEnd w:id="87"/>
    <w:bookmarkEnd w:id="88"/>
    <w:bookmarkStart w:id="89" w:name="general-discussion"/>
    <w:p>
      <w:pPr>
        <w:pStyle w:val="berschrift1"/>
      </w:pPr>
      <w:r>
        <w:t xml:space="preserve">General Discussion</w:t>
      </w:r>
    </w:p>
    <w:p>
      <w:pPr>
        <w:pStyle w:val="FirstParagraph"/>
      </w:pPr>
      <w:r>
        <w:t xml:space="preserve">Demand characteristics are a puzzling methodological artifact in experimental psychology. Using meta-analysis and a replication of a recent study, we sought to consolidate knowledge about the magnitude, reliability, and mechanisms underlying these effects. The meta-analysis revealed that demand characteristics typically led participants to slightly shift their responses in the direction of the communicated hypothesis. However, publication bias analyses were inconclusive, and the estimated effects were heterogeneous. This heterogeneity led us to estimate the true</w:t>
      </w:r>
      <w:r>
        <w:t xml:space="preserve"> </w:t>
      </w:r>
      <w:r>
        <w:rPr>
          <w:iCs/>
          <w:i/>
        </w:rPr>
        <w:t xml:space="preserve">distribution</w:t>
      </w:r>
      <w:r>
        <w:t xml:space="preserve"> </w:t>
      </w:r>
      <w:r>
        <w:t xml:space="preserve">of demand effects. This distribution suggests that approximately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estimated distribution of demand effects ranges from approximately</w:t>
      </w:r>
      <w:r>
        <w:t xml:space="preserve"> </w:t>
      </w:r>
      <m:oMath>
        <m:r>
          <m:t>d</m:t>
        </m:r>
      </m:oMath>
      <w:r>
        <w:t xml:space="preserve"> </w:t>
      </w:r>
      <w:r>
        <w:t xml:space="preserve">= -1.44 to</w:t>
      </w:r>
      <w:r>
        <w:t xml:space="preserve"> </w:t>
      </w:r>
      <m:oMath>
        <m:r>
          <m:t>d</m:t>
        </m:r>
      </m:oMath>
      <w:r>
        <w:t xml:space="preserve"> </w:t>
      </w:r>
      <w:r>
        <w:t xml:space="preserve">= 1.98 – remarkable similar to the distribution of theory-relevant effects in experimental psychology</w:t>
      </w:r>
      <w:r>
        <w:t xml:space="preserve"> </w:t>
      </w:r>
      <w:r>
        <w:t xml:space="preserve">(Lovakov &amp; Agadullina, 2021)</w:t>
      </w:r>
      <w:r>
        <w:t xml:space="preserve">. Thus, to distinguish theory-relevant effects from artifactual demand effects, it is essential that experimental psychologists better understand the latter</w:t>
      </w:r>
      <w:r>
        <w:t xml:space="preserve"> </w:t>
      </w:r>
      <w:r>
        <w:t xml:space="preserve">(Boot, Simons, Stothart, &amp; Stutts, 2013; Corneille &amp; Lush, 2022; Sharpe &amp; Whelton, 2016)</w:t>
      </w:r>
      <w:r>
        <w:t xml:space="preserve">.</w:t>
      </w:r>
    </w:p>
    <w:p>
      <w:pPr>
        <w:pStyle w:val="Textkrper"/>
      </w:pPr>
      <w:r>
        <w:t xml:space="preserve">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factors – such as student samples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explained.</w:t>
      </w:r>
    </w:p>
    <w:p>
      <w:pPr>
        <w:pStyle w:val="Textkrper"/>
      </w:pPr>
      <w:r>
        <w:t xml:space="preserve">Although motivation accounts are popular in in the demand characteristics literature</w:t>
      </w:r>
      <w:r>
        <w:t xml:space="preserve"> </w:t>
      </w:r>
      <w:r>
        <w:t xml:space="preserve">(Cook et al., 1970; Orne, 1962; Riecken, 1962; Rosenberg, 1969; Rosnow &amp; Rosenthal, 1997; Sigall et al., 1970)</w:t>
      </w:r>
      <w:r>
        <w:t xml:space="preserve">, we found little support for this view. In the Study 2 meta-analysis, we did not find that external ratings of two factors oft-discussed in motivation accounts – motivation and opportunity to adjust responses – moderated demand effects. We found some evidence in Study 3 that motivation (but not opportunity) ratings moderated demand effects, but the evidence was weak.</w:t>
      </w:r>
    </w:p>
    <w:p>
      <w:pPr>
        <w:pStyle w:val="Textkrper"/>
      </w:pPr>
      <w:r>
        <w:t xml:space="preserve">Consistent with expectancy accounts, our results consistently indicated that participants’ expectations about hypothesized effects partially drive demand effects. This may occur because demand characteristics activate pre-existing beliefs about a phenomenon being investigated. It is also possible that demand characteristics cause participants to update or form new expectations. If true, research on how beliefs are formed, updated, and impact participant responses may help explain the heterogeneous effects of demand characteristic manipulations. For example, if expectations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expectations.</w:t>
      </w:r>
    </w:p>
    <w:p>
      <w:pPr>
        <w:pStyle w:val="Textkrper"/>
      </w:pPr>
      <w:r>
        <w:t xml:space="preserve">Expectancy effects can certainly be reduced – but it is not clear if they can be fully avoided</w:t>
      </w:r>
      <w:r>
        <w:t xml:space="preserve"> </w:t>
      </w:r>
      <w:r>
        <w:t xml:space="preserve">(Boot et al., 2013)</w:t>
      </w:r>
      <w:r>
        <w:t xml:space="preserve">. Indeed, participants possess a rich array of pre-existing expectations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Similar observations have been made elsewhere, for example in literature examining the effects of videogame training on cognitive tasks</w:t>
      </w:r>
      <w:r>
        <w:t xml:space="preserve"> </w:t>
      </w:r>
      <w:r>
        <w:t xml:space="preserve">(Boot et al., 2013)</w:t>
      </w:r>
      <w:r>
        <w:t xml:space="preserve">. In other words, deception about the purpose of the study does not guarantee an unbiased estimate of a mechanism-of-interest. In the real world, the mechanisms that psychologists theorize about may be naturalistically confounded with participants’ beliefs.</w:t>
      </w:r>
    </w:p>
    <w:p>
      <w:pPr>
        <w:pStyle w:val="Textkrper"/>
      </w:pPr>
      <w:r>
        <w:t xml:space="preserve">We end on a note of concern. We estimated that experimentally manipulated demand characteristics have a similar distribution of effects as the theory-relevant phenomena that many psychologists study</w:t>
      </w:r>
      <w:r>
        <w:t xml:space="preserve"> </w:t>
      </w:r>
      <w:r>
        <w:t xml:space="preserve">(Lovakov &amp; Agadullina, 2021)</w:t>
      </w:r>
      <w:r>
        <w:t xml:space="preserve">. These demand effects appear to be most reliably predicted by participant expectations about the hypothesized effects (i.e., expectancy effects). Even when specific demand characteristics are eliminated, participants have expectations about the phenomena we study – and these expectations may be naturalistically confounded with the theory-relevant mechanisms we wish to study. Thus, if (a) demand characteristics are present or (b) participants are likely to have pre-existing expectations about the phenomenon being studied, researchers should be wary of concluding that an observed effect is not compromised by methodological artifacts</w:t>
      </w:r>
      <w:r>
        <w:t xml:space="preserve"> </w:t>
      </w:r>
      <w:r>
        <w:t xml:space="preserve">(Boot et al., 2013; Corneille &amp; Lush, 2022)</w:t>
      </w:r>
      <w:r>
        <w:t xml:space="preserve">.</w:t>
      </w:r>
    </w:p>
    <w:bookmarkEnd w:id="89"/>
    <w:bookmarkStart w:id="170" w:name="references"/>
    <w:p>
      <w:pPr>
        <w:pStyle w:val="berschrift1"/>
      </w:pPr>
      <w:r>
        <w:t xml:space="preserve">References</w:t>
      </w:r>
    </w:p>
    <w:p>
      <w:pPr>
        <w:pStyle w:val="FirstParagraph"/>
      </w:pPr>
      <w:r>
        <w:t xml:space="preserve">References marked with an asterisk indicate studies included in the meta-analysis.</w:t>
      </w:r>
    </w:p>
    <w:bookmarkStart w:id="169" w:name="refs"/>
    <w:bookmarkStart w:id="90" w:name="ref-allen2012demand"/>
    <w:p>
      <w:pPr>
        <w:pStyle w:val="Literaturverzeichnis"/>
      </w:pPr>
      <w:r>
        <w:rPr>
          <w:vertAlign w:val="superscript"/>
        </w:rPr>
        <w:t xml:space="preserve">*</w:t>
      </w:r>
      <w:r>
        <w:t xml:space="preserve"> </w:t>
      </w: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90"/>
    <w:bookmarkStart w:id="92" w:name="ref-R-papaja"/>
    <w:p>
      <w:pPr>
        <w:pStyle w:val="Literaturverzeichnis"/>
      </w:pPr>
      <w:r>
        <w:t xml:space="preserve">Aust, F., &amp; Barth, M. (2022).</w:t>
      </w:r>
      <w:r>
        <w:t xml:space="preserve"> </w:t>
      </w:r>
      <w:r>
        <w:rPr>
          <w:iCs/>
          <w:i/>
        </w:rPr>
        <w:t xml:space="preserve">papaja</w:t>
      </w:r>
      <w:r>
        <w:rPr>
          <w:iCs/>
          <w:i/>
        </w:rPr>
        <w:t xml:space="preserve">:</w:t>
      </w:r>
      <w:r>
        <w:rPr>
          <w:iCs/>
          <w:i/>
        </w:rPr>
        <w:t xml:space="preserve"> </w:t>
      </w:r>
      <w:r>
        <w:rPr>
          <w:iCs/>
          <w:i/>
        </w:rPr>
        <w:t xml:space="preserve">Prepare</w:t>
      </w:r>
      <w:r>
        <w:rPr>
          <w:iCs/>
          <w:i/>
        </w:rPr>
        <w:t xml:space="preserve"> </w:t>
      </w:r>
      <w:r>
        <w:rPr>
          <w:iCs/>
          <w:i/>
        </w:rPr>
        <w:t xml:space="preserve">reproducible</w:t>
      </w:r>
      <w:r>
        <w:rPr>
          <w:iCs/>
          <w:i/>
        </w:rPr>
        <w:t xml:space="preserve"> </w:t>
      </w:r>
      <w:r>
        <w:rPr>
          <w:iCs/>
          <w:i/>
        </w:rPr>
        <w:t xml:space="preserve">APA</w:t>
      </w:r>
      <w:r>
        <w:rPr>
          <w:iCs/>
          <w:i/>
        </w:rPr>
        <w:t xml:space="preserve"> </w:t>
      </w:r>
      <w:r>
        <w:rPr>
          <w:iCs/>
          <w:i/>
        </w:rPr>
        <w:t xml:space="preserve">journal articles with</w:t>
      </w:r>
      <w:r>
        <w:rPr>
          <w:iCs/>
          <w:i/>
        </w:rPr>
        <w:t xml:space="preserve"> </w:t>
      </w:r>
      <w:r>
        <w:rPr>
          <w:iCs/>
          <w:i/>
        </w:rPr>
        <w:t xml:space="preserve">R Markdown</w:t>
      </w:r>
      <w:r>
        <w:t xml:space="preserve">. Retrieved from</w:t>
      </w:r>
      <w:r>
        <w:t xml:space="preserve"> </w:t>
      </w:r>
      <w:hyperlink r:id="rId91">
        <w:r>
          <w:rPr>
            <w:rStyle w:val="Hyperlink"/>
          </w:rPr>
          <w:t xml:space="preserve">https://github.com/crsh/papaja</w:t>
        </w:r>
      </w:hyperlink>
    </w:p>
    <w:bookmarkEnd w:id="92"/>
    <w:bookmarkStart w:id="93" w:name="ref-barabasz1991effects"/>
    <w:p>
      <w:pPr>
        <w:pStyle w:val="Literaturverzeichnis"/>
      </w:pPr>
      <w:r>
        <w:rPr>
          <w:vertAlign w:val="superscript"/>
        </w:rPr>
        <w:t xml:space="preserve">*</w:t>
      </w:r>
      <w:r>
        <w:t xml:space="preserve"> </w:t>
      </w:r>
      <w:r>
        <w:t xml:space="preserve">Barabasz, M., Barabasz, A., &amp; O’Neill, M. (1991). Effects of experimental context, demand characteristics, and situational cues: New data.</w:t>
      </w:r>
      <w:r>
        <w:t xml:space="preserve"> </w:t>
      </w:r>
      <w:r>
        <w:rPr>
          <w:iCs/>
          <w:i/>
        </w:rPr>
        <w:t xml:space="preserve">Perceptual and Motor Skills</w:t>
      </w:r>
      <w:r>
        <w:t xml:space="preserve">,</w:t>
      </w:r>
      <w:r>
        <w:t xml:space="preserve"> </w:t>
      </w:r>
      <w:r>
        <w:rPr>
          <w:iCs/>
          <w:i/>
        </w:rPr>
        <w:t xml:space="preserve">73</w:t>
      </w:r>
      <w:r>
        <w:t xml:space="preserve">(1), 83–92.</w:t>
      </w:r>
    </w:p>
    <w:bookmarkEnd w:id="93"/>
    <w:bookmarkStart w:id="94"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p>
    <w:bookmarkEnd w:id="94"/>
    <w:bookmarkStart w:id="95" w:name="ref-boot2013pervasive"/>
    <w:p>
      <w:pPr>
        <w:pStyle w:val="Literaturverzeichnis"/>
      </w:pPr>
      <w:r>
        <w:t xml:space="preserve">Boot, W. R., Simons, D. J., Stothart, C., &amp; Stutts, C. (2013). The pervasive problem with placebos in psychology: Why active control groups are not sufficient to rule out placebo effects.</w:t>
      </w:r>
      <w:r>
        <w:t xml:space="preserve"> </w:t>
      </w:r>
      <w:r>
        <w:rPr>
          <w:iCs/>
          <w:i/>
        </w:rPr>
        <w:t xml:space="preserve">Perspectives on Psychological Science</w:t>
      </w:r>
      <w:r>
        <w:t xml:space="preserve">,</w:t>
      </w:r>
      <w:r>
        <w:t xml:space="preserve"> </w:t>
      </w:r>
      <w:r>
        <w:rPr>
          <w:iCs/>
          <w:i/>
        </w:rPr>
        <w:t xml:space="preserve">8</w:t>
      </w:r>
      <w:r>
        <w:t xml:space="preserve">(4), 445–454.</w:t>
      </w:r>
    </w:p>
    <w:bookmarkEnd w:id="95"/>
    <w:bookmarkStart w:id="96"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96"/>
    <w:bookmarkStart w:id="97"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97"/>
    <w:bookmarkStart w:id="98" w:name="ref-busch2007follow"/>
    <w:p>
      <w:pPr>
        <w:pStyle w:val="Literaturverzeichnis"/>
      </w:pPr>
      <w:r>
        <w:rPr>
          <w:vertAlign w:val="superscript"/>
        </w:rPr>
        <w:t xml:space="preserve">*</w:t>
      </w:r>
      <w:r>
        <w:t xml:space="preserve"> </w:t>
      </w:r>
      <w:r>
        <w:t xml:space="preserve">Busch, A. M., Kanter, J. W., Sedivy, S. K., &amp; Leonard, J. L. (2007). A follow-up analogue study on the effectiveness of the cognitive rationale.</w:t>
      </w:r>
      <w:r>
        <w:t xml:space="preserve"> </w:t>
      </w:r>
      <w:r>
        <w:rPr>
          <w:iCs/>
          <w:i/>
        </w:rPr>
        <w:t xml:space="preserve">Cognitive Therapy and Research</w:t>
      </w:r>
      <w:r>
        <w:t xml:space="preserve">,</w:t>
      </w:r>
      <w:r>
        <w:t xml:space="preserve"> </w:t>
      </w:r>
      <w:r>
        <w:rPr>
          <w:iCs/>
          <w:i/>
        </w:rPr>
        <w:t xml:space="preserve">31</w:t>
      </w:r>
      <w:r>
        <w:t xml:space="preserve">, 805–815.</w:t>
      </w:r>
    </w:p>
    <w:bookmarkEnd w:id="98"/>
    <w:bookmarkStart w:id="100" w:name="ref-R-weightr"/>
    <w:p>
      <w:pPr>
        <w:pStyle w:val="Literaturverzeichnis"/>
      </w:pPr>
      <w:r>
        <w:t xml:space="preserve">Coburn, K. M., &amp; Vevea, J. L. (2019).</w:t>
      </w:r>
      <w:r>
        <w:t xml:space="preserve"> </w:t>
      </w:r>
      <w:r>
        <w:rPr>
          <w:iCs/>
          <w:i/>
        </w:rPr>
        <w:t xml:space="preserve">Weightr: Estimating weight-function models for publication bias</w:t>
      </w:r>
      <w:r>
        <w:t xml:space="preserve">. Retrieved from</w:t>
      </w:r>
      <w:r>
        <w:t xml:space="preserve"> </w:t>
      </w:r>
      <w:hyperlink r:id="rId99">
        <w:r>
          <w:rPr>
            <w:rStyle w:val="Hyperlink"/>
          </w:rPr>
          <w:t xml:space="preserve">https://CRAN.R-project.org/package=weightr</w:t>
        </w:r>
      </w:hyperlink>
    </w:p>
    <w:bookmarkEnd w:id="100"/>
    <w:bookmarkStart w:id="101"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101"/>
    <w:bookmarkStart w:id="102" w:name="ref-coles2022fact"/>
    <w:p>
      <w:pPr>
        <w:pStyle w:val="Literaturverzeichnis"/>
      </w:pPr>
      <w:r>
        <w:rPr>
          <w:vertAlign w:val="superscript"/>
        </w:rPr>
        <w:t xml:space="preserve">*</w:t>
      </w:r>
      <w:r>
        <w:t xml:space="preserve"> </w:t>
      </w: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102"/>
    <w:bookmarkStart w:id="103"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103"/>
    <w:bookmarkStart w:id="104"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104"/>
    <w:bookmarkStart w:id="105"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105"/>
    <w:bookmarkStart w:id="106"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106"/>
    <w:bookmarkStart w:id="107" w:name="ref-cramer2004effect"/>
    <w:p>
      <w:pPr>
        <w:pStyle w:val="Literaturverzeichnis"/>
      </w:pPr>
      <w:r>
        <w:rPr>
          <w:vertAlign w:val="superscript"/>
        </w:rPr>
        <w:t xml:space="preserve">*</w:t>
      </w:r>
      <w:r>
        <w:t xml:space="preserve"> </w:t>
      </w:r>
      <w:r>
        <w:t xml:space="preserve">Cramer, D. (2004). Effect of the destructive disagreement belief on relationship satisfaction with a romantic partner or closest friend.</w:t>
      </w:r>
      <w:r>
        <w:t xml:space="preserve"> </w:t>
      </w:r>
      <w:r>
        <w:rPr>
          <w:iCs/>
          <w:i/>
        </w:rPr>
        <w:t xml:space="preserve">Psychology and Psychotherapy: Theory, Research and Practice</w:t>
      </w:r>
      <w:r>
        <w:t xml:space="preserve">,</w:t>
      </w:r>
      <w:r>
        <w:t xml:space="preserve"> </w:t>
      </w:r>
      <w:r>
        <w:rPr>
          <w:iCs/>
          <w:i/>
        </w:rPr>
        <w:t xml:space="preserve">77</w:t>
      </w:r>
      <w:r>
        <w:t xml:space="preserve">(1), 121–133.</w:t>
      </w:r>
    </w:p>
    <w:bookmarkEnd w:id="107"/>
    <w:bookmarkStart w:id="108" w:name="ref-cramer2005effect"/>
    <w:p>
      <w:pPr>
        <w:pStyle w:val="Literaturverzeichnis"/>
      </w:pPr>
      <w:r>
        <w:rPr>
          <w:vertAlign w:val="superscript"/>
        </w:rPr>
        <w:t xml:space="preserve">*</w:t>
      </w:r>
      <w:r>
        <w:t xml:space="preserve"> </w:t>
      </w:r>
      <w:r>
        <w:t xml:space="preserve">Cramer, D. (2005). Effect of the destructive disagreement belief on satisfaction with one’s closest friend.</w:t>
      </w:r>
      <w:r>
        <w:t xml:space="preserve"> </w:t>
      </w:r>
      <w:r>
        <w:rPr>
          <w:iCs/>
          <w:i/>
        </w:rPr>
        <w:t xml:space="preserve">The Journal of Psychology</w:t>
      </w:r>
      <w:r>
        <w:t xml:space="preserve">,</w:t>
      </w:r>
      <w:r>
        <w:t xml:space="preserve"> </w:t>
      </w:r>
      <w:r>
        <w:rPr>
          <w:iCs/>
          <w:i/>
        </w:rPr>
        <w:t xml:space="preserve">139</w:t>
      </w:r>
      <w:r>
        <w:t xml:space="preserve">(1), 57–66.</w:t>
      </w:r>
    </w:p>
    <w:bookmarkEnd w:id="108"/>
    <w:bookmarkStart w:id="109" w:name="ref-cramer1995effect"/>
    <w:p>
      <w:pPr>
        <w:pStyle w:val="Literaturverzeichnis"/>
      </w:pPr>
      <w:r>
        <w:rPr>
          <w:vertAlign w:val="superscript"/>
        </w:rPr>
        <w:t xml:space="preserve">*</w:t>
      </w:r>
      <w:r>
        <w:t xml:space="preserve"> </w:t>
      </w:r>
      <w:r>
        <w:t xml:space="preserve">Cramer, D., &amp; Buckland, N. (1995). Effect of rational and irrational statements and demand characteristics on task anxiety.</w:t>
      </w:r>
      <w:r>
        <w:t xml:space="preserve"> </w:t>
      </w:r>
      <w:r>
        <w:rPr>
          <w:iCs/>
          <w:i/>
        </w:rPr>
        <w:t xml:space="preserve">The Journal of Psychology</w:t>
      </w:r>
      <w:r>
        <w:t xml:space="preserve">,</w:t>
      </w:r>
      <w:r>
        <w:t xml:space="preserve"> </w:t>
      </w:r>
      <w:r>
        <w:rPr>
          <w:iCs/>
          <w:i/>
        </w:rPr>
        <w:t xml:space="preserve">129</w:t>
      </w:r>
      <w:r>
        <w:t xml:space="preserve">(3), 269–275.</w:t>
      </w:r>
    </w:p>
    <w:bookmarkEnd w:id="109"/>
    <w:bookmarkStart w:id="110"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110"/>
    <w:bookmarkStart w:id="111" w:name="ref-durgin2012social"/>
    <w:p>
      <w:pPr>
        <w:pStyle w:val="Literaturverzeichnis"/>
      </w:pPr>
      <w:r>
        <w:rPr>
          <w:vertAlign w:val="superscript"/>
        </w:rPr>
        <w:t xml:space="preserve">*</w:t>
      </w:r>
      <w:r>
        <w:t xml:space="preserve"> </w:t>
      </w:r>
      <w:r>
        <w:t xml:space="preserve">Durgin, F. H., Klein, B., Spiegel, A., Strawser, C. J., &amp; Williams, M. (2012). The social psychology of perception experiments: Hills, backpacks, glucose, and the problem of generalizability.</w:t>
      </w:r>
      <w:r>
        <w:t xml:space="preserve"> </w:t>
      </w:r>
      <w:r>
        <w:rPr>
          <w:iCs/>
          <w:i/>
        </w:rPr>
        <w:t xml:space="preserve">Journal of Experimental Psychology: Human Perception and Performance</w:t>
      </w:r>
      <w:r>
        <w:t xml:space="preserve">,</w:t>
      </w:r>
      <w:r>
        <w:t xml:space="preserve"> </w:t>
      </w:r>
      <w:r>
        <w:rPr>
          <w:iCs/>
          <w:i/>
        </w:rPr>
        <w:t xml:space="preserve">38</w:t>
      </w:r>
      <w:r>
        <w:t xml:space="preserve">(6), 1582.</w:t>
      </w:r>
    </w:p>
    <w:bookmarkEnd w:id="111"/>
    <w:bookmarkStart w:id="112"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112"/>
    <w:bookmarkStart w:id="113" w:name="ref-earn1979experimental"/>
    <w:p>
      <w:pPr>
        <w:pStyle w:val="Literaturverzeichnis"/>
      </w:pPr>
      <w:r>
        <w:rPr>
          <w:vertAlign w:val="superscript"/>
        </w:rPr>
        <w:t xml:space="preserve">*</w:t>
      </w:r>
      <w:r>
        <w:t xml:space="preserve"> </w:t>
      </w:r>
      <w:r>
        <w:t xml:space="preserve">Earn, B. M. (1979).</w:t>
      </w:r>
      <w:r>
        <w:t xml:space="preserve"> </w:t>
      </w:r>
      <w:r>
        <w:rPr>
          <w:iCs/>
          <w:i/>
        </w:rPr>
        <w:t xml:space="preserve">Experimental compensation, task interest and the cooperation with demand characteristics of volunteer and sign-up subjects.</w:t>
      </w:r>
      <w:r>
        <w:t xml:space="preserve"> </w:t>
      </w:r>
      <w:r>
        <w:t xml:space="preserve">(PhD thesis).</w:t>
      </w:r>
    </w:p>
    <w:bookmarkEnd w:id="113"/>
    <w:bookmarkStart w:id="114"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114"/>
    <w:bookmarkStart w:id="115"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115"/>
    <w:bookmarkStart w:id="116" w:name="ref-gelman2006difference"/>
    <w:p>
      <w:pPr>
        <w:pStyle w:val="Literaturverzeichnis"/>
      </w:pPr>
      <w:r>
        <w:t xml:space="preserve">Gelman, A., &amp; Stern, H. (2006). The difference between" significant" and" not significant" is not itself statistically significant.</w:t>
      </w:r>
      <w:r>
        <w:t xml:space="preserve"> </w:t>
      </w:r>
      <w:r>
        <w:rPr>
          <w:iCs/>
          <w:i/>
        </w:rPr>
        <w:t xml:space="preserve">The American Statistician</w:t>
      </w:r>
      <w:r>
        <w:t xml:space="preserve">, 328–331.</w:t>
      </w:r>
    </w:p>
    <w:bookmarkEnd w:id="116"/>
    <w:bookmarkStart w:id="117"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117"/>
    <w:bookmarkStart w:id="118"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118"/>
    <w:bookmarkStart w:id="119"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119"/>
    <w:bookmarkStart w:id="120" w:name="ref-hoogeveen2018did"/>
    <w:p>
      <w:pPr>
        <w:pStyle w:val="Literaturverzeichnis"/>
      </w:pPr>
      <w:r>
        <w:rPr>
          <w:vertAlign w:val="superscript"/>
        </w:rPr>
        <w:t xml:space="preserve">*</w:t>
      </w:r>
      <w:r>
        <w:t xml:space="preserve"> </w:t>
      </w:r>
      <w:r>
        <w:t xml:space="preserve">Hoogeveen, S., Schjoedt, U., &amp; Elk, M. van. (2018). Did i do that? Expectancy effects of brain stimulation on error-related negativity and sense of agency.</w:t>
      </w:r>
      <w:r>
        <w:t xml:space="preserve"> </w:t>
      </w:r>
      <w:r>
        <w:rPr>
          <w:iCs/>
          <w:i/>
        </w:rPr>
        <w:t xml:space="preserve">Journal of Cognitive Neuroscience</w:t>
      </w:r>
      <w:r>
        <w:t xml:space="preserve">,</w:t>
      </w:r>
      <w:r>
        <w:t xml:space="preserve"> </w:t>
      </w:r>
      <w:r>
        <w:rPr>
          <w:iCs/>
          <w:i/>
        </w:rPr>
        <w:t xml:space="preserve">30</w:t>
      </w:r>
      <w:r>
        <w:t xml:space="preserve">(11), 1720–1733.</w:t>
      </w:r>
    </w:p>
    <w:bookmarkEnd w:id="120"/>
    <w:bookmarkStart w:id="121" w:name="ref-isager2022student"/>
    <w:p>
      <w:pPr>
        <w:pStyle w:val="Literaturverzeichnis"/>
      </w:pPr>
      <w:r>
        <w:rPr>
          <w:vertAlign w:val="superscript"/>
        </w:rPr>
        <w:t xml:space="preserve">*</w:t>
      </w:r>
      <w:r>
        <w:t xml:space="preserve"> </w:t>
      </w:r>
      <w:r>
        <w:t xml:space="preserve">Isager, P. (2022).</w:t>
      </w:r>
      <w:r>
        <w:t xml:space="preserve"> </w:t>
      </w:r>
      <w:r>
        <w:rPr>
          <w:iCs/>
          <w:i/>
        </w:rPr>
        <w:t xml:space="preserve">Student replication of coles et al. 2022</w:t>
      </w:r>
      <w:r>
        <w:t xml:space="preserve">.</w:t>
      </w:r>
    </w:p>
    <w:bookmarkEnd w:id="121"/>
    <w:bookmarkStart w:id="122" w:name="ref-kanter2004experimental"/>
    <w:p>
      <w:pPr>
        <w:pStyle w:val="Literaturverzeichnis"/>
      </w:pPr>
      <w:r>
        <w:rPr>
          <w:vertAlign w:val="superscript"/>
        </w:rPr>
        <w:t xml:space="preserve">*</w:t>
      </w:r>
      <w:r>
        <w:t xml:space="preserve"> </w:t>
      </w:r>
      <w:r>
        <w:t xml:space="preserve">Kanter, J. W., Kohlenberg, R. J., &amp; Loftus, E. F. (2004). Experimental and psychotherapeutic demand characteristics and the cognitive therapy rationale: An analogue study.</w:t>
      </w:r>
      <w:r>
        <w:t xml:space="preserve"> </w:t>
      </w:r>
      <w:r>
        <w:rPr>
          <w:iCs/>
          <w:i/>
        </w:rPr>
        <w:t xml:space="preserve">Cognitive Therapy and Research</w:t>
      </w:r>
      <w:r>
        <w:t xml:space="preserve">,</w:t>
      </w:r>
      <w:r>
        <w:t xml:space="preserve"> </w:t>
      </w:r>
      <w:r>
        <w:rPr>
          <w:iCs/>
          <w:i/>
        </w:rPr>
        <w:t xml:space="preserve">28</w:t>
      </w:r>
      <w:r>
        <w:t xml:space="preserve">, 229–239.</w:t>
      </w:r>
    </w:p>
    <w:bookmarkEnd w:id="122"/>
    <w:bookmarkStart w:id="123" w:name="ref-kenealy1988validation"/>
    <w:p>
      <w:pPr>
        <w:pStyle w:val="Literaturverzeichnis"/>
      </w:pPr>
      <w:r>
        <w:rPr>
          <w:vertAlign w:val="superscript"/>
        </w:rPr>
        <w:t xml:space="preserve">*</w:t>
      </w:r>
      <w:r>
        <w:t xml:space="preserve"> </w:t>
      </w: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123"/>
    <w:bookmarkStart w:id="124" w:name="ref-kersbergen2019hypothesis"/>
    <w:p>
      <w:pPr>
        <w:pStyle w:val="Literaturverzeichnis"/>
      </w:pPr>
      <w:r>
        <w:rPr>
          <w:vertAlign w:val="superscript"/>
        </w:rPr>
        <w:t xml:space="preserve">*</w:t>
      </w:r>
      <w:r>
        <w:t xml:space="preserve"> </w:t>
      </w:r>
      <w:r>
        <w:t xml:space="preserve">Kersbergen, I., Whitelock, V., Haynes, A., Schroor, M., &amp; Robinson, E. (2019). Hypothesis awareness as a demand characteristic in laboratory-based eating behaviour research: An experimental study.</w:t>
      </w:r>
      <w:r>
        <w:t xml:space="preserve"> </w:t>
      </w:r>
      <w:r>
        <w:rPr>
          <w:iCs/>
          <w:i/>
        </w:rPr>
        <w:t xml:space="preserve">Appetite</w:t>
      </w:r>
      <w:r>
        <w:t xml:space="preserve">,</w:t>
      </w:r>
      <w:r>
        <w:t xml:space="preserve"> </w:t>
      </w:r>
      <w:r>
        <w:rPr>
          <w:iCs/>
          <w:i/>
        </w:rPr>
        <w:t xml:space="preserve">141</w:t>
      </w:r>
      <w:r>
        <w:t xml:space="preserve">, 104318.</w:t>
      </w:r>
    </w:p>
    <w:bookmarkEnd w:id="124"/>
    <w:bookmarkStart w:id="125"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125"/>
    <w:bookmarkStart w:id="126" w:name="ref-lamberth1971similarity"/>
    <w:p>
      <w:pPr>
        <w:pStyle w:val="Literaturverzeichnis"/>
      </w:pPr>
      <w:r>
        <w:rPr>
          <w:vertAlign w:val="superscript"/>
        </w:rPr>
        <w:t xml:space="preserve">*</w:t>
      </w:r>
      <w:r>
        <w:t xml:space="preserve"> </w:t>
      </w:r>
      <w:r>
        <w:t xml:space="preserve">Lamberth, J., &amp; Byrne, D. (1971). Similarity-attraction or demand characteristics.</w:t>
      </w:r>
      <w:r>
        <w:t xml:space="preserve"> </w:t>
      </w:r>
      <w:r>
        <w:rPr>
          <w:iCs/>
          <w:i/>
        </w:rPr>
        <w:t xml:space="preserve">Personality</w:t>
      </w:r>
      <w:r>
        <w:t xml:space="preserve">,</w:t>
      </w:r>
      <w:r>
        <w:t xml:space="preserve"> </w:t>
      </w:r>
      <w:r>
        <w:rPr>
          <w:iCs/>
          <w:i/>
        </w:rPr>
        <w:t xml:space="preserve">2</w:t>
      </w:r>
      <w:r>
        <w:t xml:space="preserve">(2), 77–91.</w:t>
      </w:r>
    </w:p>
    <w:bookmarkEnd w:id="126"/>
    <w:bookmarkStart w:id="127" w:name="ref-lana1971subject"/>
    <w:p>
      <w:pPr>
        <w:pStyle w:val="Literaturverzeichnis"/>
      </w:pPr>
      <w:r>
        <w:rPr>
          <w:vertAlign w:val="superscript"/>
        </w:rPr>
        <w:t xml:space="preserve">*</w:t>
      </w:r>
      <w:r>
        <w:t xml:space="preserve"> </w:t>
      </w:r>
      <w:r>
        <w:t xml:space="preserve">Lana, R. E., &amp; Menapace, R. H. (1971). Subject commitment and demand characteristics in attitude change.</w:t>
      </w:r>
      <w:r>
        <w:t xml:space="preserve"> </w:t>
      </w:r>
      <w:r>
        <w:rPr>
          <w:iCs/>
          <w:i/>
        </w:rPr>
        <w:t xml:space="preserve">Journal of Personality and Social Psychology</w:t>
      </w:r>
      <w:r>
        <w:t xml:space="preserve">,</w:t>
      </w:r>
      <w:r>
        <w:t xml:space="preserve"> </w:t>
      </w:r>
      <w:r>
        <w:rPr>
          <w:iCs/>
          <w:i/>
        </w:rPr>
        <w:t xml:space="preserve">20</w:t>
      </w:r>
      <w:r>
        <w:t xml:space="preserve">(2), 136.</w:t>
      </w:r>
    </w:p>
    <w:bookmarkEnd w:id="127"/>
    <w:bookmarkStart w:id="128" w:name="ref-larsen2011further"/>
    <w:p>
      <w:pPr>
        <w:pStyle w:val="Literaturverzeichnis"/>
      </w:pPr>
      <w:r>
        <w:rPr>
          <w:vertAlign w:val="superscript"/>
        </w:rPr>
        <w:t xml:space="preserve">*</w:t>
      </w:r>
      <w:r>
        <w:t xml:space="preserve"> </w:t>
      </w:r>
      <w:r>
        <w:t xml:space="preserve">Larsen, J. T., &amp; McGraw, A. P. (2011). Further evidence for mixed emotions.</w:t>
      </w:r>
      <w:r>
        <w:t xml:space="preserve"> </w:t>
      </w:r>
      <w:r>
        <w:rPr>
          <w:iCs/>
          <w:i/>
        </w:rPr>
        <w:t xml:space="preserve">Journal of Personality and Social Psychology</w:t>
      </w:r>
      <w:r>
        <w:t xml:space="preserve">,</w:t>
      </w:r>
      <w:r>
        <w:t xml:space="preserve"> </w:t>
      </w:r>
      <w:r>
        <w:rPr>
          <w:iCs/>
          <w:i/>
        </w:rPr>
        <w:t xml:space="preserve">100</w:t>
      </w:r>
      <w:r>
        <w:t xml:space="preserve">(6), 1095–1110.</w:t>
      </w:r>
    </w:p>
    <w:bookmarkEnd w:id="128"/>
    <w:bookmarkStart w:id="130" w:name="ref-R-emmeans"/>
    <w:p>
      <w:pPr>
        <w:pStyle w:val="Literaturverzeichnis"/>
      </w:pPr>
      <w:r>
        <w:t xml:space="preserve">Lenth, R. V. (2022).</w:t>
      </w:r>
      <w:r>
        <w:t xml:space="preserve"> </w:t>
      </w:r>
      <w:r>
        <w:rPr>
          <w:iCs/>
          <w:i/>
        </w:rPr>
        <w:t xml:space="preserve">Emmeans: Estimated marginal means, aka least-squares means</w:t>
      </w:r>
      <w:r>
        <w:t xml:space="preserve">. Retrieved from</w:t>
      </w:r>
      <w:r>
        <w:t xml:space="preserve"> </w:t>
      </w:r>
      <w:hyperlink r:id="rId129">
        <w:r>
          <w:rPr>
            <w:rStyle w:val="Hyperlink"/>
          </w:rPr>
          <w:t xml:space="preserve">https://CRAN.R-project.org/package=emmeans</w:t>
        </w:r>
      </w:hyperlink>
    </w:p>
    <w:bookmarkEnd w:id="130"/>
    <w:bookmarkStart w:id="131"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131"/>
    <w:bookmarkStart w:id="132" w:name="ref-martin2018attention"/>
    <w:p>
      <w:pPr>
        <w:pStyle w:val="Literaturverzeichnis"/>
      </w:pPr>
      <w:r>
        <w:rPr>
          <w:vertAlign w:val="superscript"/>
        </w:rPr>
        <w:t xml:space="preserve">*</w:t>
      </w:r>
      <w:r>
        <w:t xml:space="preserve"> </w:t>
      </w:r>
      <w:r>
        <w:t xml:space="preserve">Martin, J.-R., Sackur, J., &amp; Dienes, Z. (2018). Attention or instruction: Do sustained attentional abilities really differ between high and low hypnotisable persons?</w:t>
      </w:r>
      <w:r>
        <w:t xml:space="preserve"> </w:t>
      </w:r>
      <w:r>
        <w:rPr>
          <w:iCs/>
          <w:i/>
        </w:rPr>
        <w:t xml:space="preserve">Psychological Research</w:t>
      </w:r>
      <w:r>
        <w:t xml:space="preserve">,</w:t>
      </w:r>
      <w:r>
        <w:t xml:space="preserve"> </w:t>
      </w:r>
      <w:r>
        <w:rPr>
          <w:iCs/>
          <w:i/>
        </w:rPr>
        <w:t xml:space="preserve">82</w:t>
      </w:r>
      <w:r>
        <w:t xml:space="preserve">(4), 700–707.</w:t>
      </w:r>
    </w:p>
    <w:bookmarkEnd w:id="132"/>
    <w:bookmarkStart w:id="133"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133"/>
    <w:bookmarkStart w:id="134" w:name="ref-mcginley1975subject"/>
    <w:p>
      <w:pPr>
        <w:pStyle w:val="Literaturverzeichnis"/>
      </w:pPr>
      <w:r>
        <w:rPr>
          <w:vertAlign w:val="superscript"/>
        </w:rPr>
        <w:t xml:space="preserve">*</w:t>
      </w:r>
      <w:r>
        <w:t xml:space="preserve"> </w:t>
      </w:r>
      <w:r>
        <w:t xml:space="preserve">McGinley, H., Kaplan, M., &amp; Kinsey, T. (1975). Subject effects and demand characteristics.</w:t>
      </w:r>
      <w:r>
        <w:t xml:space="preserve"> </w:t>
      </w:r>
      <w:r>
        <w:rPr>
          <w:iCs/>
          <w:i/>
        </w:rPr>
        <w:t xml:space="preserve">Psychological Reports</w:t>
      </w:r>
      <w:r>
        <w:t xml:space="preserve">,</w:t>
      </w:r>
      <w:r>
        <w:t xml:space="preserve"> </w:t>
      </w:r>
      <w:r>
        <w:rPr>
          <w:iCs/>
          <w:i/>
        </w:rPr>
        <w:t xml:space="preserve">36</w:t>
      </w:r>
      <w:r>
        <w:t xml:space="preserve">(1), 267–278.</w:t>
      </w:r>
    </w:p>
    <w:bookmarkEnd w:id="134"/>
    <w:bookmarkStart w:id="135" w:name="ref-mcglynn1972experimental"/>
    <w:p>
      <w:pPr>
        <w:pStyle w:val="Literaturverzeichnis"/>
      </w:pPr>
      <w:r>
        <w:rPr>
          <w:vertAlign w:val="superscript"/>
        </w:rPr>
        <w:t xml:space="preserve">*</w:t>
      </w:r>
      <w:r>
        <w:t xml:space="preserve"> </w:t>
      </w:r>
      <w:r>
        <w:t xml:space="preserve">McGlynn, F. D., Gaynor, R., &amp; Puhr, J. (1972). Experimental desensitization of snake-avoidance after an instructional manipulation.</w:t>
      </w:r>
      <w:r>
        <w:t xml:space="preserve"> </w:t>
      </w:r>
      <w:r>
        <w:rPr>
          <w:iCs/>
          <w:i/>
        </w:rPr>
        <w:t xml:space="preserve">Journal of Clinical Psychology</w:t>
      </w:r>
      <w:r>
        <w:t xml:space="preserve">.</w:t>
      </w:r>
    </w:p>
    <w:bookmarkEnd w:id="135"/>
    <w:bookmarkStart w:id="136" w:name="ref-mummolo2019demand"/>
    <w:p>
      <w:pPr>
        <w:pStyle w:val="Literaturverzeichnis"/>
      </w:pPr>
      <w:r>
        <w:rPr>
          <w:vertAlign w:val="superscript"/>
        </w:rPr>
        <w:t xml:space="preserve">*</w:t>
      </w:r>
      <w:r>
        <w:t xml:space="preserve"> </w:t>
      </w: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36"/>
    <w:bookmarkStart w:id="137"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37"/>
    <w:bookmarkStart w:id="138"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38"/>
    <w:bookmarkStart w:id="139"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39"/>
    <w:bookmarkStart w:id="140" w:name="ref-orne1964contribution"/>
    <w:p>
      <w:pPr>
        <w:pStyle w:val="Literaturverzeichnis"/>
      </w:pPr>
      <w:r>
        <w:rPr>
          <w:vertAlign w:val="superscript"/>
        </w:rPr>
        <w:t xml:space="preserve">*</w:t>
      </w:r>
      <w:r>
        <w:t xml:space="preserve"> </w:t>
      </w:r>
      <w:r>
        <w:t xml:space="preserve">Orne, M. T., &amp; Scheibe, K. E. (1964). The contribution of nondeprivation factors in the production of sensory deprivation effects: The psychology of the" panic button.".</w:t>
      </w:r>
      <w:r>
        <w:t xml:space="preserve"> </w:t>
      </w:r>
      <w:r>
        <w:rPr>
          <w:iCs/>
          <w:i/>
        </w:rPr>
        <w:t xml:space="preserve">The Journal of Abnormal and Social Psychology</w:t>
      </w:r>
      <w:r>
        <w:t xml:space="preserve">,</w:t>
      </w:r>
      <w:r>
        <w:t xml:space="preserve"> </w:t>
      </w:r>
      <w:r>
        <w:rPr>
          <w:iCs/>
          <w:i/>
        </w:rPr>
        <w:t xml:space="preserve">68</w:t>
      </w:r>
      <w:r>
        <w:t xml:space="preserve">(1), 3.</w:t>
      </w:r>
    </w:p>
    <w:bookmarkEnd w:id="140"/>
    <w:bookmarkStart w:id="141" w:name="ref-perry1978demand"/>
    <w:p>
      <w:pPr>
        <w:pStyle w:val="Literaturverzeichnis"/>
      </w:pPr>
      <w:r>
        <w:rPr>
          <w:vertAlign w:val="superscript"/>
        </w:rPr>
        <w:t xml:space="preserve">*</w:t>
      </w:r>
      <w:r>
        <w:t xml:space="preserve"> </w:t>
      </w:r>
      <w:r>
        <w:t xml:space="preserve">Perry, D. G., Roots, R. D., &amp; Perry, L. C. (1978). Demand awareness and participant willingness as determinants of aggressive response to film violence.</w:t>
      </w:r>
      <w:r>
        <w:t xml:space="preserve"> </w:t>
      </w:r>
      <w:r>
        <w:rPr>
          <w:iCs/>
          <w:i/>
        </w:rPr>
        <w:t xml:space="preserve">The Journal of Social Psychology</w:t>
      </w:r>
      <w:r>
        <w:t xml:space="preserve">,</w:t>
      </w:r>
      <w:r>
        <w:t xml:space="preserve"> </w:t>
      </w:r>
      <w:r>
        <w:rPr>
          <w:iCs/>
          <w:i/>
        </w:rPr>
        <w:t xml:space="preserve">105</w:t>
      </w:r>
      <w:r>
        <w:t xml:space="preserve">(2), 265–275.</w:t>
      </w:r>
    </w:p>
    <w:bookmarkEnd w:id="141"/>
    <w:bookmarkStart w:id="142" w:name="ref-polivy1980laboratory"/>
    <w:p>
      <w:pPr>
        <w:pStyle w:val="Literaturverzeichnis"/>
      </w:pPr>
      <w:r>
        <w:rPr>
          <w:vertAlign w:val="superscript"/>
        </w:rPr>
        <w:t xml:space="preserve">*</w:t>
      </w:r>
      <w:r>
        <w:t xml:space="preserve"> </w:t>
      </w:r>
      <w:r>
        <w:t xml:space="preserve">Polivy, J., &amp; Doyle, C. (1980). Laboratory induction of mood states through the reading of self-referent mood statements: Affective changes or demand characteristics?</w:t>
      </w:r>
      <w:r>
        <w:t xml:space="preserve"> </w:t>
      </w:r>
      <w:r>
        <w:rPr>
          <w:iCs/>
          <w:i/>
        </w:rPr>
        <w:t xml:space="preserve">Journal of Abnormal Psychology</w:t>
      </w:r>
      <w:r>
        <w:t xml:space="preserve">,</w:t>
      </w:r>
      <w:r>
        <w:t xml:space="preserve"> </w:t>
      </w:r>
      <w:r>
        <w:rPr>
          <w:iCs/>
          <w:i/>
        </w:rPr>
        <w:t xml:space="preserve">89</w:t>
      </w:r>
      <w:r>
        <w:t xml:space="preserve">(2), 286.</w:t>
      </w:r>
    </w:p>
    <w:bookmarkEnd w:id="142"/>
    <w:bookmarkStart w:id="144" w:name="ref-R-base"/>
    <w:p>
      <w:pPr>
        <w:pStyle w:val="Literaturverzeichnis"/>
      </w:pPr>
      <w:r>
        <w:t xml:space="preserve">R Core Team. (2021).</w:t>
      </w:r>
      <w:r>
        <w:t xml:space="preserve"> </w:t>
      </w:r>
      <w:r>
        <w:rPr>
          <w:iCs/>
          <w:i/>
        </w:rPr>
        <w:t xml:space="preserve">R: A language and environment for statistical computing</w:t>
      </w:r>
      <w:r>
        <w:t xml:space="preserve">. Vienna, Austria: R Foundation for Statistical Computing. Retrieved from</w:t>
      </w:r>
      <w:r>
        <w:t xml:space="preserve"> </w:t>
      </w:r>
      <w:hyperlink r:id="rId143">
        <w:r>
          <w:rPr>
            <w:rStyle w:val="Hyperlink"/>
          </w:rPr>
          <w:t xml:space="preserve">https://www.R-project.org/</w:t>
        </w:r>
      </w:hyperlink>
    </w:p>
    <w:bookmarkEnd w:id="144"/>
    <w:bookmarkStart w:id="145"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45"/>
    <w:bookmarkStart w:id="146"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46"/>
    <w:bookmarkStart w:id="147" w:name="ref-rose2014choice"/>
    <w:p>
      <w:pPr>
        <w:pStyle w:val="Literaturverzeichnis"/>
      </w:pPr>
      <w:r>
        <w:rPr>
          <w:vertAlign w:val="superscript"/>
        </w:rPr>
        <w:t xml:space="preserve">*</w:t>
      </w:r>
      <w:r>
        <w:t xml:space="preserve"> </w:t>
      </w:r>
      <w:r>
        <w:t xml:space="preserve">Rose, J. P., Geers, A. L., Fowler, S. L., &amp; Rasinski, H. M. (2014). Choice-making, expectations, and treatment positivity: How and when choosing shapes aversive experiences.</w:t>
      </w:r>
      <w:r>
        <w:t xml:space="preserve"> </w:t>
      </w:r>
      <w:r>
        <w:rPr>
          <w:iCs/>
          <w:i/>
        </w:rPr>
        <w:t xml:space="preserve">Journal of Behavioral Decision Making</w:t>
      </w:r>
      <w:r>
        <w:t xml:space="preserve">,</w:t>
      </w:r>
      <w:r>
        <w:t xml:space="preserve"> </w:t>
      </w:r>
      <w:r>
        <w:rPr>
          <w:iCs/>
          <w:i/>
        </w:rPr>
        <w:t xml:space="preserve">27</w:t>
      </w:r>
      <w:r>
        <w:t xml:space="preserve">(1), 1–10.</w:t>
      </w:r>
    </w:p>
    <w:bookmarkEnd w:id="147"/>
    <w:bookmarkStart w:id="148"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48"/>
    <w:bookmarkStart w:id="149"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49"/>
    <w:bookmarkStart w:id="150"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50"/>
    <w:bookmarkStart w:id="151"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51"/>
    <w:bookmarkStart w:id="152" w:name="ref-schauer1969demand"/>
    <w:p>
      <w:pPr>
        <w:pStyle w:val="Literaturverzeichnis"/>
      </w:pPr>
      <w:r>
        <w:rPr>
          <w:vertAlign w:val="superscript"/>
        </w:rPr>
        <w:t xml:space="preserve">*</w:t>
      </w:r>
      <w:r>
        <w:t xml:space="preserve"> </w:t>
      </w:r>
      <w:r>
        <w:t xml:space="preserve">Schauer, E. (1969).</w:t>
      </w:r>
      <w:r>
        <w:t xml:space="preserve"> </w:t>
      </w:r>
      <w:r>
        <w:rPr>
          <w:iCs/>
          <w:i/>
        </w:rPr>
        <w:t xml:space="preserve">Demand characteristics in a quasi-psychophysical experiment.</w:t>
      </w:r>
      <w:r>
        <w:t xml:space="preserve"> </w:t>
      </w:r>
      <w:r>
        <w:t xml:space="preserve">(PhD thesis).</w:t>
      </w:r>
    </w:p>
    <w:bookmarkEnd w:id="152"/>
    <w:bookmarkStart w:id="153"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53"/>
    <w:bookmarkStart w:id="154" w:name="ref-siegel1982influence"/>
    <w:p>
      <w:pPr>
        <w:pStyle w:val="Literaturverzeichnis"/>
      </w:pPr>
      <w:r>
        <w:rPr>
          <w:vertAlign w:val="superscript"/>
        </w:rPr>
        <w:t xml:space="preserve">*</w:t>
      </w:r>
      <w:r>
        <w:t xml:space="preserve"> </w:t>
      </w:r>
      <w:r>
        <w:t xml:space="preserve">Siegel, W. E., &amp; Hagen, R. L. (1982). The influence of demand characteristics and expectancies in the measurement of salivary response.</w:t>
      </w:r>
      <w:r>
        <w:t xml:space="preserve"> </w:t>
      </w:r>
      <w:r>
        <w:rPr>
          <w:iCs/>
          <w:i/>
        </w:rPr>
        <w:t xml:space="preserve">Journal of Behavioral Assessment</w:t>
      </w:r>
      <w:r>
        <w:t xml:space="preserve">,</w:t>
      </w:r>
      <w:r>
        <w:t xml:space="preserve"> </w:t>
      </w:r>
      <w:r>
        <w:rPr>
          <w:iCs/>
          <w:i/>
        </w:rPr>
        <w:t xml:space="preserve">4</w:t>
      </w:r>
      <w:r>
        <w:t xml:space="preserve">, 179–185.</w:t>
      </w:r>
    </w:p>
    <w:bookmarkEnd w:id="154"/>
    <w:bookmarkStart w:id="155"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55"/>
    <w:bookmarkStart w:id="156" w:name="ref-simonsohn2022above"/>
    <w:p>
      <w:pPr>
        <w:pStyle w:val="Literaturverzeichnis"/>
      </w:pPr>
      <w:r>
        <w:t xml:space="preserve">Simonsohn, U., Simmons, J., &amp; Nelson, L. D. (2022). Above averaging in literature reviews.</w:t>
      </w:r>
      <w:r>
        <w:t xml:space="preserve"> </w:t>
      </w:r>
      <w:r>
        <w:rPr>
          <w:iCs/>
          <w:i/>
        </w:rPr>
        <w:t xml:space="preserve">Nature Reviews Psychology</w:t>
      </w:r>
      <w:r>
        <w:t xml:space="preserve">,</w:t>
      </w:r>
      <w:r>
        <w:t xml:space="preserve"> </w:t>
      </w:r>
      <w:r>
        <w:rPr>
          <w:iCs/>
          <w:i/>
        </w:rPr>
        <w:t xml:space="preserve">1</w:t>
      </w:r>
      <w:r>
        <w:t xml:space="preserve">(10), 551–552.</w:t>
      </w:r>
    </w:p>
    <w:bookmarkEnd w:id="156"/>
    <w:bookmarkStart w:id="157" w:name="ref-smith1986influence"/>
    <w:p>
      <w:pPr>
        <w:pStyle w:val="Literaturverzeichnis"/>
      </w:pPr>
      <w:r>
        <w:rPr>
          <w:vertAlign w:val="superscript"/>
        </w:rPr>
        <w:t xml:space="preserve">*</w:t>
      </w:r>
      <w:r>
        <w:t xml:space="preserve"> </w:t>
      </w:r>
      <w:r>
        <w:t xml:space="preserve">Smith, J. M., Bell, P. A., &amp; Fusco, M. E. (1986). The influence of color and demand characteristics on muscle strength and affective ratings of the environment.</w:t>
      </w:r>
      <w:r>
        <w:t xml:space="preserve"> </w:t>
      </w:r>
      <w:r>
        <w:rPr>
          <w:iCs/>
          <w:i/>
        </w:rPr>
        <w:t xml:space="preserve">The Journal of General Psychology</w:t>
      </w:r>
      <w:r>
        <w:t xml:space="preserve">,</w:t>
      </w:r>
      <w:r>
        <w:t xml:space="preserve"> </w:t>
      </w:r>
      <w:r>
        <w:rPr>
          <w:iCs/>
          <w:i/>
        </w:rPr>
        <w:t xml:space="preserve">113</w:t>
      </w:r>
      <w:r>
        <w:t xml:space="preserve">(3), 289–297.</w:t>
      </w:r>
    </w:p>
    <w:bookmarkEnd w:id="157"/>
    <w:bookmarkStart w:id="158" w:name="ref-standing2008demonstration"/>
    <w:p>
      <w:pPr>
        <w:pStyle w:val="Literaturverzeichnis"/>
      </w:pPr>
      <w:r>
        <w:rPr>
          <w:vertAlign w:val="superscript"/>
        </w:rPr>
        <w:t xml:space="preserve">*</w:t>
      </w:r>
      <w:r>
        <w:t xml:space="preserve"> </w:t>
      </w: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58"/>
    <w:bookmarkStart w:id="159"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59"/>
    <w:bookmarkStart w:id="160" w:name="ref-stewart2004placebo"/>
    <w:p>
      <w:pPr>
        <w:pStyle w:val="Literaturverzeichnis"/>
      </w:pPr>
      <w:r>
        <w:t xml:space="preserve">Stewart-Williams, S., &amp; Podd, J. (2004). The placebo effect: Dissolving the expectancy versus conditioning debate.</w:t>
      </w:r>
      <w:r>
        <w:t xml:space="preserve"> </w:t>
      </w:r>
      <w:r>
        <w:rPr>
          <w:iCs/>
          <w:i/>
        </w:rPr>
        <w:t xml:space="preserve">Psychological Bulletin</w:t>
      </w:r>
      <w:r>
        <w:t xml:space="preserve">,</w:t>
      </w:r>
      <w:r>
        <w:t xml:space="preserve"> </w:t>
      </w:r>
      <w:r>
        <w:rPr>
          <w:iCs/>
          <w:i/>
        </w:rPr>
        <w:t xml:space="preserve">130</w:t>
      </w:r>
      <w:r>
        <w:t xml:space="preserve">(2), 324–340.</w:t>
      </w:r>
    </w:p>
    <w:bookmarkEnd w:id="160"/>
    <w:bookmarkStart w:id="161"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61"/>
    <w:bookmarkStart w:id="162" w:name="ref-terhune2006induction"/>
    <w:p>
      <w:pPr>
        <w:pStyle w:val="Literaturverzeichnis"/>
      </w:pPr>
      <w:r>
        <w:rPr>
          <w:vertAlign w:val="superscript"/>
        </w:rPr>
        <w:t xml:space="preserve">*</w:t>
      </w:r>
      <w:r>
        <w:t xml:space="preserve"> </w:t>
      </w:r>
      <w:r>
        <w:t xml:space="preserve">Terhune, D. B., &amp; Smith, M. D. (2006). The induction of anomalous experiences in a mirror-gazing facility: Suggestion, cognitive perceptual personality traits and phenomenological state effects.</w:t>
      </w:r>
      <w:r>
        <w:t xml:space="preserve"> </w:t>
      </w:r>
      <w:r>
        <w:rPr>
          <w:iCs/>
          <w:i/>
        </w:rPr>
        <w:t xml:space="preserve">The Journal of Nervous and Mental Disease</w:t>
      </w:r>
      <w:r>
        <w:t xml:space="preserve">,</w:t>
      </w:r>
      <w:r>
        <w:t xml:space="preserve"> </w:t>
      </w:r>
      <w:r>
        <w:rPr>
          <w:iCs/>
          <w:i/>
        </w:rPr>
        <w:t xml:space="preserve">194</w:t>
      </w:r>
      <w:r>
        <w:t xml:space="preserve">(6), 415–421.</w:t>
      </w:r>
    </w:p>
    <w:bookmarkEnd w:id="162"/>
    <w:bookmarkStart w:id="163" w:name="ref-veitch1991demand"/>
    <w:p>
      <w:pPr>
        <w:pStyle w:val="Literaturverzeichnis"/>
      </w:pPr>
      <w:r>
        <w:rPr>
          <w:vertAlign w:val="superscript"/>
        </w:rPr>
        <w:t xml:space="preserve">*</w:t>
      </w:r>
      <w:r>
        <w:t xml:space="preserve"> </w:t>
      </w:r>
      <w:r>
        <w:t xml:space="preserve">Veitch, J. A., Gifford, R., &amp; Hine, D. W. (1991). Demand characteristics and full spectrum lighting effects on performance and mood.</w:t>
      </w:r>
      <w:r>
        <w:t xml:space="preserve"> </w:t>
      </w:r>
      <w:r>
        <w:rPr>
          <w:iCs/>
          <w:i/>
        </w:rPr>
        <w:t xml:space="preserve">Journal of Environmental Psychology</w:t>
      </w:r>
      <w:r>
        <w:t xml:space="preserve">,</w:t>
      </w:r>
      <w:r>
        <w:t xml:space="preserve"> </w:t>
      </w:r>
      <w:r>
        <w:rPr>
          <w:iCs/>
          <w:i/>
        </w:rPr>
        <w:t xml:space="preserve">11</w:t>
      </w:r>
      <w:r>
        <w:t xml:space="preserve">(1), 87–95.</w:t>
      </w:r>
    </w:p>
    <w:bookmarkEnd w:id="163"/>
    <w:bookmarkStart w:id="164" w:name="ref-verpaelst2007demand"/>
    <w:p>
      <w:pPr>
        <w:pStyle w:val="Literaturverzeichnis"/>
      </w:pPr>
      <w:r>
        <w:rPr>
          <w:vertAlign w:val="superscript"/>
        </w:rPr>
        <w:t xml:space="preserve">*</w:t>
      </w:r>
      <w:r>
        <w:t xml:space="preserve"> </w:t>
      </w:r>
      <w:r>
        <w:t xml:space="preserve">Verpaelst, C. C., &amp; Standing, L. G. (2007). Demand characteristics of music affect performance on the wonderlic personnel test of intelligence.</w:t>
      </w:r>
      <w:r>
        <w:t xml:space="preserve"> </w:t>
      </w:r>
      <w:r>
        <w:rPr>
          <w:iCs/>
          <w:i/>
        </w:rPr>
        <w:t xml:space="preserve">Perceptual and Motor Skills</w:t>
      </w:r>
      <w:r>
        <w:t xml:space="preserve">,</w:t>
      </w:r>
      <w:r>
        <w:t xml:space="preserve"> </w:t>
      </w:r>
      <w:r>
        <w:rPr>
          <w:iCs/>
          <w:i/>
        </w:rPr>
        <w:t xml:space="preserve">104</w:t>
      </w:r>
      <w:r>
        <w:t xml:space="preserve">(1), 153–154.</w:t>
      </w:r>
    </w:p>
    <w:bookmarkEnd w:id="164"/>
    <w:bookmarkStart w:id="16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65"/>
    <w:bookmarkStart w:id="166" w:name="ref-R-metafor"/>
    <w:p>
      <w:pPr>
        <w:pStyle w:val="Literaturverzeichnis"/>
      </w:pPr>
      <w:r>
        <w:t xml:space="preserve">Viechtbauer, W. (2010). Conducting meta-analyses in</w:t>
      </w:r>
      <w:r>
        <w:t xml:space="preserve"> </w:t>
      </w:r>
      <w:r>
        <w:t xml:space="preserve">R</w:t>
      </w:r>
      <w:r>
        <w:t xml:space="preserve"> </w:t>
      </w:r>
      <w:r>
        <w:t xml:space="preserve">with the</w:t>
      </w:r>
      <w:r>
        <w:t xml:space="preserve"> </w:t>
      </w:r>
      <w:r>
        <w:t xml:space="preserve">metafor</w:t>
      </w:r>
      <w:r>
        <w:t xml:space="preserve"> </w:t>
      </w:r>
      <w:r>
        <w:t xml:space="preserve">package.</w:t>
      </w:r>
      <w:r>
        <w:t xml:space="preserve"> </w:t>
      </w:r>
      <w:r>
        <w:rPr>
          <w:iCs/>
          <w:i/>
        </w:rPr>
        <w:t xml:space="preserve">Journal of Statistical Software</w:t>
      </w:r>
      <w:r>
        <w:t xml:space="preserve">,</w:t>
      </w:r>
      <w:r>
        <w:t xml:space="preserve"> </w:t>
      </w:r>
      <w:r>
        <w:rPr>
          <w:iCs/>
          <w:i/>
        </w:rPr>
        <w:t xml:space="preserve">36</w:t>
      </w:r>
      <w:r>
        <w:t xml:space="preserve">(3), 1–48.</w:t>
      </w:r>
    </w:p>
    <w:bookmarkEnd w:id="166"/>
    <w:bookmarkStart w:id="167"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67"/>
    <w:bookmarkStart w:id="168"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68"/>
    <w:bookmarkEnd w:id="169"/>
    <w:bookmarkEnd w:id="170"/>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Although outside the scope of our review, it is worth noting that some theorists believe that motivation-based mechanisms can produce demand effects even when participants do not have the opportunity to adjust their responses. For example,</w:t>
      </w:r>
      <w:r>
        <w:t xml:space="preserve"> </w:t>
      </w:r>
      <w:r>
        <w:t xml:space="preserve">Corneille and Lush (2022)</w:t>
      </w:r>
      <w:r>
        <w:t xml:space="preserve"> </w:t>
      </w:r>
      <w:r>
        <w:t xml:space="preserve">suggested that motivated participants can exhibit motivation-driven changes in responses by imagining the hypothesized effect. They also raise the possibility that participants can sometimes be unaware that they produced the effect via imagination, an idea referred to as phenomenological control.</w:t>
      </w:r>
    </w:p>
  </w:footnote>
  <w:footnote w:id="32">
    <w:p>
      <w:pPr>
        <w:pStyle w:val="Funotentext"/>
      </w:pPr>
      <w:r>
        <w:rPr>
          <w:rStyle w:val="Funotenzeichen"/>
        </w:rPr>
        <w:footnoteRef/>
      </w:r>
      <w:r>
        <w:t xml:space="preserve"> </w:t>
      </w: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footnote>
  <w:footnote w:id="36">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w:t>
      </w:r>
    </w:p>
  </w:footnote>
  <w:footnote w:id="64">
    <w:p>
      <w:pPr>
        <w:pStyle w:val="Funotentext"/>
      </w:pPr>
      <w:r>
        <w:rPr>
          <w:rStyle w:val="Funotenzeichen"/>
        </w:rPr>
        <w:footnoteRef/>
      </w:r>
      <w:r>
        <w:t xml:space="preserve"> </w:t>
      </w:r>
      <w:r>
        <w:t xml:space="preserve">For Study 2, we did not create a vignette for</w:t>
      </w:r>
      <w:r>
        <w:t xml:space="preserve"> </w:t>
      </w:r>
      <w:r>
        <w:t xml:space="preserve">Larsen and McGraw (2011)</w:t>
      </w:r>
      <w:r>
        <w:t xml:space="preserve"> </w:t>
      </w:r>
      <w:r>
        <w:t xml:space="preserve">because this record was identified after the study was complete.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DEMAND CHARACTERISTICS META-ANALYSIS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5" Target="media/rId25.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1" Target="media/rId41.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129" Target="https://CRAN.R-project.org/package=emmeans" TargetMode="External" /><Relationship Type="http://schemas.openxmlformats.org/officeDocument/2006/relationships/hyperlink" Id="rId99" Target="https://CRAN.R-project.org/package=weightr" TargetMode="External" /><Relationship Type="http://schemas.openxmlformats.org/officeDocument/2006/relationships/hyperlink" Id="rId91"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4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29" Target="https://CRAN.R-project.org/package=emmeans" TargetMode="External" /><Relationship Type="http://schemas.openxmlformats.org/officeDocument/2006/relationships/hyperlink" Id="rId99" Target="https://CRAN.R-project.org/package=weightr" TargetMode="External" /><Relationship Type="http://schemas.openxmlformats.org/officeDocument/2006/relationships/hyperlink" Id="rId91" Target="https://github.com/crsh/papaja" TargetMode="External" /><Relationship Type="http://schemas.openxmlformats.org/officeDocument/2006/relationships/hyperlink" Id="rId20" Target="https://osf.io/3hkre/?view_only=2dc92af53f194e5eab0d7aecafaf01c2" TargetMode="External" /><Relationship Type="http://schemas.openxmlformats.org/officeDocument/2006/relationships/hyperlink" Id="rId14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have we learned about demand characteristics? A meta-analytic review of experimental manipulation of explicit hypothesis cues</dc:title>
  <dc:creator/>
  <cp:keywords/>
  <dcterms:created xsi:type="dcterms:W3CDTF">2024-04-25T00:41:16Z</dcterms:created>
  <dcterms:modified xsi:type="dcterms:W3CDTF">2024-04-25T00:41:16Z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researcher’s hypothesis (i.e., demand characteristics). In a meta-analysis, we combined evidence from 40 studies that experimentally tested this concern by manipulating the hypothesis explicitly communicated to participants. Results suggested that explicit information about the researcher’s hypothesis produce biases in participants’ responses that can be potentially large – but are troublingly unreliable and difficult to explain.All materials, data (raw and processed), code, and pre-registrations (for Studies 1 and 2)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C:\Users\NICHOL~1\DOCUME~1\R\WIN-LI~1\4.1\papaja\rmd\APA6-A~2.CSL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kersbergen2019hypothesis;@martin2018attention;@hoogeveen2018did;@rose2014choice;@durgin2012social;@busch2007follow;@cramer2005effect;@kanter2004experimental;@terhune2006induction;@cramer1995effect;@barabasz1991effects;@veitch1991demand;@smith1986influence;@siegel1982influence;@lamberth1971similarity;@polivy1980laboratory;@earn1979experimental;@perry1978demand;@mcginley1975subject;@mcglynn1972experimental;@verpaelst2007demand;@lana1971subject;@schauer1969demand;@cramer2004effect;@isager2022student</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