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method,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demand characteristics do not always seem to matter. For example, contrary to the aforementioned demonstration of demand effects,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potential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beliefs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Rosnow and Rosenthal (1997)</w:t>
      </w:r>
      <w:r>
        <w:t xml:space="preserve"> </w:t>
      </w:r>
      <w:r>
        <w:t xml:space="preserve">theorized that response biases are driven by participants’ motivation (or lack thereof) to provide hypothesis-consistent responses. Early research on demand characteristics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evidence that demand characteristics can produce both response biases and placebo effects, the latter which can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1.97.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4587290"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4587290" cy="5137765"/>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4587290" cy="4587290"/>
            <wp:effectExtent b="0" l="0" r="0" t="0"/>
            <wp:docPr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t xml:space="preserve">Figure 4: Estimated overall effect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associated with motivation (Panel A), opportunity (Panel B), or prediction (Panel D) ratings. They were, however, significantly associated with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The effects of demand characteristics on participants’ responses were not significantly associated with motivation (Panel A), opportunity (Panel B), or prediction (Panel D) ratings. They were, however, significantly associated with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1" w:name="references"/>
    <w:p>
      <w:pPr>
        <w:pStyle w:val="berschrift1"/>
      </w:pPr>
      <w:r>
        <w:t xml:space="preserve">References</w:t>
      </w:r>
    </w:p>
    <w:bookmarkStart w:id="130"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3"/>
    <w:bookmarkStart w:id="12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7"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6">
        <w:r>
          <w:rPr>
            <w:rStyle w:val="Hyperlink"/>
          </w:rPr>
          <w:t xml:space="preserve">https://doi.org/10.18637/jss.v036.i03</w:t>
        </w:r>
      </w:hyperlink>
    </w:p>
    <w:bookmarkEnd w:id="127"/>
    <w:bookmarkStart w:id="12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8"/>
    <w:bookmarkStart w:id="12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2023-10-07T19:37:52Z</dcterms:created>
  <dcterms:modified xsi:type="dcterms:W3CDTF">2023-10-07T19:37:52Z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