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5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Demand</w:t>
      </w:r>
      <w:r>
        <w:t xml:space="preserve"> </w:t>
      </w:r>
      <w:r>
        <w:t xml:space="preserve">characteristics</w:t>
      </w:r>
      <w:r>
        <w:t xml:space="preserve"> </w:t>
      </w:r>
      <w:r>
        <w:t xml:space="preserve">exert</w:t>
      </w:r>
      <w:r>
        <w:t xml:space="preserve"> </w:t>
      </w:r>
      <w:r>
        <w:t xml:space="preserve">potentially</w:t>
      </w:r>
      <w:r>
        <w:t xml:space="preserve"> </w:t>
      </w:r>
      <w:r>
        <w:t xml:space="preserve">powerful</w:t>
      </w:r>
      <w:r>
        <w:t xml:space="preserve"> </w:t>
      </w:r>
      <w:r>
        <w:t xml:space="preserve">effects</w:t>
      </w:r>
      <w:r>
        <w:t xml:space="preserve"> </w:t>
      </w:r>
      <w:r>
        <w:t xml:space="preserve">that</w:t>
      </w:r>
      <w:r>
        <w:t xml:space="preserve"> </w:t>
      </w:r>
      <w:r>
        <w:t xml:space="preserve">are</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r>
        <w:t xml:space="preserve"> </w:t>
      </w:r>
      <w:r>
        <w:t xml:space="preserve">A</w:t>
      </w:r>
      <w:r>
        <w:t xml:space="preserve"> </w:t>
      </w:r>
      <w:r>
        <w:t xml:space="preserve">meta-analysis</w:t>
      </w:r>
      <w:r>
        <w:t xml:space="preserve"> </w:t>
      </w:r>
      <w:r>
        <w:t xml:space="preserve">of</w:t>
      </w:r>
      <w:r>
        <w:t xml:space="preserve"> </w:t>
      </w:r>
      <w:r>
        <w:t xml:space="preserve">manipulations</w:t>
      </w:r>
      <w:r>
        <w:t xml:space="preserve"> </w:t>
      </w:r>
      <w:r>
        <w:t xml:space="preserve">of</w:t>
      </w:r>
      <w:r>
        <w:t xml:space="preserve"> </w:t>
      </w:r>
      <w:r>
        <w:t xml:space="preserve">explicit</w:t>
      </w:r>
      <w:r>
        <w:t xml:space="preserve"> </w:t>
      </w:r>
      <w:r>
        <w:t xml:space="preserve">hypothesis</w:t>
      </w:r>
      <w:r>
        <w:t xml:space="preserve"> </w:t>
      </w:r>
      <w:r>
        <w:t xml:space="preserve">cues</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(for Studies 1 and 2)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195 effect sizes from 40 studies that provided experimental tests of demand effects by manipulating the hypothesis explicitly communicated to participants. Results indicated that these explicit cues tend to produce small overall increases in hypothesis-consistent responding (</w:t>
      </w:r>
      <w:r>
        <w:rPr>
          <w:iCs/>
          <w:i/>
        </w:rPr>
        <w:t xml:space="preserve">d</w:t>
      </w:r>
      <w:r>
        <w:t xml:space="preserve"> </w:t>
      </w:r>
      <w:r>
        <w:t xml:space="preserve">= 0.22, 95% CI [0.11, 0.33]). However, these effects were extremely heterogeneous (between-study</w:t>
      </w:r>
      <w:r>
        <w:t xml:space="preserve"> </w:t>
      </w:r>
      <m:oMath>
        <m:r>
          <m:t>τ</m:t>
        </m:r>
      </m:oMath>
      <w:r>
        <w:t xml:space="preserve"> </w:t>
      </w:r>
      <w:r>
        <w:t xml:space="preserve">= 0.31; within-study</w:t>
      </w:r>
      <w:r>
        <w:t xml:space="preserve"> </w:t>
      </w:r>
      <m:oMath>
        <m:r>
          <m:t>σ</m:t>
        </m:r>
      </m:oMath>
      <w:r>
        <w:t xml:space="preserve"> </w:t>
      </w:r>
      <w:r>
        <w:t xml:space="preserve">= 0.20), with the estimated distribution of true effects ranging from</w:t>
      </w:r>
      <w:r>
        <w:t xml:space="preserve"> </w:t>
      </w:r>
      <w:r>
        <w:rPr>
          <w:iCs/>
          <w:i/>
        </w:rPr>
        <w:t xml:space="preserve">d</w:t>
      </w:r>
      <w:r>
        <w:t xml:space="preserve"> </w:t>
      </w:r>
      <w:r>
        <w:t xml:space="preserve">= 1.98 (a massive increase in hypothesis-consistent responding) to</w:t>
      </w:r>
      <w:r>
        <w:t xml:space="preserve"> </w:t>
      </w:r>
      <w:r>
        <w:rPr>
          <w:iCs/>
          <w:i/>
        </w:rPr>
        <w:t xml:space="preserve">d</w:t>
      </w:r>
      <w:r>
        <w:t xml:space="preserve"> </w:t>
      </w:r>
      <w:r>
        <w:t xml:space="preserve">= -1.44 (a massive increase in hypothesis-</w:t>
      </w:r>
      <w:r>
        <w:rPr>
          <w:iCs/>
          <w:i/>
        </w:rPr>
        <w:t xml:space="preserve">in</w:t>
      </w:r>
      <w:r>
        <w:t xml:space="preserve">consistent responding). Contrary to conventional motivation accounts, we did not find evidence that demand effects were driven by post-hoc measures of participants’ motivation or opportunity to adjust their responses. We did, however, find robust evidence for accounts that emphasize the role of participants’ expectancies about the hypothesized effects. Similar findings emerged in a direct replication of one recent study included in the meta-analysis. Taken together, results underscore the importance – and challenges – of understanding and controlling for demand characteristics in experimental design.</w:t>
      </w:r>
    </w:p>
    <w:p>
      <w:pPr>
        <w:pStyle w:val="Textkrper"/>
      </w:pPr>
      <w:r>
        <w:rPr>
          <w:iCs/>
          <w:i/>
        </w:rPr>
        <w:t xml:space="preserve">Keywords:</w:t>
      </w:r>
      <w:r>
        <w:t xml:space="preserve"> </w:t>
      </w:r>
      <w:r>
        <w:t xml:space="preserve">demand characteristics, expectancies, placebo, confounds, meta-analysis</w:t>
      </w:r>
    </w:p>
    <w:p>
      <w:pPr>
        <w:pStyle w:val="h1-pagebreak"/>
      </w:pPr>
      <w:r>
        <w:t xml:space="preserve">Demand characteristics exert potentially powerful effects that are unreliable and difficult to explain: A meta-analysis of manipulations of explicit hypothesis cues</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have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2022)</w:t>
      </w:r>
      <w:r>
        <w:t xml:space="preserve">. We mention this receptivity moderator for the sake of comprehensiveness, but will not discuss it further.</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(2022)</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61"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2022;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Below, we describe study features that may help explain variability in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1"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be particularly adept at predicting demand effects: participants.</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w:t>
      </w:r>
      <w:r>
        <w:t xml:space="preserve"> </w:t>
      </w:r>
      <w:r>
        <w:t xml:space="preserve">Corneille &amp; Lush (2022)</w:t>
      </w:r>
      <w:r>
        <w:t xml:space="preserve">.</w:t>
      </w:r>
    </w:p>
    <w:bookmarkStart w:id="30"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 These ratings scales were presented in random order.</w:t>
      </w:r>
    </w:p>
    <w:p>
      <w:pPr>
        <w:pStyle w:val="Textkrper"/>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29"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29"/>
    <w:bookmarkEnd w:id="30"/>
    <w:bookmarkEnd w:id="31"/>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 ” Was an attempt made to blind those measuring the main outcomes of the intervention?), six to evaluate selection bias (e.g.,</w:t>
      </w:r>
      <w:r>
        <w:t xml:space="preserve"> </w:t>
      </w:r>
      <w:r>
        <w:t xml:space="preserve">“</w:t>
      </w:r>
      <w:r>
        <w:t xml:space="preserve">Were losses of patients to follow-up taken into account?</w:t>
      </w:r>
      <w:r>
        <w:t xml:space="preserve">”</w:t>
      </w:r>
      <w:r>
        <w:t xml:space="preserve">),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2"/>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(dummy-coded or mean-centered for categorical and continuous moderators respectively) factors into a new model. In doing so, we hoped to avoid issues with collinearity and overfitting.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 [@R-PublicationBias] to estimate the ratio in which publication bias would have to favor affirmative studies in order make the overall effect size in a robust random effects model non-significant [@mathur2020sensitivity]. We also estimated the difference in the magnitude of published vs. unpublished effects in a separate moderator analysis.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amendments/deviations.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59" w:name="results"/>
    <w:p>
      <w:pPr>
        <w:pStyle w:val="berschrift2"/>
      </w:pPr>
      <w:r>
        <w:t xml:space="preserve">Results</w:t>
      </w:r>
    </w:p>
    <w:p>
      <w:pPr>
        <w:pStyle w:val="FirstParagraph"/>
      </w:pPr>
      <w:r>
        <w:t xml:space="preserve">In total, we extracted 253 effect sizes from 53 studies from between the years 1964 and 2024. Rating of reporting quality were modest (</w:t>
      </w:r>
      <w:r>
        <w:rPr>
          <w:iCs/>
          <w:i/>
        </w:rPr>
        <w:t xml:space="preserve">M</w:t>
      </w:r>
      <w:r>
        <w:t xml:space="preserve"> </w:t>
      </w:r>
      <w:r>
        <w:rPr>
          <w:iCs/>
          <w:i/>
        </w:rPr>
        <w:t xml:space="preserve">=</w:t>
      </w:r>
      <w:r>
        <w:t xml:space="preserve"> </w:t>
      </w:r>
      <w:r>
        <w:t xml:space="preserve">0.72,</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w:t>
      </w:r>
    </w:p>
    <w:p>
      <w:pPr>
        <w:pStyle w:val="Textkrper"/>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1</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1</w:t>
      </w:r>
      <w:r>
        <w:t xml:space="preserve">). Even when considering non-aggregated effect sizes, hypothesis-inconsistent shifts in participants’ responses were only observed in 4 cases.</w:t>
      </w:r>
    </w:p>
    <w:bookmarkStart w:id="48"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potential moderators.</w:t>
      </w:r>
    </w:p>
    <w:bookmarkStart w:id="44" w:name="study-features"/>
    <w:p>
      <w:pPr>
        <w:pStyle w:val="berschrift4"/>
      </w:pPr>
      <w:r>
        <w:t xml:space="preserve">Study features.</w:t>
      </w:r>
    </w:p>
    <w:p>
      <w:pPr>
        <w:pStyle w:val="FirstParagraph"/>
      </w:pPr>
      <w:r>
        <w:t xml:space="preserve">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pPr>
        <w:pStyle w:val="Textkrper"/>
      </w:pPr>
      <w:r>
        <w:t xml:space="preserve">We found some evidence that the effects of demand characteristics were additive. Estimated effects sizes were nearly twice as large when two demand characteristic conditions were compared (</w:t>
      </w:r>
      <m:oMath>
        <m:r>
          <m:t>d</m:t>
        </m:r>
      </m:oMath>
      <w:r>
        <w:t xml:space="preserve"> </w:t>
      </w:r>
      <w:r>
        <w:t xml:space="preserve">= 0.33, 95% CI [0.18, 0.48],</w:t>
      </w:r>
      <w:r>
        <w:t xml:space="preserve"> </w:t>
      </w:r>
      <m:oMath>
        <m:r>
          <m:t>p</m:t>
        </m:r>
      </m:oMath>
      <w:r>
        <w:t xml:space="preserve"> </w:t>
      </w:r>
      <w:r>
        <w:t xml:space="preserve">&lt; .001), as opposed to one demand characteristic condition being compared to a control group (</w:t>
      </w:r>
      <m:oMath>
        <m:r>
          <m:t>d</m:t>
        </m:r>
      </m:oMath>
      <w:r>
        <w:t xml:space="preserve"> </w:t>
      </w:r>
      <w:r>
        <w:t xml:space="preserve">= 0.15, 95% CI [0.07, 0.24],</w:t>
      </w:r>
      <w:r>
        <w:t xml:space="preserve"> </w:t>
      </w:r>
      <m:oMath>
        <m:r>
          <m:t>p</m:t>
        </m:r>
      </m:oMath>
      <w:r>
        <w:t xml:space="preserve"> </w:t>
      </w:r>
      <w:r>
        <w:t xml:space="preserve">= .001),</w:t>
      </w:r>
      <w:r>
        <w:t xml:space="preserve"> </w:t>
      </w:r>
      <m:oMath>
        <m:r>
          <m:t>F</m:t>
        </m:r>
      </m:oMath>
      <w:r>
        <w:t xml:space="preserve">(1, 10.37) = 10.87,</w:t>
      </w:r>
      <w:r>
        <w:t xml:space="preserve"> </w:t>
      </w:r>
      <m:oMath>
        <m:r>
          <m:t>p</m:t>
        </m:r>
      </m:oMath>
      <w:r>
        <w:t xml:space="preserve"> </w:t>
      </w:r>
      <w:r>
        <w:t xml:space="preserve">.008. However, these results should be interpreted with some caution, as a broader test of whether</w:t>
      </w:r>
      <w:r>
        <w:t xml:space="preserve"> </w:t>
      </w:r>
      <w:r>
        <w:rPr>
          <w:iCs/>
          <w:i/>
        </w:rPr>
        <w:t xml:space="preserve">all</w:t>
      </w:r>
      <w:r>
        <w:t xml:space="preserve"> </w:t>
      </w:r>
      <w:r>
        <w:t xml:space="preserve">specific types of comparisons varied was not statistically significant,</w:t>
      </w:r>
      <w:r>
        <w:t xml:space="preserve"> </w:t>
      </w:r>
      <m:oMath>
        <m:r>
          <m:t>F</m:t>
        </m:r>
      </m:oMath>
      <w:r>
        <w:t xml:space="preserve">(4, 3.52) = 1.93,</w:t>
      </w:r>
      <w:r>
        <w:t xml:space="preserve"> </w:t>
      </w:r>
      <m:oMath>
        <m:r>
          <m:t>p</m:t>
        </m:r>
      </m:oMath>
      <w:r>
        <w:t xml:space="preserve"> </w:t>
      </w:r>
      <w:r>
        <w:t xml:space="preserve">.287.</w:t>
      </w:r>
    </w:p>
    <w:p>
      <w:pPr>
        <w:pStyle w:val="Textkrper"/>
      </w:pPr>
      <w:r>
        <w:t xml:space="preserve">Instances where a demand characteristic condition was compared to a control group allowed us to test whether participants responses shift more when the researcher hypothesizes an increase (i.e., positive demand;</w:t>
      </w:r>
      <w:r>
        <w:t xml:space="preserve"> </w:t>
      </w:r>
      <m:oMath>
        <m:r>
          <m:t>d</m:t>
        </m:r>
      </m:oMath>
      <w:r>
        <w:t xml:space="preserve"> </w:t>
      </w:r>
      <w:r>
        <w:t xml:space="preserve">= 0.17, 95% CI [0.06, 0.28],</w:t>
      </w:r>
      <w:r>
        <w:t xml:space="preserve"> </w:t>
      </w:r>
      <m:oMath>
        <m:r>
          <m:t>p</m:t>
        </m:r>
      </m:oMath>
      <w:r>
        <w:t xml:space="preserve"> </w:t>
      </w:r>
      <w:r>
        <w:t xml:space="preserve">= .003), a decrease (i.e,. negative demand;</w:t>
      </w:r>
      <w:r>
        <w:t xml:space="preserve"> </w:t>
      </w:r>
      <m:oMath>
        <m:r>
          <m:t>d</m:t>
        </m:r>
      </m:oMath>
      <w:r>
        <w:t xml:space="preserve"> </w:t>
      </w:r>
      <w:r>
        <w:t xml:space="preserve">= 0.19, 95% CI [0.06, 0.33],</w:t>
      </w:r>
      <w:r>
        <w:t xml:space="preserve"> </w:t>
      </w:r>
      <m:oMath>
        <m:r>
          <m:t>p</m:t>
        </m:r>
      </m:oMath>
      <w:r>
        <w:t xml:space="preserve"> </w:t>
      </w:r>
      <w:r>
        <w:t xml:space="preserve">= .007, or no change in the dependent variable (i.e., nil demand;</w:t>
      </w:r>
      <w:r>
        <w:t xml:space="preserve"> </w:t>
      </w:r>
      <m:oMath>
        <m:r>
          <m:t>d</m:t>
        </m:r>
      </m:oMath>
      <w:r>
        <w:t xml:space="preserve"> </w:t>
      </w:r>
      <w:r>
        <w:t xml:space="preserve">= 0.26, 95% CI [-0.21, 0.74],</w:t>
      </w:r>
      <w:r>
        <w:t xml:space="preserve"> </w:t>
      </w:r>
      <m:oMath>
        <m:r>
          <m:t>p</m:t>
        </m:r>
      </m:oMath>
      <w:r>
        <w:t xml:space="preserve"> </w:t>
      </w:r>
      <w:r>
        <w:t xml:space="preserve">.178. We did not find this to be the case,</w:t>
      </w:r>
      <w:r>
        <w:t xml:space="preserve"> </w:t>
      </w:r>
      <m:oMath>
        <m:r>
          <m:t>F</m:t>
        </m:r>
      </m:oMath>
      <w:r>
        <w:t xml:space="preserve">(2, 4.15) = 0.20,</w:t>
      </w:r>
      <w:r>
        <w:t xml:space="preserve"> </w:t>
      </w:r>
      <m:oMath>
        <m:r>
          <m:t>p</m:t>
        </m:r>
      </m:oMath>
      <w:r>
        <w:t xml:space="preserve"> </w:t>
      </w:r>
      <w:r>
        <w:t xml:space="preserve">.828. We also did not find that demand effects significantly varied depending on whether they were manipulated within- (</w:t>
      </w:r>
      <m:oMath>
        <m:r>
          <m:t>d</m:t>
        </m:r>
      </m:oMath>
      <w:r>
        <w:t xml:space="preserve"> </w:t>
      </w:r>
      <w:r>
        <w:t xml:space="preserve">= 0.22, 95% CI [0.11, 0.34],</w:t>
      </w:r>
      <w:r>
        <w:t xml:space="preserve"> </w:t>
      </w:r>
      <m:oMath>
        <m:r>
          <m:t>p</m:t>
        </m:r>
      </m:oMath>
      <w:r>
        <w:t xml:space="preserve"> </w:t>
      </w:r>
      <w:r>
        <w:t xml:space="preserve">&lt; .001) vs. between-subjects (</w:t>
      </w:r>
      <m:oMath>
        <m:r>
          <m:t>d</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w:t>
      </w:r>
    </w:p>
    <w:p>
      <w:pPr>
        <w:pStyle w:val="Textkrper"/>
      </w:pPr>
      <w:r>
        <w:t xml:space="preserve">Demand effects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 However, we did not find that demand effects varied depending on whether students (</w:t>
      </w:r>
      <m:oMath>
        <m:r>
          <m:t>d</m:t>
        </m:r>
      </m:oMath>
      <w:r>
        <w:t xml:space="preserve"> </w:t>
      </w:r>
      <w:r>
        <w:t xml:space="preserve">= 0.26, 95% CI [0.13, 0.40],</w:t>
      </w:r>
      <w:r>
        <w:t xml:space="preserve"> </w:t>
      </w:r>
      <m:oMath>
        <m:r>
          <m:t>p</m:t>
        </m:r>
      </m:oMath>
      <w:r>
        <w:t xml:space="preserve"> </w:t>
      </w:r>
      <w:r>
        <w:t xml:space="preserve">&lt; .001), non-students (</w:t>
      </w:r>
      <m:oMath>
        <m:r>
          <m:t>d</m:t>
        </m:r>
      </m:oMath>
      <w:r>
        <w:t xml:space="preserve"> </w:t>
      </w:r>
      <w:r>
        <w:t xml:space="preserve">= 0.05, 95% CI [-0.06, 0.16],</w:t>
      </w:r>
      <w:r>
        <w:t xml:space="preserve"> </w:t>
      </w:r>
      <m:oMath>
        <m:r>
          <m:t>p</m:t>
        </m:r>
      </m:oMath>
      <w:r>
        <w:t xml:space="preserve"> </w:t>
      </w:r>
      <w:r>
        <w:t xml:space="preserve">= .323), or a mix of students and non-students (</w:t>
      </w:r>
      <m:oMath>
        <m:r>
          <m:t>d</m:t>
        </m:r>
      </m:oMath>
      <w:r>
        <w:t xml:space="preserve"> </w:t>
      </w:r>
      <w:r>
        <w:t xml:space="preserve">= 0.05, 95% CI [-1.00, 1.09],</w:t>
      </w:r>
      <w:r>
        <w:t xml:space="preserve"> </w:t>
      </w:r>
      <m:oMath>
        <m:r>
          <m:t>p</m:t>
        </m:r>
      </m:oMath>
      <w:r>
        <w:t xml:space="preserve"> </w:t>
      </w:r>
      <w:r>
        <w:t xml:space="preserve">= .680) were sampled,</w:t>
      </w:r>
      <w:r>
        <w:t xml:space="preserve"> </w:t>
      </w:r>
      <m:oMath>
        <m:r>
          <m:t>F</m:t>
        </m:r>
      </m:oMath>
      <w:r>
        <w:t xml:space="preserve">(2, 2.12) = 2.44,</w:t>
      </w:r>
      <w:r>
        <w:t xml:space="preserve"> </w:t>
      </w:r>
      <m:oMath>
        <m:r>
          <m:t>p</m:t>
        </m:r>
      </m:oMath>
      <w:r>
        <w:t xml:space="preserve"> </w:t>
      </w:r>
      <w:r>
        <w:t xml:space="preserve">= .282). We also did not find that demand effects significant varied depending on whether those participants were unpaid (</w:t>
      </w:r>
      <m:oMath>
        <m:r>
          <m:t>d</m:t>
        </m:r>
      </m:oMath>
      <w:r>
        <w:t xml:space="preserve"> </w:t>
      </w:r>
      <w:r>
        <w:t xml:space="preserve">= 0.19, 95% CI [0.08, 0.31],</w:t>
      </w:r>
      <w:r>
        <w:t xml:space="preserve"> </w:t>
      </w:r>
      <m:oMath>
        <m:r>
          <m:t>p</m:t>
        </m:r>
      </m:oMath>
      <w:r>
        <w:t xml:space="preserve"> </w:t>
      </w:r>
      <w:r>
        <w:t xml:space="preserve">.002) vs. paid (</w:t>
      </w:r>
      <m:oMath>
        <m:r>
          <m:t>d</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w:t>
      </w:r>
    </w:p>
    <w:p>
      <w:pPr>
        <w:pStyle w:val="TableCaption"/>
      </w:pPr>
      <w:bookmarkStart w:id="43" w:name="tab:unnamed-chunk-1"/>
      <w:bookmarkEnd w:id="43"/>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End w:id="44"/>
    <w:bookmarkStart w:id="46" w:name="theoretical-moderators"/>
    <w:p>
      <w:pPr>
        <w:pStyle w:val="berschrift4"/>
      </w:pPr>
      <w:r>
        <w:t xml:space="preserve">Theoretical moderators.</w:t>
      </w:r>
    </w:p>
    <w:p>
      <w:pPr>
        <w:pStyle w:val="FirstParagraph"/>
      </w:pPr>
      <w:r>
        <w:t xml:space="preserve">Despite the popularity and comprehensiveness of the framework developed by Rosnow and colleagues, we did not uncover significant evidence that demand effects are moderated by ratings of motivation,</w:t>
      </w:r>
      <w:r>
        <w:t xml:space="preserve"> </w:t>
      </w:r>
      <m:oMath>
        <m:r>
          <m:t>β</m:t>
        </m:r>
      </m:oMath>
      <w:r>
        <w:t xml:space="preserve"> </w:t>
      </w:r>
      <w:r>
        <w:t xml:space="preserve">= 0.01, 95% CI [-0.18, 0.19],</w:t>
      </w:r>
      <w:r>
        <w:t xml:space="preserve"> </w:t>
      </w:r>
      <m:oMath>
        <m:r>
          <m:t>t</m:t>
        </m:r>
      </m:oMath>
      <w:r>
        <w:t xml:space="preserve">(10.87) = 0.06,</w:t>
      </w:r>
      <w:r>
        <w:t xml:space="preserve"> </w:t>
      </w:r>
      <m:oMath>
        <m:r>
          <m:t>p</m:t>
        </m:r>
      </m:oMath>
      <w:r>
        <w:t xml:space="preserve"> </w:t>
      </w:r>
      <w:r>
        <w:t xml:space="preserve">= .953, or opportunity to adjust responses,</w:t>
      </w:r>
      <w:r>
        <w:t xml:space="preserve"> </w:t>
      </w:r>
      <m:oMath>
        <m:r>
          <m:t>β</m:t>
        </m:r>
      </m:oMath>
      <w:r>
        <w:t xml:space="preserve"> </w:t>
      </w:r>
      <w:r>
        <w:t xml:space="preserve">= 0.04, 95% CI [-0.01, 0.08],</w:t>
      </w:r>
      <w:r>
        <w:t xml:space="preserve"> </w:t>
      </w:r>
      <m:oMath>
        <m:r>
          <m:t>t</m:t>
        </m:r>
      </m:oMath>
      <w:r>
        <w:t xml:space="preserve">(10.76) = 1.93,</w:t>
      </w:r>
      <w:r>
        <w:t xml:space="preserve"> </w:t>
      </w:r>
      <m:oMath>
        <m:r>
          <m:t>p</m:t>
        </m:r>
      </m:oMath>
      <w:r>
        <w:t xml:space="preserve"> </w:t>
      </w:r>
      <w:r>
        <w:t xml:space="preserve">= .080. We also did not find that demand effects are moderated by ratings of belief in the hypothesized effect,</w:t>
      </w:r>
      <w:r>
        <w:t xml:space="preserve"> </w:t>
      </w:r>
      <m:oMath>
        <m:r>
          <m:t>β</m:t>
        </m:r>
      </m:oMath>
      <w:r>
        <w:t xml:space="preserve"> </w:t>
      </w:r>
      <w:r>
        <w:t xml:space="preserve">= NA, 95% CI [-0.05, 0.17],</w:t>
      </w:r>
      <w:r>
        <w:t xml:space="preserve"> </w:t>
      </w:r>
      <m:oMath>
        <m:r>
          <m:t>t</m:t>
        </m:r>
      </m:oMath>
      <w:r>
        <w:t xml:space="preserve">(10.46) = 1.21,</w:t>
      </w:r>
      <w:r>
        <w:t xml:space="preserve"> </w:t>
      </w:r>
      <m:oMath>
        <m:r>
          <m:t>p</m:t>
        </m:r>
      </m:oMath>
      <w:r>
        <w:t xml:space="preserve"> </w:t>
      </w:r>
      <w:r>
        <w:t xml:space="preserve">= .254. Even more puzzlingly, we did not find that raters were able to accurately predict the emergence of demand effects,</w:t>
      </w:r>
      <w:r>
        <w:t xml:space="preserve"> </w:t>
      </w:r>
      <m:oMath>
        <m:r>
          <m:t>β</m:t>
        </m:r>
      </m:oMath>
      <w:r>
        <w:t xml:space="preserve"> </w:t>
      </w:r>
      <w:r>
        <w:t xml:space="preserve">= 0.07, 95% CI [-0.04, 0.18],</w:t>
      </w:r>
      <w:r>
        <w:t xml:space="preserve"> </w:t>
      </w:r>
      <m:oMath>
        <m:r>
          <m:t>t</m:t>
        </m:r>
      </m:oMath>
      <w:r>
        <w:t xml:space="preserve">(14.95) = 1.31,</w:t>
      </w:r>
      <w:r>
        <w:t xml:space="preserve"> </w:t>
      </w:r>
      <m:oMath>
        <m:r>
          <m:t>p</m:t>
        </m:r>
      </m:oMath>
      <w:r>
        <w:t xml:space="preserve"> </w:t>
      </w:r>
      <w:r>
        <w:t xml:space="preserve">= .209. In other words, even equipped with theory-generated ratings scales, we failed to uncover evidence that participants are able to predict the impact and mechanisms underlying demand characteristics.</w:t>
      </w:r>
    </w:p>
    <w:p>
      <w:pPr>
        <w:pStyle w:val="TableCaption"/>
      </w:pPr>
      <w:bookmarkStart w:id="45" w:name="tab:unnamed-chunk-2"/>
      <w:bookmarkEnd w:id="45"/>
      <w:r>
        <w:t xml:space="preserve">Table </w:t>
      </w:r>
      <w:r>
        <w:br/>
      </w:r>
      <w:r>
        <w:rPr>
          <w:iCs/>
          <w:i/>
        </w:rPr>
        <w:t xml:space="preserve"> </w:t>
      </w:r>
      <w:r>
        <w:rPr>
          <w:iCs/>
          <w:i/>
        </w:rPr>
        <w:t xml:space="preserve">Participant</w:t>
      </w:r>
      <w:r>
        <w:rPr>
          <w:iCs/>
          <w:i/>
        </w:rPr>
        <w:t xml:space="preserve"> </w:t>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0.07</w:t>
            </w:r>
          </w:p>
        </w:tc>
        <w:tc>
          <w:tcPr/>
          <w:p>
            <w:pPr>
              <w:pStyle w:val="Compact"/>
              <w:jc w:val="left"/>
            </w:pPr>
            <w:r>
              <w:t xml:space="preserve">[-0.04, 0.18]</w:t>
            </w:r>
          </w:p>
        </w:tc>
        <w:tc>
          <w:tcPr/>
          <w:p>
            <w:pPr>
              <w:pStyle w:val="Compact"/>
              <w:jc w:val="left"/>
            </w:pPr>
            <w:r>
              <w:t xml:space="preserve">1.72</w:t>
            </w:r>
          </w:p>
        </w:tc>
        <w:tc>
          <w:tcPr/>
          <w:p>
            <w:pPr>
              <w:pStyle w:val="Compact"/>
              <w:jc w:val="left"/>
            </w:pPr>
            <w:r>
              <w:t xml:space="preserve">.209</w:t>
            </w:r>
          </w:p>
        </w:tc>
      </w:tr>
      <w:tr>
        <w:tc>
          <w:tcPr/>
          <w:p>
            <w:pPr>
              <w:pStyle w:val="Compact"/>
              <w:jc w:val="left"/>
            </w:pPr>
            <w:r>
              <w:t xml:space="preserve">motivation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0.01</w:t>
            </w:r>
          </w:p>
        </w:tc>
        <w:tc>
          <w:tcPr/>
          <w:p>
            <w:pPr>
              <w:pStyle w:val="Compact"/>
              <w:jc w:val="left"/>
            </w:pPr>
            <w:r>
              <w:t xml:space="preserve">[-0.18, 0.19]</w:t>
            </w:r>
          </w:p>
        </w:tc>
        <w:tc>
          <w:tcPr/>
          <w:p>
            <w:pPr>
              <w:pStyle w:val="Compact"/>
              <w:jc w:val="left"/>
            </w:pPr>
            <w:r>
              <w:t xml:space="preserve">0</w:t>
            </w:r>
          </w:p>
        </w:tc>
        <w:tc>
          <w:tcPr/>
          <w:p>
            <w:pPr>
              <w:pStyle w:val="Compact"/>
              <w:jc w:val="left"/>
            </w:pPr>
            <w:r>
              <w:t xml:space="preserve">.953</w:t>
            </w:r>
          </w:p>
        </w:tc>
      </w:tr>
      <w:tr>
        <w:tc>
          <w:tcPr/>
          <w:p>
            <w:pPr>
              <w:pStyle w:val="Compact"/>
              <w:jc w:val="left"/>
            </w:pPr>
            <w:r>
              <w:t xml:space="preserve">opportunity to adjust responses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0.04</w:t>
            </w:r>
          </w:p>
        </w:tc>
        <w:tc>
          <w:tcPr/>
          <w:p>
            <w:pPr>
              <w:pStyle w:val="Compact"/>
              <w:jc w:val="left"/>
            </w:pPr>
            <w:r>
              <w:t xml:space="preserve">[-0.01, 0.08]</w:t>
            </w:r>
          </w:p>
        </w:tc>
        <w:tc>
          <w:tcPr/>
          <w:p>
            <w:pPr>
              <w:pStyle w:val="Compact"/>
              <w:jc w:val="left"/>
            </w:pPr>
            <w:r>
              <w:t xml:space="preserve">3.73</w:t>
            </w:r>
          </w:p>
        </w:tc>
        <w:tc>
          <w:tcPr/>
          <w:p>
            <w:pPr>
              <w:pStyle w:val="Compact"/>
              <w:jc w:val="left"/>
            </w:pPr>
            <w:r>
              <w:t xml:space="preserve">.080</w:t>
            </w:r>
          </w:p>
        </w:tc>
      </w:tr>
      <w:tr>
        <w:tc>
          <w:tcPr/>
          <w:p>
            <w:pPr>
              <w:pStyle w:val="Compact"/>
              <w:jc w:val="left"/>
            </w:pPr>
            <w:r>
              <w:t xml:space="preserve">belief in communicated hypothesis</w:t>
            </w:r>
          </w:p>
        </w:tc>
        <w:tc>
          <w:tcPr/>
          <w:p>
            <w:pPr>
              <w:pStyle w:val="Compact"/>
              <w:jc w:val="left"/>
            </w:pPr>
            <w:r>
              <w:t xml:space="preserve">48</w:t>
            </w:r>
          </w:p>
        </w:tc>
        <w:tc>
          <w:tcPr/>
          <w:p>
            <w:pPr>
              <w:pStyle w:val="Compact"/>
              <w:jc w:val="left"/>
            </w:pPr>
            <w:r>
              <w:t xml:space="preserve">202</w:t>
            </w:r>
          </w:p>
        </w:tc>
        <w:tc>
          <w:tcPr/>
          <w:p>
            <w:pPr>
              <w:pStyle w:val="Compact"/>
              <w:jc w:val="left"/>
            </w:pPr>
            <w:r>
              <w:t xml:space="preserve">0.06</w:t>
            </w:r>
          </w:p>
        </w:tc>
        <w:tc>
          <w:tcPr/>
          <w:p>
            <w:pPr>
              <w:pStyle w:val="Compact"/>
              <w:jc w:val="left"/>
            </w:pPr>
            <w:r>
              <w:t xml:space="preserve">[-0.05, 0.17]</w:t>
            </w:r>
          </w:p>
        </w:tc>
        <w:tc>
          <w:tcPr/>
          <w:p>
            <w:pPr>
              <w:pStyle w:val="Compact"/>
              <w:jc w:val="left"/>
            </w:pPr>
            <w:r>
              <w:t xml:space="preserve">1.46</w:t>
            </w:r>
          </w:p>
        </w:tc>
        <w:tc>
          <w:tcPr/>
          <w:p>
            <w:pPr>
              <w:pStyle w:val="Compact"/>
              <w:jc w:val="left"/>
            </w:pPr>
            <w:r>
              <w:t xml:space="preserve">.254</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46"/>
    <w:bookmarkStart w:id="47" w:name="residual-variability"/>
    <w:p>
      <w:pPr>
        <w:pStyle w:val="berschrift4"/>
      </w:pPr>
      <w:r>
        <w:t xml:space="preserve">Residual variability.</w:t>
      </w:r>
    </w:p>
    <w:p>
      <w:pPr>
        <w:pStyle w:val="FirstParagraph"/>
      </w:pPr>
      <w:r>
        <w:t xml:space="preserve">To evaluate how much variability in demand effects is currently accounted for by the moderators examined in Studies 1 and 2, we calculated a pseudo-</w:t>
      </w:r>
      <m:oMath>
        <m:sSup>
          <m:e>
            <m:r>
              <m:t>R</m:t>
            </m:r>
          </m:e>
          <m:sup>
            <m:r>
              <m:t>2</m:t>
            </m:r>
          </m:sup>
        </m:sSup>
      </m:oMath>
      <w:r>
        <w:t xml:space="preserve"> </w:t>
      </w:r>
      <w:r>
        <w:t xml:space="preserve">statistic. We did so by comparing the sum of the variance components (between-study</w:t>
      </w:r>
      <w:r>
        <w:t xml:space="preserve"> </w:t>
      </w:r>
      <m:oMath>
        <m:sSup>
          <m:e>
            <m:r>
              <m:t>τ</m:t>
            </m:r>
          </m:e>
          <m:sup>
            <m:r>
              <m:t>2</m:t>
            </m:r>
          </m:sup>
        </m:sSup>
      </m:oMath>
      <w:r>
        <w:t xml:space="preserve"> </w:t>
      </w:r>
      <w:r>
        <w:t xml:space="preserve">+ within-study</w:t>
      </w:r>
      <w:r>
        <w:t xml:space="preserve"> </w:t>
      </w:r>
      <m:oMath>
        <m:sSup>
          <m:e>
            <m:r>
              <m:t>σ</m:t>
            </m:r>
          </m:e>
          <m:sup>
            <m:r>
              <m:t>2</m:t>
            </m:r>
          </m:sup>
        </m:sSup>
      </m:oMath>
      <w:r>
        <w:t xml:space="preserve">) in a model containing only an intercept and (1) a model containing Study 1 moderators (type of demand characteristics manipulation, participant pool, setting, study design, and payment), (2) a model containing Study 2 moderators (motivation, opportunity, and expectations), and (3) a model containing both Study 1 and 2 moderators. To ensure comparability, all models included the same set of observations (e.g., any incomplete observations were removed). Results indicated that the Study 1 and 2 moderators respectively accounted for 27.95% and 7.18% of observed variability in demand effects. This might suggest that study features are more powerful predictors of demand effects than the theorized underlying psychological mechanisms; however, we caution against such interpretations given the imperfect ad-hoc measurement of motivations and expectations.</w:t>
      </w:r>
    </w:p>
    <w:p>
      <w:pPr>
        <w:pStyle w:val="Textkrper"/>
      </w:pPr>
      <w:r>
        <w:t xml:space="preserve">Including all moderators increased the pseudo-</w:t>
      </w:r>
      <m:oMath>
        <m:sSup>
          <m:e>
            <m:r>
              <m:t>R</m:t>
            </m:r>
          </m:e>
          <m:sup>
            <m:r>
              <m:t>2</m:t>
            </m:r>
          </m:sup>
        </m:sSup>
      </m:oMath>
      <w:r>
        <w:t xml:space="preserve"> </w:t>
      </w:r>
      <w:r>
        <w:t xml:space="preserve">to 27.67%, indicating that the majority of observed variability in demand effects is still unaccounted.</w:t>
      </w:r>
    </w:p>
    <w:bookmarkEnd w:id="47"/>
    <w:bookmarkEnd w:id="48"/>
    <w:bookmarkStart w:id="53" w:name="X4d2f8228bdffda6a1bb824165ec8bac5cd8c7b9"/>
    <w:p>
      <w:pPr>
        <w:pStyle w:val="berschrift3"/>
      </w:pPr>
      <w:r>
        <w:t xml:space="preserve">Estimating demand effects in specific study contexts.</w:t>
      </w:r>
    </w:p>
    <w:p>
      <w:pPr>
        <w:pStyle w:val="CaptionedFigure"/>
      </w:pPr>
      <w:r>
        <w:drawing>
          <wp:inline>
            <wp:extent cx="5963478" cy="2752374"/>
            <wp:effectExtent b="0" l="0" r="0" t="0"/>
            <wp:docPr descr="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 title="" id="50" name="Picture"/>
            <a:graphic>
              <a:graphicData uri="http://schemas.openxmlformats.org/drawingml/2006/picture">
                <pic:pic>
                  <pic:nvPicPr>
                    <pic:cNvPr descr="metaware_manuscript_files/figure-docx/predplot-1.png" id="51" name="Picture"/>
                    <pic:cNvPicPr>
                      <a:picLocks noChangeArrowheads="1" noChangeAspect="1"/>
                    </pic:cNvPicPr>
                  </pic:nvPicPr>
                  <pic:blipFill>
                    <a:blip r:embed="rId49"/>
                    <a:stretch>
                      <a:fillRect/>
                    </a:stretch>
                  </pic:blipFill>
                  <pic:spPr bwMode="auto">
                    <a:xfrm>
                      <a:off x="0" y="0"/>
                      <a:ext cx="5963478" cy="2752374"/>
                    </a:xfrm>
                    <a:prstGeom prst="rect">
                      <a:avLst/>
                    </a:prstGeom>
                    <a:noFill/>
                    <a:ln w="9525">
                      <a:noFill/>
                      <a:headEnd/>
                      <a:tailEnd/>
                    </a:ln>
                  </pic:spPr>
                </pic:pic>
              </a:graphicData>
            </a:graphic>
          </wp:inline>
        </w:drawing>
      </w:r>
    </w:p>
    <w:p>
      <w:pPr>
        <w:pStyle w:val="ImageCaption"/>
      </w:pPr>
      <w:bookmarkStart w:id="52" w:name="fig:predplot"/>
      <w:bookmarkEnd w:id="52"/>
      <w:r>
        <w:t xml:space="preserve">Figure 2: Estimated overall effects (dot) and 95% confidence intervals (error bars) of positive demand characteristics in a classic experimental setting (in-person studies testing positive effects with volunteer student samples) and an online worker setting (online studies testing positive effects with paid non-student samples).</w:t>
      </w:r>
    </w:p>
    <w:p>
      <w:pPr>
        <w:pStyle w:val="Textkrper"/>
      </w:pPr>
      <w:r>
        <w:t xml:space="preserve">Our openly-available data allow researchers to estimate the effects of demand characteristics in various study contexts. To demonstrate this functionality, we fit a 3LMA with student status, data collection medium, payment status, and type of demand characteristic comparison entered as dummy-coded factors. By changing the reference level of these dummy-coded factors, we were able to derive estimates of demand effects in two common scenarios described below.</w:t>
      </w:r>
    </w:p>
    <w:p>
      <w:pPr>
        <w:pStyle w:val="Textkrper"/>
      </w:pPr>
      <w:r>
        <w:t xml:space="preserve">First, we estimated the overall impact of demand characteristics in what we call a</w:t>
      </w:r>
      <w:r>
        <w:t xml:space="preserve"> </w:t>
      </w:r>
      <w:r>
        <w:t xml:space="preserve">“</w:t>
      </w:r>
      <w:r>
        <w:t xml:space="preserve">classic experimental setting</w:t>
      </w:r>
      <w:r>
        <w:t xml:space="preserve">”</w:t>
      </w:r>
      <w:r>
        <w:t xml:space="preserve">: studies that (a) are run in-person, (b) sample students, (c) do not offer participant payment, and (d) are testing for a positive effect (i.e., positive demand). In this context, demand characteristics are estimated to produce, on average, a small increase in hypothesis-consistent responding,</w:t>
      </w:r>
      <w:r>
        <w:t xml:space="preserve"> </w:t>
      </w:r>
      <m:oMath>
        <m:r>
          <m:t>g</m:t>
        </m:r>
      </m:oMath>
      <w:r>
        <w:t xml:space="preserve"> </w:t>
      </w:r>
      <w:r>
        <w:t xml:space="preserve">= 0.18, 95% CI [0.05, 0.31,</w:t>
      </w:r>
      <w:r>
        <w:t xml:space="preserve"> </w:t>
      </w:r>
      <m:oMath>
        <m:r>
          <m:t>p</m:t>
        </m:r>
      </m:oMath>
      <w:r>
        <w:t xml:space="preserve"> </w:t>
      </w:r>
      <w:r>
        <w:t xml:space="preserve">= .007] (Figure</w:t>
      </w:r>
      <w:r>
        <w:t xml:space="preserve"> </w:t>
      </w:r>
      <w:r>
        <w:t xml:space="preserve">2</w:t>
      </w:r>
      <w:r>
        <w:t xml:space="preserve">). Second, we estimated the overall impact of demand characteristics in an</w:t>
      </w:r>
      <w:r>
        <w:t xml:space="preserve"> </w:t>
      </w:r>
      <w:r>
        <w:t xml:space="preserve">“</w:t>
      </w:r>
      <w:r>
        <w:t xml:space="preserve">online worker experimental context</w:t>
      </w:r>
      <w:r>
        <w:t xml:space="preserve">”</w:t>
      </w:r>
      <w:r>
        <w:t xml:space="preserve">: studies that (a) are run online, (b) sample non-students, (c) offer participant payment, and (d) test for a positive effect. Here, we did not find that demand characteristics, on average, produce changes in participants’ responses,</w:t>
      </w:r>
      <w:r>
        <w:t xml:space="preserve"> </w:t>
      </w:r>
      <m:oMath>
        <m:r>
          <m:t>g</m:t>
        </m:r>
      </m:oMath>
      <w:r>
        <w:t xml:space="preserve"> </w:t>
      </w:r>
      <w:r>
        <w:t xml:space="preserve">= 0.03, 95% CI [-0.12, 0.18],</w:t>
      </w:r>
      <w:r>
        <w:t xml:space="preserve"> </w:t>
      </w:r>
      <m:oMath>
        <m:r>
          <m:t>p</m:t>
        </m:r>
      </m:oMath>
      <w:r>
        <w:t xml:space="preserve"> </w:t>
      </w:r>
      <w:r>
        <w:t xml:space="preserve">= 0.69 (Figure</w:t>
      </w:r>
      <w:r>
        <w:t xml:space="preserve"> </w:t>
      </w:r>
      <w:r>
        <w:t xml:space="preserve">2</w:t>
      </w:r>
      <w:r>
        <w:t xml:space="preserve">).</w:t>
      </w:r>
    </w:p>
    <w:bookmarkEnd w:id="53"/>
    <w:bookmarkStart w:id="58" w:name="publication-bias-analyses-1"/>
    <w:p>
      <w:pPr>
        <w:pStyle w:val="berschrift3"/>
      </w:pPr>
      <w:r>
        <w:t xml:space="preserve">Publication bias analyses.</w:t>
      </w:r>
    </w:p>
    <w:p>
      <w:pPr>
        <w:pStyle w:val="FirstParagraph"/>
      </w:pPr>
      <w:r>
        <w:t xml:space="preserve">Overall, publication bias analyses were inconclusive. A funnel plot containing all effect sizes indicated that publication bias favored instances where participants’ responses shifted in a hypothesis-consistent manner. However, a funnel plot where non-independent effect sizes were aggregated indicated the opposite: that publication bias favored non-significant or hypothesis-inconsistent shifts in participants’ responses.</w:t>
      </w:r>
    </w:p>
    <w:p>
      <w:pPr>
        <w:pStyle w:val="Textkrper"/>
      </w:pPr>
      <w:r>
        <w:t xml:space="preserve">Precision-effect tests similarly yielded opposite conclusions depending on whether we used (a) 3LMA with non-aggregated effect size estimates, or (b) two-level meta-analysis with aggregated dependent effect size estimates. On one hand, precision-effect tests with 3LMA yielded a non-significant estimate of publication bias that favored hypothesis-consistent shifts in participants’ responses,</w:t>
      </w:r>
      <w:r>
        <w:t xml:space="preserve"> </w:t>
      </w:r>
      <m:oMath>
        <m:r>
          <m:t>β</m:t>
        </m:r>
      </m:oMath>
      <w:r>
        <w:t xml:space="preserve"> </w:t>
      </w:r>
      <w:r>
        <w:t xml:space="preserve">= 0.65, 95% CI [-0.02, 1.31],</w:t>
      </w:r>
      <w:r>
        <w:t xml:space="preserve"> </w:t>
      </w:r>
      <m:oMath>
        <m:r>
          <m:t>p</m:t>
        </m:r>
      </m:oMath>
      <w:r>
        <w:t xml:space="preserve"> </w:t>
      </w:r>
      <w:r>
        <w:t xml:space="preserve">= .057. The bias-corrected overall effect size estimate did not significantly differ from zero,</w:t>
      </w:r>
      <w:r>
        <w:t xml:space="preserve"> </w:t>
      </w:r>
      <m:oMath>
        <m:r>
          <m:t>g</m:t>
        </m:r>
      </m:oMath>
      <w:r>
        <w:t xml:space="preserve"> </w:t>
      </w:r>
      <w:r>
        <w:t xml:space="preserve">= 0.06, 95% CI [-0.12, 0.23],</w:t>
      </w:r>
      <w:r>
        <w:t xml:space="preserve"> </w:t>
      </w:r>
      <m:oMath>
        <m:r>
          <m:t>p</m:t>
        </m:r>
      </m:oMath>
      <w:r>
        <w:t xml:space="preserve"> </w:t>
      </w:r>
      <w:r>
        <w:t xml:space="preserve">= .535. On the other hand, two-level precision-effect tests with aggregated dependent effect size estimates yielded an opposite pattern: that there was a slight (but not statistically significant) preference for non-significant or hypothesis-inconsistent shifts in participants’ responses,</w:t>
      </w:r>
      <w:r>
        <w:t xml:space="preserve"> </w:t>
      </w:r>
      <m:oMath>
        <m:r>
          <m:t>β</m:t>
        </m:r>
      </m:oMath>
      <w:r>
        <w:t xml:space="preserve"> </w:t>
      </w:r>
      <w:r>
        <w:t xml:space="preserve">= 0.09, 95% CI [-0.81, 1.00],</w:t>
      </w:r>
      <w:r>
        <w:t xml:space="preserve"> </w:t>
      </w:r>
      <m:oMath>
        <m:r>
          <m:t>p</m:t>
        </m:r>
      </m:oMath>
      <w:r>
        <w:t xml:space="preserve"> </w:t>
      </w:r>
      <w:r>
        <w:t xml:space="preserve">= .844. The bias-corrected overall effect size estimate was virtually unchanged,</w:t>
      </w:r>
      <w:r>
        <w:t xml:space="preserve"> </w:t>
      </w:r>
      <m:oMath>
        <m:r>
          <m:t>g</m:t>
        </m:r>
      </m:oMath>
      <w:r>
        <w:t xml:space="preserve"> </w:t>
      </w:r>
      <w:r>
        <w:t xml:space="preserve">= 0.15, 95% CI [-0.03, 0.33],</w:t>
      </w:r>
      <w:r>
        <w:t xml:space="preserve"> </w:t>
      </w:r>
      <m:oMath>
        <m:r>
          <m:t>p</m:t>
        </m:r>
      </m:oMath>
      <w:r>
        <w:t xml:space="preserve"> </w:t>
      </w:r>
      <w:r>
        <w:t xml:space="preserve">= .107. In other words, depending on how dependencies were handled, precision-effect tests yielded opposite conclusions about the direction of publication bias and the significance of the bias-corrected overall effect of demand characteristics.</w:t>
      </w:r>
    </w:p>
    <w:p>
      <w:pPr>
        <w:pStyle w:val="Textkrper"/>
      </w:pPr>
      <w:r>
        <w:t xml:space="preserve">Weight-function modeling suggested that better fit was achieved in a model where publication bias favored non-significant or hypothesis-inconsistent shifts in participants’ responses,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g</m:t>
        </m:r>
      </m:oMath>
      <w:r>
        <w:t xml:space="preserve"> </w:t>
      </w:r>
      <w:r>
        <w:t xml:space="preserve">= 0.41, 95% CI [0.19, 0.62],</w:t>
      </w:r>
      <w:r>
        <w:t xml:space="preserve"> </w:t>
      </w:r>
      <m:oMath>
        <m:r>
          <m:t>p</m:t>
        </m:r>
      </m:oMath>
      <w:r>
        <w:t xml:space="preserve"> </w:t>
      </w:r>
      <w:r>
        <w:t xml:space="preserve">&lt; .001. A comparison of unpublished (</w:t>
      </w:r>
      <m:oMath>
        <m:r>
          <m:t>g</m:t>
        </m:r>
      </m:oMath>
      <w:r>
        <w:t xml:space="preserve"> </w:t>
      </w:r>
      <w:r>
        <w:t xml:space="preserve">= 0.17, 95% CI [-0.17, 0.51],</w:t>
      </w:r>
      <w:r>
        <w:t xml:space="preserve"> </w:t>
      </w:r>
      <m:oMath>
        <m:r>
          <m:t>p</m:t>
        </m:r>
      </m:oMath>
      <w:r>
        <w:t xml:space="preserve"> </w:t>
      </w:r>
      <w:r>
        <w:t xml:space="preserve">= .289) and published (</w:t>
      </w:r>
      <m:oMath>
        <m:r>
          <m:t>g</m:t>
        </m:r>
      </m:oMath>
      <w:r>
        <w:t xml:space="preserve"> </w:t>
      </w:r>
      <w:r>
        <w:t xml:space="preserve">= 0.21, 95% CI [0.11, 0.31],</w:t>
      </w:r>
      <w:r>
        <w:t xml:space="preserve"> </w:t>
      </w:r>
      <m:oMath>
        <m:r>
          <m:t>p</m:t>
        </m:r>
      </m:oMath>
      <w:r>
        <w:t xml:space="preserve"> </w:t>
      </w:r>
      <w:r>
        <w:t xml:space="preserve">= &lt; .001) studies yielded a similar pattern, although the difference was not significant,</w:t>
      </w:r>
      <w:r>
        <w:t xml:space="preserve"> </w:t>
      </w:r>
      <m:oMath>
        <m:r>
          <m:t>F</m:t>
        </m:r>
      </m:oMath>
      <w:r>
        <w:t xml:space="preserve">(1, 14.38) = 0.07,</w:t>
      </w:r>
      <w:r>
        <w:t xml:space="preserve"> </w:t>
      </w:r>
      <m:oMath>
        <m:r>
          <m:t>p</m:t>
        </m:r>
      </m:oMath>
      <w:r>
        <w:t xml:space="preserve"> </w:t>
      </w:r>
      <w:r>
        <w:t xml:space="preserve">= .801.</w:t>
      </w:r>
    </w:p>
    <w:p>
      <w:pPr>
        <w:pStyle w:val="CaptionedFigure"/>
      </w:pPr>
      <w:r>
        <w:drawing>
          <wp:inline>
            <wp:extent cx="5963478" cy="3440468"/>
            <wp:effectExtent b="0" l="0" r="0" t="0"/>
            <wp:docPr descr="Figure 3: Raw (Panel A) or aggregated (Panel B) effect sizes plotted against their corresponding standard errors." title="" id="55" name="Picture"/>
            <a:graphic>
              <a:graphicData uri="http://schemas.openxmlformats.org/drawingml/2006/picture">
                <pic:pic>
                  <pic:nvPicPr>
                    <pic:cNvPr descr="metaware_manuscript_files/figure-docx/funnel-1.png" id="56" name="Picture"/>
                    <pic:cNvPicPr>
                      <a:picLocks noChangeArrowheads="1" noChangeAspect="1"/>
                    </pic:cNvPicPr>
                  </pic:nvPicPr>
                  <pic:blipFill>
                    <a:blip r:embed="rId54"/>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57" w:name="fig:funnel"/>
      <w:bookmarkEnd w:id="57"/>
      <w:r>
        <w:t xml:space="preserve">Figure 3: Raw (Panel A) or aggregated (Panel B) effect sizes plotted against their corresponding standard errors.</w:t>
      </w:r>
    </w:p>
    <w:bookmarkEnd w:id="58"/>
    <w:bookmarkEnd w:id="59"/>
    <w:bookmarkStart w:id="60" w:name="discussion"/>
    <w:p>
      <w:pPr>
        <w:pStyle w:val="berschrift2"/>
      </w:pPr>
      <w:r>
        <w:t xml:space="preserve">Discussion</w:t>
      </w:r>
    </w:p>
    <w:p>
      <w:pPr>
        <w:pStyle w:val="FirstParagraph"/>
      </w:pPr>
      <w:r>
        <w:t xml:space="preserve">Overall, explicit manipulations of demand characteristics caused participants’ responses to shift in a manner consistent with the communicated hypothesis. However, high levels of heterogeneity were observed. As an illustration, we estimated the true distribution of demand effects, which suggested that 62% of demand characteristic manipulations produce hypothesis-consistent shifts (</w:t>
      </w:r>
      <m:oMath>
        <m:r>
          <m:t>g</m:t>
        </m:r>
      </m:oMath>
      <w:r>
        <w:t xml:space="preserve"> </w:t>
      </w:r>
      <w:r>
        <w:t xml:space="preserve">&gt; 0.10); 18% produce hypothesis-</w:t>
      </w:r>
      <w:r>
        <w:rPr>
          <w:iCs/>
          <w:i/>
        </w:rPr>
        <w:t xml:space="preserve">in</w:t>
      </w:r>
      <w:r>
        <w:t xml:space="preserve">consistent shifts (</w:t>
      </w:r>
      <m:oMath>
        <m:r>
          <m:t>g</m:t>
        </m:r>
      </m:oMath>
      <w:r>
        <w:t xml:space="preserve"> </w:t>
      </w:r>
      <w:r>
        <w:t xml:space="preserve">&lt; -0.10), and 20% produce negligible shifts in either direction (-0.10 &lt;</w:t>
      </w:r>
      <w:r>
        <w:t xml:space="preserve"> </w:t>
      </w:r>
      <m:oMath>
        <m:r>
          <m:t>g</m:t>
        </m:r>
      </m:oMath>
      <w:r>
        <w:t xml:space="preserve"> </w:t>
      </w:r>
      <w:r>
        <w:t xml:space="preserve">&gt; 0.10). Moderator analyses revealed two study features that were associated with more hypothesis-consistent shifts in responses: (1) sampling student populations, and (2) communicating that the researchers hypothesizes there will be</w:t>
      </w:r>
      <w:r>
        <w:t xml:space="preserve"> </w:t>
      </w:r>
      <w:r>
        <w:rPr>
          <w:iCs/>
          <w:i/>
        </w:rPr>
        <w:t xml:space="preserve">no</w:t>
      </w:r>
      <w:r>
        <w:t xml:space="preserve"> </w:t>
      </w:r>
      <w:r>
        <w:t xml:space="preserve">shift in responses (i.e., using nil demand manipulations).</w:t>
      </w:r>
    </w:p>
    <w:p>
      <w:pPr>
        <w:pStyle w:val="Textkrper"/>
      </w:pPr>
      <w:r>
        <w:t xml:space="preserve">More practically, we estimated that demand characteristics produce small increases in hypothesis-consistent responding in</w:t>
      </w:r>
      <w:r>
        <w:t xml:space="preserve"> </w:t>
      </w:r>
      <w:r>
        <w:t xml:space="preserve">“</w:t>
      </w:r>
      <w:r>
        <w:t xml:space="preserve">classic experimental settings</w:t>
      </w:r>
      <w:r>
        <w:t xml:space="preserve">”</w:t>
      </w:r>
      <w:r>
        <w:t xml:space="preserve">: in-person studies testing positive effects with unpaid student samples. In contrast, when these studies are run online with paid workers – an</w:t>
      </w:r>
      <w:r>
        <w:t xml:space="preserve"> </w:t>
      </w:r>
      <w:r>
        <w:t xml:space="preserve">“</w:t>
      </w:r>
      <w:r>
        <w:t xml:space="preserve">online worker experimental setting</w:t>
      </w:r>
      <w:r>
        <w:t xml:space="preserve">”</w:t>
      </w:r>
      <w:r>
        <w:t xml:space="preserve"> </w:t>
      </w:r>
      <w:r>
        <w:t xml:space="preserve">– we estimated that demand effects are near zero. However, these results are ultimately preliminary given the high heterogeneity and inconsistent evidence of the direction and impact of publication bias.</w:t>
      </w:r>
    </w:p>
    <w:p>
      <w:pPr>
        <w:pStyle w:val="Textkrper"/>
      </w:pPr>
      <w:r>
        <w:t xml:space="preserve">Study 1 provides preliminary insights on the magnitude, consistency, and contextual moderators of demand effects. However, it was not designed to examine mechanisms often discussed in motivation and expectancy accounts of demand characteristics. For example, consider our finding that demand characteristics tend to produce more hypothesis-consistent shifts in responses when students (vs. workers) are sampled. If this is true, it may occur because students are more motivated to help the experimenter confirm their hypothesis (motivation account). Alternatively, it may occur because students are more likely to</w:t>
      </w:r>
      <w:r>
        <w:t xml:space="preserve"> </w:t>
      </w:r>
      <w:r>
        <w:rPr>
          <w:iCs/>
          <w:i/>
        </w:rPr>
        <w:t xml:space="preserve">believe</w:t>
      </w:r>
      <w:r>
        <w:t xml:space="preserve"> </w:t>
      </w:r>
      <w:r>
        <w:t xml:space="preserve">the communicated hypothesis (expectancy account). In other words, although we have preliminary evidence of contextual modifiers of demand effects, we still lack an explanation of why these contexts matter and how demand effects work more broadly. In Study 2, we begin investigating this outstanding issue through an extension of the meta-analysis.</w:t>
      </w:r>
    </w:p>
    <w:bookmarkEnd w:id="60"/>
    <w:bookmarkEnd w:id="61"/>
    <w:bookmarkStart w:id="62" w:name="general-discussion"/>
    <w:p>
      <w:pPr>
        <w:pStyle w:val="berschrift1"/>
      </w:pPr>
      <w:r>
        <w:t xml:space="preserve">General Discussion</w:t>
      </w:r>
    </w:p>
    <w:p>
      <w:pPr>
        <w:pStyle w:val="FirstParagraph"/>
      </w:pPr>
      <w:r>
        <w:t xml:space="preserve">Demand characteristics are a puzzling methodological artifact in experimental psychology. Using meta-analysis and a replication of a recent study, we sought to consolidate knowledge about the magnitude, reliability, and mechanisms underlying these effects. The meta-analysis revealed that demand characteristics typically led participants to slightly shift their responses in the direction of the communicated hypothesis. However, publication bias analyses were inconclusive, and the estimated effects were heterogeneous. This heterogeneity led us to estimate the true</w:t>
      </w:r>
      <w:r>
        <w:t xml:space="preserve"> </w:t>
      </w:r>
      <w:r>
        <w:rPr>
          <w:iCs/>
          <w:i/>
        </w:rPr>
        <w:t xml:space="preserve">distribution</w:t>
      </w:r>
      <w:r>
        <w:t xml:space="preserve"> </w:t>
      </w:r>
      <w:r>
        <w:t xml:space="preserve">of demand effects. This distribution suggests that approximately 62% of demand characteristic manipulations produce hypothesis-consistent shifts in participants’ responses (</w:t>
      </w:r>
      <m:oMath>
        <m:r>
          <m:t>g</m:t>
        </m:r>
      </m:oMath>
      <w:r>
        <w:t xml:space="preserve"> </w:t>
      </w:r>
      <w:r>
        <w:t xml:space="preserve">&gt; 0.10), 18% produce hypothesis-</w:t>
      </w:r>
      <w:r>
        <w:rPr>
          <w:iCs/>
          <w:i/>
        </w:rPr>
        <w:t xml:space="preserve">in</w:t>
      </w:r>
      <w:r>
        <w:t xml:space="preserve">consistent shifts in participants’ responses (</w:t>
      </w:r>
      <m:oMath>
        <m:r>
          <m:t>g</m:t>
        </m:r>
      </m:oMath>
      <w:r>
        <w:t xml:space="preserve"> </w:t>
      </w:r>
      <w:r>
        <w:t xml:space="preserve">&lt; -0.10), and 20% produce negligible shifts in either direction (-0.10 &lt;</w:t>
      </w:r>
      <w:r>
        <w:t xml:space="preserve"> </w:t>
      </w:r>
      <m:oMath>
        <m:r>
          <m:t>g</m:t>
        </m:r>
      </m:oMath>
      <w:r>
        <w:t xml:space="preserve"> </w:t>
      </w:r>
      <w:r>
        <w:t xml:space="preserve">&gt; 0.10). Most worrisome, the estimated distribution of demand effects ranges from approximately</w:t>
      </w:r>
      <w:r>
        <w:t xml:space="preserve"> </w:t>
      </w:r>
      <m:oMath>
        <m:r>
          <m:t>g</m:t>
        </m:r>
      </m:oMath>
      <w:r>
        <w:t xml:space="preserve"> </w:t>
      </w:r>
      <w:r>
        <w:t xml:space="preserve">= -1.33 to</w:t>
      </w:r>
      <w:r>
        <w:t xml:space="preserve"> </w:t>
      </w:r>
      <m:oMath>
        <m:r>
          <m:t>g</m:t>
        </m:r>
      </m:oMath>
      <w:r>
        <w:t xml:space="preserve"> </w:t>
      </w:r>
      <w:r>
        <w:t xml:space="preserve">= 1.82 – remarkable similar to the distribution of theory-relevant effects in experimental psychology</w:t>
      </w:r>
      <w:r>
        <w:t xml:space="preserve"> </w:t>
      </w:r>
      <w:r>
        <w:t xml:space="preserve">(Lovakov &amp; Agadullina, 2021)</w:t>
      </w:r>
      <w:r>
        <w:t xml:space="preserve">. Thus, to distinguish theory-relevant effects from artifactual demand effects, it is essential that experimental psychologists better understand the latter</w:t>
      </w:r>
      <w:r>
        <w:t xml:space="preserve"> </w:t>
      </w:r>
      <w:r>
        <w:t xml:space="preserve">(Boot, Simons, Stothart, &amp; Stutts, 2013; Corneille &amp; Lush, 2022; Sharpe &amp; Whelton, 2016)</w:t>
      </w:r>
      <w:r>
        <w:t xml:space="preserve">.</w:t>
      </w:r>
    </w:p>
    <w:p>
      <w:pPr>
        <w:pStyle w:val="Textkrper"/>
      </w:pPr>
      <w:r>
        <w:t xml:space="preserve">Participants themselves appeared to have little ability to predict or explain the impact of demand characteristics in the studies they reviewed, although it is possible that their performance would improve if they were provided with more information, given better measures, and/or better incentivized to provide accurate predictions. Fortunately, our meta-analysis allows us to make some predictions. Moderator analyses provided preliminary evidence that some methodological factors – such as student samples – are associated with increases in hypothesis-consistent responding. We also found that demand characteristics tended to be more impactful when a nil (as opposed to negative or positive) hypothesis was communicated. Nonetheless, most of the variability we observed in the meta-analysis was not explained.</w:t>
      </w:r>
    </w:p>
    <w:p>
      <w:pPr>
        <w:pStyle w:val="Textkrper"/>
      </w:pPr>
      <w:r>
        <w:t xml:space="preserve">Although motivation accounts are popular in in the demand characteristics literature</w:t>
      </w:r>
      <w:r>
        <w:t xml:space="preserve"> </w:t>
      </w:r>
      <w:r>
        <w:t xml:space="preserve">(Cook et al., 1970; Orne, 1962; Riecken, 1962; Rosenberg, 1969; Rosnow &amp; Rosenthal, 1997; Sigall et al., 1970)</w:t>
      </w:r>
      <w:r>
        <w:t xml:space="preserve">, we found little support for this view. In the Study 2 meta-analysis, we did not find that external ratings of two factors oft-discussed in motivation accounts – motivation and opportunity to adjust responses – moderated demand effects. We found some evidence in Study 3 that motivation (but not opportunity) ratings moderated demand effects, but the evidence was weak.</w:t>
      </w:r>
    </w:p>
    <w:p>
      <w:pPr>
        <w:pStyle w:val="Textkrper"/>
      </w:pPr>
      <w:r>
        <w:t xml:space="preserve">Consistent with expectancy accounts, our results consistently indicated that participants’ expectations about hypothesized effects partially drive demand effects. This may occur because demand characteristics activate pre-existing beliefs about a phenomenon being investigated. It is also possible that demand characteristics cause participants to update or form new expectations. If true, research on how beliefs are formed, updated, and impact participant responses may help explain the heterogeneous effects of demand characteristic manipulations. For example, if expectations are governed by Bayesian principles</w:t>
      </w:r>
      <w:r>
        <w:t xml:space="preserve"> </w:t>
      </w:r>
      <w:r>
        <w:t xml:space="preserve">(for a review, see Kube &amp; Rozenkrantz, 2021)</w:t>
      </w:r>
      <w:r>
        <w:t xml:space="preserve">, demand characteristics should exert larger effects in contexts where participants have relatively uncertain pre-existing expectations.</w:t>
      </w:r>
    </w:p>
    <w:p>
      <w:pPr>
        <w:pStyle w:val="Textkrper"/>
      </w:pPr>
      <w:r>
        <w:t xml:space="preserve">Expectancy effects can certainly be reduced – but it is not clear if they can be fully avoided</w:t>
      </w:r>
      <w:r>
        <w:t xml:space="preserve"> </w:t>
      </w:r>
      <w:r>
        <w:t xml:space="preserve">(Boot et al., 2013)</w:t>
      </w:r>
      <w:r>
        <w:t xml:space="preserve">. Indeed, participants possess a rich array of pre-existing expectations</w:t>
      </w:r>
      <w:r>
        <w:t xml:space="preserve"> </w:t>
      </w:r>
      <w:r>
        <w:rPr>
          <w:iCs/>
          <w:i/>
        </w:rPr>
        <w:t xml:space="preserve">before</w:t>
      </w:r>
      <w:r>
        <w:t xml:space="preserve"> </w:t>
      </w:r>
      <w:r>
        <w:t xml:space="preserve">they enter our studies</w:t>
      </w:r>
      <w:r>
        <w:t xml:space="preserve"> </w:t>
      </w:r>
      <w:r>
        <w:t xml:space="preserve">(Dweck, 2012)</w:t>
      </w:r>
      <w:r>
        <w:t xml:space="preserve">. For example,</w:t>
      </w:r>
      <w:r>
        <w:t xml:space="preserve"> </w:t>
      </w:r>
      <w:r>
        <w:t xml:space="preserve">Coles et al. (2022)</w:t>
      </w:r>
      <w:r>
        <w:t xml:space="preserve"> </w:t>
      </w:r>
      <w:r>
        <w:t xml:space="preserve">estimated that 44% of sampled undergraduates and 34% of sampled online workers believed – before entering the study – that facial poses impact emotion. Even with deception about the purpose of the study, these pre-existing beliefs appear to shape the extent to which participants exhibit facial feedback effects. Similar observations have been made elsewhere, for example in literature examining the effects of videogame training on cognitive tasks</w:t>
      </w:r>
      <w:r>
        <w:t xml:space="preserve"> </w:t>
      </w:r>
      <w:r>
        <w:t xml:space="preserve">(Boot et al., 2013)</w:t>
      </w:r>
      <w:r>
        <w:t xml:space="preserve">. In other words, deception about the purpose of the study does not guarantee an unbiased estimate of a mechanism-of-interest. In the real world, the mechanisms that psychologists theorize about may be naturalistically confounded with participants’ beliefs.</w:t>
      </w:r>
    </w:p>
    <w:p>
      <w:pPr>
        <w:pStyle w:val="Textkrper"/>
      </w:pPr>
      <w:r>
        <w:t xml:space="preserve">We end on a note of concern. We estimated that experimentally manipulated demand characteristics have a similar distribution of effects as the theory-relevant phenomena that many psychologists study</w:t>
      </w:r>
      <w:r>
        <w:t xml:space="preserve"> </w:t>
      </w:r>
      <w:r>
        <w:t xml:space="preserve">(Lovakov &amp; Agadullina, 2021)</w:t>
      </w:r>
      <w:r>
        <w:t xml:space="preserve">. These demand effects appear to be most reliably predicted by participant expectations about the hypothesized effects (i.e., expectancy effects). Even when specific demand characteristics are eliminated, participants have expectations about the phenomena we study – and these expectations may be naturalistically confounded with the theory-relevant mechanisms we wish to study. Thus, if (a) demand characteristics are present or (b) participants are likely to have pre-existing expectations about the phenomenon being studied, researchers should be wary of concluding that an observed effect is not compromised by methodological artifacts</w:t>
      </w:r>
      <w:r>
        <w:t xml:space="preserve"> </w:t>
      </w:r>
      <w:r>
        <w:t xml:space="preserve">(Boot et al., 2013; Corneille &amp; Lush, 2022)</w:t>
      </w:r>
      <w:r>
        <w:t xml:space="preserve">.</w:t>
      </w:r>
    </w:p>
    <w:bookmarkEnd w:id="62"/>
    <w:bookmarkStart w:id="138" w:name="references"/>
    <w:p>
      <w:pPr>
        <w:pStyle w:val="berschrift1"/>
      </w:pPr>
      <w:r>
        <w:t xml:space="preserve">References</w:t>
      </w:r>
    </w:p>
    <w:p>
      <w:pPr>
        <w:pStyle w:val="FirstParagraph"/>
      </w:pPr>
      <w:r>
        <w:t xml:space="preserve">References marked with an asterisk indicate studies included in the meta-analysis.</w:t>
      </w:r>
    </w:p>
    <w:bookmarkStart w:id="137" w:name="refs"/>
    <w:bookmarkStart w:id="63"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3"/>
    <w:bookmarkStart w:id="6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4">
        <w:r>
          <w:rPr>
            <w:rStyle w:val="Hyperlink"/>
          </w:rPr>
          <w:t xml:space="preserve">https://github.com/crsh/papaja</w:t>
        </w:r>
      </w:hyperlink>
    </w:p>
    <w:bookmarkEnd w:id="65"/>
    <w:bookmarkStart w:id="66"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66"/>
    <w:bookmarkStart w:id="67"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67"/>
    <w:bookmarkStart w:id="68" w:name="ref-boot2013pervasive"/>
    <w:p>
      <w:pPr>
        <w:pStyle w:val="Literaturverzeichnis"/>
      </w:pPr>
      <w:r>
        <w:t xml:space="preserve">Boot, W. R., Simons, D. J., Stothart, C., &amp; Stutts, C. (2013). The pervasive problem with placebos in psychology: Why active control groups are not sufficient to rule out placebo effects.</w:t>
      </w:r>
      <w:r>
        <w:t xml:space="preserve"> </w:t>
      </w:r>
      <w:r>
        <w:rPr>
          <w:iCs/>
          <w:i/>
        </w:rPr>
        <w:t xml:space="preserve">Perspectives on Psychological Science</w:t>
      </w:r>
      <w:r>
        <w:t xml:space="preserve">,</w:t>
      </w:r>
      <w:r>
        <w:t xml:space="preserve"> </w:t>
      </w:r>
      <w:r>
        <w:rPr>
          <w:iCs/>
          <w:i/>
        </w:rPr>
        <w:t xml:space="preserve">8</w:t>
      </w:r>
      <w:r>
        <w:t xml:space="preserve">(4), 445–454.</w:t>
      </w:r>
    </w:p>
    <w:bookmarkEnd w:id="68"/>
    <w:bookmarkStart w:id="69"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9"/>
    <w:bookmarkStart w:id="70"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70"/>
    <w:bookmarkStart w:id="71"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71"/>
    <w:bookmarkStart w:id="73"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72">
        <w:r>
          <w:rPr>
            <w:rStyle w:val="Hyperlink"/>
          </w:rPr>
          <w:t xml:space="preserve">https://CRAN.R-project.org/package=weightr</w:t>
        </w:r>
      </w:hyperlink>
    </w:p>
    <w:bookmarkEnd w:id="73"/>
    <w:bookmarkStart w:id="74"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4"/>
    <w:bookmarkStart w:id="75"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5"/>
    <w:bookmarkStart w:id="76"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6"/>
    <w:bookmarkStart w:id="77" w:name="ref-corneille2022sixty"/>
    <w:p>
      <w:pPr>
        <w:pStyle w:val="Literaturverzeichnis"/>
      </w:pPr>
      <w:r>
        <w:t xml:space="preserve">Corneille, O., &amp; Lush, P. (2022).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 81–101.</w:t>
      </w:r>
    </w:p>
    <w:bookmarkEnd w:id="77"/>
    <w:bookmarkStart w:id="78"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78"/>
    <w:bookmarkStart w:id="79"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79"/>
    <w:bookmarkStart w:id="80"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80"/>
    <w:bookmarkStart w:id="81"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81"/>
    <w:bookmarkStart w:id="82"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2"/>
    <w:bookmarkStart w:id="83"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3"/>
    <w:bookmarkStart w:id="84" w:name="ref-dweck2012implicit"/>
    <w:p>
      <w:pPr>
        <w:pStyle w:val="Literaturverzeichnis"/>
      </w:pPr>
      <w:r>
        <w:t xml:space="preserve">Dweck, C. S. (2012). Implicit theories. In P. A. M. V. Lange, A. W. Kruglanski, &amp; T. Higgins (Eds.),</w:t>
      </w:r>
      <w:r>
        <w:t xml:space="preserve"> </w:t>
      </w:r>
      <w:r>
        <w:rPr>
          <w:iCs/>
          <w:i/>
        </w:rPr>
        <w:t xml:space="preserve">Handbook of theories of social psychology</w:t>
      </w:r>
      <w:r>
        <w:t xml:space="preserve"> </w:t>
      </w:r>
      <w:r>
        <w:t xml:space="preserve">(Vol. 2, pp. 43–61). London: SAGE Publications Ltd.</w:t>
      </w:r>
    </w:p>
    <w:bookmarkEnd w:id="84"/>
    <w:bookmarkStart w:id="85"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85"/>
    <w:bookmarkStart w:id="86"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6"/>
    <w:bookmarkStart w:id="87"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7"/>
    <w:bookmarkStart w:id="88"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88"/>
    <w:bookmarkStart w:id="89"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9"/>
    <w:bookmarkStart w:id="90"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90"/>
    <w:bookmarkStart w:id="91"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1"/>
    <w:bookmarkStart w:id="92"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92"/>
    <w:bookmarkStart w:id="93"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3"/>
    <w:bookmarkStart w:id="94"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4"/>
    <w:bookmarkStart w:id="95"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5"/>
    <w:bookmarkStart w:id="96" w:name="ref-kube2021beliefs"/>
    <w:p>
      <w:pPr>
        <w:pStyle w:val="Literaturverzeichnis"/>
      </w:pPr>
      <w:r>
        <w:t xml:space="preserve">Kube, T., &amp; Rozenkrantz, L. (2021). When beliefs face reality: An integrative review of belief updating in mental health and illness.</w:t>
      </w:r>
      <w:r>
        <w:t xml:space="preserve"> </w:t>
      </w:r>
      <w:r>
        <w:rPr>
          <w:iCs/>
          <w:i/>
        </w:rPr>
        <w:t xml:space="preserve">Perspectives on Psychological Science</w:t>
      </w:r>
      <w:r>
        <w:t xml:space="preserve">,</w:t>
      </w:r>
      <w:r>
        <w:t xml:space="preserve"> </w:t>
      </w:r>
      <w:r>
        <w:rPr>
          <w:iCs/>
          <w:i/>
        </w:rPr>
        <w:t xml:space="preserve">16</w:t>
      </w:r>
      <w:r>
        <w:t xml:space="preserve">(2), 247–274.</w:t>
      </w:r>
    </w:p>
    <w:bookmarkEnd w:id="96"/>
    <w:bookmarkStart w:id="97"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97"/>
    <w:bookmarkStart w:id="98"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98"/>
    <w:bookmarkStart w:id="99"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99"/>
    <w:bookmarkStart w:id="101"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100">
        <w:r>
          <w:rPr>
            <w:rStyle w:val="Hyperlink"/>
          </w:rPr>
          <w:t xml:space="preserve">https://doi.org/10.21105/joss.03139</w:t>
        </w:r>
      </w:hyperlink>
    </w:p>
    <w:bookmarkEnd w:id="101"/>
    <w:bookmarkStart w:id="102"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2"/>
    <w:bookmarkStart w:id="103"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3"/>
    <w:bookmarkStart w:id="104"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4"/>
    <w:bookmarkStart w:id="105"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5"/>
    <w:bookmarkStart w:id="106"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6"/>
    <w:bookmarkStart w:id="107"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07"/>
    <w:bookmarkStart w:id="108"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08"/>
    <w:bookmarkStart w:id="109"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09"/>
    <w:bookmarkStart w:id="110"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0"/>
    <w:bookmarkStart w:id="111"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1"/>
    <w:bookmarkStart w:id="112"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2"/>
    <w:bookmarkStart w:id="113"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3"/>
    <w:bookmarkStart w:id="115"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4">
        <w:r>
          <w:rPr>
            <w:rStyle w:val="Hyperlink"/>
          </w:rPr>
          <w:t xml:space="preserve">https://www.R-project.org/</w:t>
        </w:r>
      </w:hyperlink>
    </w:p>
    <w:bookmarkEnd w:id="115"/>
    <w:bookmarkStart w:id="116"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16"/>
    <w:bookmarkStart w:id="117"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17"/>
    <w:bookmarkStart w:id="118"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18"/>
    <w:bookmarkStart w:id="119"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19"/>
    <w:bookmarkStart w:id="120"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0"/>
    <w:bookmarkStart w:id="121"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1"/>
    <w:bookmarkStart w:id="122"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2"/>
    <w:bookmarkStart w:id="123"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3"/>
    <w:bookmarkStart w:id="124"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4"/>
    <w:bookmarkStart w:id="125"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5"/>
    <w:bookmarkStart w:id="126"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26"/>
    <w:bookmarkStart w:id="127"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27"/>
    <w:bookmarkStart w:id="128"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28"/>
    <w:bookmarkStart w:id="129"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29"/>
    <w:bookmarkStart w:id="130"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0"/>
    <w:bookmarkStart w:id="131"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1"/>
    <w:bookmarkStart w:id="132"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2"/>
    <w:bookmarkStart w:id="133"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3"/>
    <w:bookmarkStart w:id="134"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4"/>
    <w:bookmarkStart w:id="135"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35"/>
    <w:bookmarkStart w:id="136"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36"/>
    <w:bookmarkEnd w:id="137"/>
    <w:bookmarkEnd w:id="138"/>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2">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hyperlink" Id="rId72" Target="https://CRAN.R-project.org/package=weightr" TargetMode="External" /><Relationship Type="http://schemas.openxmlformats.org/officeDocument/2006/relationships/hyperlink" Id="rId100" Target="https://doi.org/10.21105/joss.03139" TargetMode="External" /><Relationship Type="http://schemas.openxmlformats.org/officeDocument/2006/relationships/hyperlink" Id="rId64"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2" Target="https://CRAN.R-project.org/package=weightr" TargetMode="External" /><Relationship Type="http://schemas.openxmlformats.org/officeDocument/2006/relationships/hyperlink" Id="rId100" Target="https://doi.org/10.21105/joss.03139" TargetMode="External" /><Relationship Type="http://schemas.openxmlformats.org/officeDocument/2006/relationships/hyperlink" Id="rId64"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characteristics exert potentially powerful effects that are unreliable and difficult to explain: A meta-analysis of manipulations of explicit hypothesis cues</dc:title>
  <dc:creator/>
  <cp:keywords/>
  <dcterms:created xsi:type="dcterms:W3CDTF">2024-06-19T14:48:41Z</dcterms:created>
  <dcterms:modified xsi:type="dcterms:W3CDTF">2024-06-19T14:48:41Z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40 studies that experimentally tested this concern by manipulating the hypothesis explicitly communicated to participants. Results suggested that explicit information about the researcher’s hypothesis produce biases in participants’ responses that can be potentially large – but are troublingly unreliable and difficult to explain. All materials, data (raw and processed), code, and pre-registrations (for Studies 1 and 2)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kersbergen2019hypothesis;@martin2018attention;@hoogeveen2018did;@rose2014choice;@durgin2012social;@busch2007follow;@cramer2005effect;@kanter2004experimental;@terhune2006induction;@cramer1995effect;@barabasz1991effects;@veitch1991demand;@smith1986influence;@siegel1982influence;@lamberth1971similarity;@polivy1980laboratory;@earn1979experimental;@perry1978demand;@mcginley1975subject;@mcglynn1972experimental;@verpaelst2007demand;@lana1971subject;@schauer1969demand;@cramer2004effect;@isager2022student</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