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9.png" ContentType="image/png"/>
  <Override PartName="/word/media/rId56.png" ContentType="image/png"/>
  <Override PartName="/word/media/rId37.png" ContentType="image/png"/>
  <Override PartName="/word/media/rId49.png" ContentType="image/png"/>
  <Override PartName="/word/media/rId66.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openly available at</w:t>
      </w:r>
      <w:r>
        <w:t xml:space="preserve"> </w:t>
      </w:r>
      <w:hyperlink r:id="rId20">
        <w:r>
          <w:rPr>
            <w:rStyle w:val="Hyperlink"/>
          </w:rPr>
          <w:t xml:space="preserve">https://osf.io/3hkre/</w:t>
        </w:r>
      </w:hyperlink>
      <w:r>
        <w:t xml:space="preserv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w:t>
      </w:r>
    </w:p>
    <w:p>
      <w:pPr>
        <w:pStyle w:val="Textkrper"/>
      </w:pPr>
      <w:r>
        <w:t xml:space="preserve">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Results indicated that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1.97 (a large increase in hypothesis-consistent responding) to</w:t>
      </w:r>
      <w:r>
        <w:t xml:space="preserve"> </w:t>
      </w:r>
      <w:r>
        <w:rPr>
          <w:iCs/>
          <w:i/>
        </w:rPr>
        <w:t xml:space="preserve">d</w:t>
      </w:r>
      <w:r>
        <w:t xml:space="preserve"> </w:t>
      </w:r>
      <w:r>
        <w:t xml:space="preserve">= -1.44 (a large increase in hypothesis-</w:t>
      </w:r>
      <w:r>
        <w:rPr>
          <w:iCs/>
          <w:i/>
        </w:rPr>
        <w:t xml:space="preserve">in</w:t>
      </w:r>
      <w:r>
        <w:t xml:space="preserve">consistent responding). Contra prior frameworks, we did not find evidence that demand effects were driven by 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pPr>
        <w:pStyle w:val="Textkrper"/>
      </w:pPr>
      <w:r>
        <w:rPr>
          <w:iCs/>
          <w:i/>
        </w:rPr>
        <w:t xml:space="preserve">Keywords:</w:t>
      </w:r>
      <w:r>
        <w:t xml:space="preserve"> </w:t>
      </w:r>
      <w:r>
        <w:t xml:space="preserve">demand characteristics, placebo, mindsets, research methods, meta-analysis</w:t>
      </w:r>
    </w:p>
    <w:p>
      <w:pPr>
        <w:pStyle w:val="h1-pagebreak"/>
      </w:pPr>
      <w:r>
        <w:t xml:space="preserve">A quantitative review of demand characteristics and their underlying mechanisms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They then offer a confession: the artifact doesn’t always impact their method, and they don’t understand why. Sometimes the artifact seems to matter, other times it doesn’t – and its underlying mechanisms are poorly understood. If this scenario were real, these concerns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w:t>
      </w:r>
      <w:r>
        <w:t xml:space="preserve"> </w:t>
      </w:r>
      <w:r>
        <w:rPr>
          <w:iCs/>
          <w:i/>
        </w:rPr>
        <w:t xml:space="preserve">active</w:t>
      </w:r>
      <w:r>
        <w:t xml:space="preserve"> </w:t>
      </w:r>
      <w:r>
        <w:t xml:space="preserve">responders to the experimental context. In particular, Orne argued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demand characteristics do not always seem to matter. For example, contrary to the aforementioned demonstration of demand effects, manipulations of demand characteristics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characteristics are a fundamental methodological concern, but the magnitude, direction, and consistency of their effects remain unclear. In the present paper, we use meta-analysis and replication to shed light on these issues. We begin by briefly reviewing literature on the mechanisms theorized to underlie the effects of demand characteristics.</w:t>
      </w:r>
    </w:p>
    <w:bookmarkStart w:id="25"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w:t>
      </w:r>
      <w:r>
        <w:t xml:space="preserve"> </w:t>
      </w:r>
      <w:r>
        <w:t xml:space="preserve">(for a recent review, see Corneille &amp; Lush, 2022)</w:t>
      </w:r>
      <w:r>
        <w:t xml:space="preserve">. In the present work, we focus on two potential mechanisms: response biases and placebo effects. We define</w:t>
      </w:r>
      <w:r>
        <w:t xml:space="preserve"> </w:t>
      </w:r>
      <w:r>
        <w:rPr>
          <w:iCs/>
          <w:i/>
        </w:rPr>
        <w:t xml:space="preserve">response biases</w:t>
      </w:r>
      <w:r>
        <w:t xml:space="preserve"> </w:t>
      </w:r>
      <w:r>
        <w:t xml:space="preserve">as changes mediated by relatively deliberate changes that participants make to their responses</w:t>
      </w:r>
      <w:r>
        <w:t xml:space="preserve"> </w:t>
      </w:r>
      <w:r>
        <w:t xml:space="preserve">(Rosnow &amp; Aiken, 1973; Strohmetz, 2008)</w:t>
      </w:r>
      <w:r>
        <w:t xml:space="preserve">. We distinguish these response biases from</w:t>
      </w:r>
      <w:r>
        <w:t xml:space="preserve"> </w:t>
      </w:r>
      <w:r>
        <w:rPr>
          <w:iCs/>
          <w:i/>
        </w:rPr>
        <w:t xml:space="preserve">placebo effects</w:t>
      </w:r>
      <w:r>
        <w:t xml:space="preserve">: changes mediated by the relatively automatic activation of beliefs and/or conditioned responses</w:t>
      </w:r>
      <w:r>
        <w:t xml:space="preserve"> </w:t>
      </w:r>
      <w:r>
        <w:t xml:space="preserve">(Stewart-Williams &amp; Podd, 2004; Zion &amp; Crum, 2018)</w:t>
      </w:r>
      <w:r>
        <w:t xml:space="preserve">. As an example of this distinction, imagine that a participant knows that a researcher expects an intervention to boost mood. Response bias, on on hand, would involve a change in participants’ self-reported mood without a concomitant change in actual mood. Placebo effects, on the other hand, would entail an actual change in mood.</w:t>
      </w:r>
    </w:p>
    <w:p>
      <w:pPr>
        <w:pStyle w:val="Textkrper"/>
      </w:pPr>
      <w:r>
        <w:t xml:space="preserve">One of the most influential frameworks for conceptualizing demand characteristics as response biases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w:t>
      </w:r>
    </w:p>
    <w:p>
      <w:pPr>
        <w:pStyle w:val="Textkrper"/>
      </w:pPr>
      <w:r>
        <w:t xml:space="preserve">To start,</w:t>
      </w:r>
      <w:r>
        <w:t xml:space="preserve"> </w:t>
      </w:r>
      <w:r>
        <w:t xml:space="preserve">Rosnow and Rosenthal (1997)</w:t>
      </w:r>
      <w:r>
        <w:t xml:space="preserve"> </w:t>
      </w:r>
      <w:r>
        <w:t xml:space="preserve">reasoned that participants must be receptive to demand characteristics in order for there to be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Rosnow and Rosenthal (1997)</w:t>
      </w:r>
      <w:r>
        <w:t xml:space="preserve"> </w:t>
      </w:r>
      <w:r>
        <w:t xml:space="preserve">theorized that response biases are driven by participants’ motivation (or lack thereof) to provide hypothesis-consistent responses. Early research on demand characteristics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are motivated to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are motivated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appear to be motivated to increase performance on simple tasks when told that this is the experimenter’s expectation – but not when the experimenter adds that this increase in performance will be indicative of a negative personality trait</w:t>
      </w:r>
      <w:r>
        <w:t xml:space="preserve"> </w:t>
      </w:r>
      <w:r>
        <w:t xml:space="preserve">(Sigall et al., 1970)</w:t>
      </w:r>
      <w:r>
        <w:t xml:space="preserve">. Synthesizing the above observations and reasoning,</w:t>
      </w:r>
      <w:r>
        <w:t xml:space="preserve"> </w:t>
      </w:r>
      <w:r>
        <w:t xml:space="preserve">Rosnow and Rosenthal (1997)</w:t>
      </w:r>
      <w:r>
        <w:t xml:space="preserve"> </w:t>
      </w:r>
      <w:r>
        <w:t xml:space="preserve">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placebo effects.</w:t>
      </w:r>
    </w:p>
    <w:p>
      <w:pPr>
        <w:pStyle w:val="Textkrper"/>
      </w:pPr>
      <w:r>
        <w:t xml:space="preserve">Coles, Gaertner, et al. (2022)</w:t>
      </w:r>
      <w:r>
        <w:t xml:space="preserve"> </w:t>
      </w:r>
      <w:r>
        <w:t xml:space="preserve">recently argued that demand characteristics can produce both response biases and</w:t>
      </w:r>
      <w:r>
        <w:t xml:space="preserve"> </w:t>
      </w:r>
      <w:r>
        <w:rPr>
          <w:iCs/>
          <w:i/>
        </w:rPr>
        <w:t xml:space="preserve">placebo effects</w:t>
      </w:r>
      <w:r>
        <w:t xml:space="preserve"> </w:t>
      </w:r>
      <w:r>
        <w:t xml:space="preserve">– the latter which are theorized to be mediated by the relatively automatic activation of beliefs and/or conditioned responses</w:t>
      </w:r>
      <w:r>
        <w:t xml:space="preserve"> </w:t>
      </w:r>
      <w:r>
        <w:t xml:space="preserve">(Stewart-Williams &amp; Podd, 2004)</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evidence that demand characteristics can produce both response biases and placebo effects, the latter which can emerge even when participants have neither the motivation nor the opportunity to adjust their responses.</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t xml:space="preserve">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these raters could predict the effects of demand characteristic manipulations in the meta-analysis.</w:t>
      </w:r>
    </w:p>
    <w:p>
      <w:pPr>
        <w:pStyle w:val="Textkrper"/>
      </w:pPr>
      <w:r>
        <w:t xml:space="preserve">In Study 3, we report an exploratory replication experiment that re-examines the extent to which demand effects are driven by response biases and placebo effects. In this replication,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5" w:name="study-1"/>
    <w:p>
      <w:pPr>
        <w:pStyle w:val="berschrift1"/>
      </w:pPr>
      <w:r>
        <w:t xml:space="preserve">Study 1</w:t>
      </w:r>
    </w:p>
    <w:p>
      <w:pPr>
        <w:pStyle w:val="FirstParagraph"/>
      </w:pPr>
      <w:r>
        <w:t xml:space="preserve">Study 1 was designed to provide a quantitative synthesis of demand effects via meta-analysis.</w:t>
      </w:r>
    </w:p>
    <w:bookmarkStart w:id="36"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t xml:space="preserve">Whether students, non-students (e.g., MTurk workers), or a mix of students and non-students were sampled.</w:t>
      </w:r>
    </w:p>
    <w:p>
      <w:pPr>
        <w:numPr>
          <w:ilvl w:val="0"/>
          <w:numId w:val="1002"/>
        </w:numPr>
      </w:pPr>
      <w:r>
        <w:t xml:space="preserve">Whether the study was conducted online or in-person.</w:t>
      </w:r>
    </w:p>
    <w:p>
      <w:pPr>
        <w:numPr>
          <w:ilvl w:val="0"/>
          <w:numId w:val="1002"/>
        </w:numPr>
      </w:pPr>
      <w:r>
        <w:t xml:space="preserve">Whether demand characteristics were manipulation within- vs. between-subjects.</w:t>
      </w:r>
    </w:p>
    <w:p>
      <w:pPr>
        <w:numPr>
          <w:ilvl w:val="0"/>
          <w:numId w:val="1002"/>
        </w:numPr>
      </w:pP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We used three-level meta-analysis (3LMA; also referred to as</w:t>
      </w:r>
      <w:r>
        <w:t xml:space="preserve"> </w:t>
      </w:r>
      <w:r>
        <w:t xml:space="preserve">“</w:t>
      </w:r>
      <w:r>
        <w:t xml:space="preserve">multilevel</w:t>
      </w:r>
      <w:r>
        <w:t xml:space="preserve">”</w:t>
      </w:r>
      <w:r>
        <w:t xml:space="preserve"> </w:t>
      </w:r>
      <w:r>
        <w:t xml:space="preserve">meta-analysis), which accommodates nested effect sizes by modeling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To estimate the overall effect size, we fit an intercept-only 3LMA model. Unless otherwise specified, we conducted moderator analyses by separately entering dummy-coded categorical factors into the model, which was used to estimate the moderating relationship and the effect size within each subgroup of the moderator. Effect sizes were weighted based on their inverse-variance.</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typically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allowed us to estimate the difference in the magnitude of published vs. unpublished effects.</w:t>
      </w:r>
    </w:p>
    <w:bookmarkEnd w:id="33"/>
    <w:bookmarkEnd w:id="34"/>
    <w:bookmarkStart w:id="35"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determined by the availability of relevant records. All code (including the script used to generate a computationally-reproducible manuscript) has been checked for reproducibility. Ethics approval was not requested for this study because no new data were collected.</w:t>
      </w:r>
    </w:p>
    <w:bookmarkEnd w:id="35"/>
    <w:bookmarkEnd w:id="36"/>
    <w:bookmarkStart w:id="53"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8" name="Picture"/>
            <a:graphic>
              <a:graphicData uri="http://schemas.openxmlformats.org/drawingml/2006/picture">
                <pic:pic>
                  <pic:nvPicPr>
                    <pic:cNvPr descr="metaware_manuscript_files/figure-docx/forest-1.png" id="39" name="Picture"/>
                    <pic:cNvPicPr>
                      <a:picLocks noChangeArrowheads="1" noChangeAspect="1"/>
                    </pic:cNvPicPr>
                  </pic:nvPicPr>
                  <pic:blipFill>
                    <a:blip r:embed="rId37"/>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t xml:space="preserve">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we estimated that</w:t>
      </w:r>
      <w:r>
        <w:t xml:space="preserve"> </w:t>
      </w:r>
      <w:r>
        <w:rPr>
          <w:iCs/>
          <w:i/>
        </w:rPr>
        <w:t xml:space="preserve">true</w:t>
      </w:r>
      <w:r>
        <w:t xml:space="preserve"> </w:t>
      </w:r>
      <w:r>
        <w:t xml:space="preserve">demand effects can range from approximately</w:t>
      </w:r>
      <w:r>
        <w:t xml:space="preserve"> </w:t>
      </w:r>
      <m:oMath>
        <m:r>
          <m:t>d</m:t>
        </m:r>
      </m:oMath>
      <w:r>
        <w:t xml:space="preserve"> </w:t>
      </w:r>
      <w:r>
        <w:t xml:space="preserve">= -1.44 to</w:t>
      </w:r>
      <w:r>
        <w:t xml:space="preserve"> </w:t>
      </w:r>
      <m:oMath>
        <m:r>
          <m:t>d</m:t>
        </m:r>
      </m:oMath>
      <w:r>
        <w:t xml:space="preserve"> </w:t>
      </w:r>
      <w:r>
        <w:t xml:space="preserve">= 1.97.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3" w:name="moderator-analyses"/>
    <w:p>
      <w:pPr>
        <w:pStyle w:val="berschrift3"/>
      </w:pPr>
      <w:r>
        <w:t xml:space="preserve">Moderator analyses.</w:t>
      </w:r>
    </w:p>
    <w:p>
      <w:pPr>
        <w:pStyle w:val="CaptionedFigure"/>
      </w:pPr>
      <w:r>
        <w:drawing>
          <wp:inline>
            <wp:extent cx="4587290" cy="5137765"/>
            <wp:effectExtent b="0" l="0" r="0" t="0"/>
            <wp:docPr descr="Figure 3.  Selected moderator subgroup mean effect sizes (dots) and their 95% confidence intervals (error bars)." title="" id="41" name="Picture"/>
            <a:graphic>
              <a:graphicData uri="http://schemas.openxmlformats.org/drawingml/2006/picture">
                <pic:pic>
                  <pic:nvPicPr>
                    <pic:cNvPr descr="metaware_manuscript_files/figure-docx/modforest-1.png" id="42" name="Picture"/>
                    <pic:cNvPicPr>
                      <a:picLocks noChangeArrowheads="1" noChangeAspect="1"/>
                    </pic:cNvPicPr>
                  </pic:nvPicPr>
                  <pic:blipFill>
                    <a:blip r:embed="rId40"/>
                    <a:stretch>
                      <a:fillRect/>
                    </a:stretch>
                  </pic:blipFill>
                  <pic:spPr bwMode="auto">
                    <a:xfrm>
                      <a:off x="0" y="0"/>
                      <a:ext cx="4587290" cy="5137765"/>
                    </a:xfrm>
                    <a:prstGeom prst="rect">
                      <a:avLst/>
                    </a:prstGeom>
                    <a:noFill/>
                    <a:ln w="9525">
                      <a:noFill/>
                      <a:headEnd/>
                      <a:tailEnd/>
                    </a:ln>
                  </pic:spPr>
                </pic:pic>
              </a:graphicData>
            </a:graphic>
          </wp:inline>
        </w:drawing>
      </w:r>
    </w:p>
    <w:p>
      <w:pPr>
        <w:pStyle w:val="ImageCaption"/>
      </w:pPr>
      <w:r>
        <w:t xml:space="preserve">Figure 3: Selected moderator subgroup mean effect sizes (dots) and their 95% confidence intervals (error bars).</w:t>
      </w:r>
    </w:p>
    <w:p>
      <w:pPr>
        <w:pStyle w:val="Textkrper"/>
      </w:pPr>
      <w:r>
        <w:t xml:space="preserve">The observed variability in demand effects dramatically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heterogeneity suggests the existence of moderators.</w:t>
      </w:r>
    </w:p>
    <w:p>
      <w:pPr>
        <w:pStyle w:val="Textkrper"/>
      </w:pPr>
      <w:r>
        <w:t xml:space="preserve">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however,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 when researchers communicate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The effects of demand characteristics tended to be 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3"/>
    <w:bookmarkStart w:id="44"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entered as effect-coded factors.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in a more complex model.</w:t>
      </w:r>
    </w:p>
    <w:bookmarkEnd w:id="44"/>
    <w:bookmarkStart w:id="48" w:name="X4d2f8228bdffda6a1bb824165ec8bac5cd8c7b9"/>
    <w:p>
      <w:pPr>
        <w:pStyle w:val="berschrift3"/>
      </w:pPr>
      <w:r>
        <w:t xml:space="preserve">Estimating demand effects in specific study contexts.</w:t>
      </w:r>
    </w:p>
    <w:p>
      <w:pPr>
        <w:pStyle w:val="CaptionedFigure"/>
      </w:pPr>
      <w:r>
        <w:drawing>
          <wp:inline>
            <wp:extent cx="4587290" cy="4587290"/>
            <wp:effectExtent b="0" l="0" r="0" t="0"/>
            <wp:docPr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4587290" cy="4587290"/>
                    </a:xfrm>
                    <a:prstGeom prst="rect">
                      <a:avLst/>
                    </a:prstGeom>
                    <a:noFill/>
                    <a:ln w="9525">
                      <a:noFill/>
                      <a:headEnd/>
                      <a:tailEnd/>
                    </a:ln>
                  </pic:spPr>
                </pic:pic>
              </a:graphicData>
            </a:graphic>
          </wp:inline>
        </w:drawing>
      </w:r>
    </w:p>
    <w:p>
      <w:pPr>
        <w:pStyle w:val="ImageCaption"/>
      </w:pPr>
      <w:r>
        <w:t xml:space="preserve">Figure 4: Estimated overall effect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are testing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Start w:id="52"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0" name="Picture"/>
            <a:graphic>
              <a:graphicData uri="http://schemas.openxmlformats.org/drawingml/2006/picture">
                <pic:pic>
                  <pic:nvPicPr>
                    <pic:cNvPr descr="metaware_manuscript_files/figure-docx/funnel-1.png" id="51" name="Picture"/>
                    <pic:cNvPicPr>
                      <a:picLocks noChangeArrowheads="1" noChangeAspect="1"/>
                    </pic:cNvPicPr>
                  </pic:nvPicPr>
                  <pic:blipFill>
                    <a:blip r:embed="rId49"/>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t xml:space="preserve">Figure 5: Raw (A) or aggregated (B) effect sizes plotted against their corresponding standard errors.</w:t>
      </w:r>
    </w:p>
    <w:bookmarkEnd w:id="52"/>
    <w:bookmarkEnd w:id="53"/>
    <w:bookmarkStart w:id="54"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heterogeneous. As an illustration, we estimated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4"/>
    <w:bookmarkEnd w:id="55"/>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7" name="Picture"/>
            <a:graphic>
              <a:graphicData uri="http://schemas.openxmlformats.org/drawingml/2006/picture">
                <pic:pic>
                  <pic:nvPicPr>
                    <pic:cNvPr descr="images/metaware_vigs.png" id="58" name="Picture"/>
                    <pic:cNvPicPr>
                      <a:picLocks noChangeArrowheads="1" noChangeAspect="1"/>
                    </pic:cNvPicPr>
                  </pic:nvPicPr>
                  <pic:blipFill>
                    <a:blip r:embed="rId56"/>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that there ethnicity could not be described by any single provided category, and 14.00%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0" name="Picture"/>
            <a:graphic>
              <a:graphicData uri="http://schemas.openxmlformats.org/drawingml/2006/picture">
                <pic:pic>
                  <pic:nvPicPr>
                    <pic:cNvPr descr="images/metaware_mods.png" id="61" name="Picture"/>
                    <pic:cNvPicPr>
                      <a:picLocks noChangeArrowheads="1" noChangeAspect="1"/>
                    </pic:cNvPicPr>
                  </pic:nvPicPr>
                  <pic:blipFill>
                    <a:blip r:embed="rId59"/>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Panel A), belief in the stated hypothesis (</w:t>
      </w:r>
      <w:r>
        <w:rPr>
          <w:iCs/>
          <w:i/>
        </w:rPr>
        <w:t xml:space="preserve">b</w:t>
      </w:r>
      <w:r>
        <w:t xml:space="preserve">, Panel B), and opportunity to adjust responses (</w:t>
      </w:r>
      <w:r>
        <w:rPr>
          <w:iCs/>
          <w:i/>
        </w:rPr>
        <w:t xml:space="preserve">o</w:t>
      </w:r>
      <w:r>
        <w:t xml:space="preserve">, Panel C). In each panel, separate examples are provided for scenarios where motivation is invariant (Column 1) and variant (Column 2) across demand characteristic manipulations</w:t>
      </w:r>
    </w:p>
    <w:bookmarkStart w:id="62"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2"/>
    <w:bookmarkStart w:id="63"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3"/>
    <w:bookmarkStart w:id="64"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The effects of demand characteristics on participants’ responses were not significantly associated with motivation (Panel A), opportunity (Panel B), or prediction (Panel D) ratings. They were, however, significantly associated with belief ratings (Panel C)."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t xml:space="preserve">Figure 8: The effects of demand characteristics on participants’ responses were not significantly associated with motivation (Panel A), opportunity (Panel B), or prediction (Panel D) ratings. They were, however, significantly associated with belief ratings (Panel C).</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residual-variability"/>
    <w:p>
      <w:pPr>
        <w:pStyle w:val="berschrift3"/>
      </w:pPr>
      <w:r>
        <w:t xml:space="preserve">Residual variability.</w:t>
      </w:r>
    </w:p>
    <w:p>
      <w:pPr>
        <w:pStyle w:val="FirstParagraph"/>
      </w:pPr>
      <w:r>
        <w:t xml:space="preserve">To evaluate how much variability in demand effects is currently accounted for by our model, we calculated a psuedo-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 Rosnow &amp; Rosenthal, 1997)</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representative of the people sampled in previous research</w:t>
      </w:r>
      <w:r>
        <w:t xml:space="preserve"> </w:t>
      </w:r>
      <w:r>
        <w:t xml:space="preserve">(Gergen, 1973)</w:t>
      </w:r>
      <w:r>
        <w:t xml:space="preserve">.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6"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were randomized.</w:t>
      </w:r>
    </w:p>
    <w:bookmarkStart w:id="74"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3"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w:t>
        </w:r>
      </w:hyperlink>
      <w:r>
        <w:t xml:space="preserve">. Because the study was exploratory, there was no pre-registration. All code has been checked for reproducibility. The study was reviewed and approved by the Stanford University IRB (protocol #: 67335; protocol title:</w:t>
      </w:r>
      <w:r>
        <w:t xml:space="preserve"> </w:t>
      </w:r>
      <w:r>
        <w:t xml:space="preserve">“</w:t>
      </w:r>
      <w:r>
        <w:t xml:space="preserve">Research participant experiences</w:t>
      </w:r>
      <w:r>
        <w:t xml:space="preserve">”</w:t>
      </w:r>
      <w:r>
        <w:t xml:space="preserve">).</w:t>
      </w:r>
    </w:p>
    <w:bookmarkEnd w:id="73"/>
    <w:bookmarkEnd w:id="74"/>
    <w:bookmarkStart w:id="75"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 .063.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5"/>
    <w:bookmarkEnd w:id="76"/>
    <w:bookmarkStart w:id="77"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-1.44 to</w:t>
      </w:r>
      <w:r>
        <w:t xml:space="preserve"> </w:t>
      </w:r>
      <m:oMath>
        <m:r>
          <m:t>d</m:t>
        </m:r>
      </m:oMath>
      <w:r>
        <w:t xml:space="preserve"> </w:t>
      </w:r>
      <w:r>
        <w:t xml:space="preserve">= 1.97.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the latter.</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pPr>
        <w:pStyle w:val="Textkrper"/>
      </w:pPr>
      <w:r>
        <w:t xml:space="preserve">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On the basis of these results, we suggest that it is no longer tenable to keep demand characteristics conceptually divorced from related work on placebo effects. Consistent with recently proposed extensions of demand characteristic frameworks, our results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posses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7"/>
    <w:bookmarkStart w:id="131" w:name="references"/>
    <w:p>
      <w:pPr>
        <w:pStyle w:val="berschrift1"/>
      </w:pPr>
      <w:r>
        <w:t xml:space="preserve">References</w:t>
      </w:r>
    </w:p>
    <w:bookmarkStart w:id="130" w:name="refs"/>
    <w:bookmarkStart w:id="78"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8"/>
    <w:bookmarkStart w:id="80"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79">
        <w:r>
          <w:rPr>
            <w:rStyle w:val="Hyperlink"/>
          </w:rPr>
          <w:t xml:space="preserve">https://doi.org/10.18637/jss.v067.i01</w:t>
        </w:r>
      </w:hyperlink>
    </w:p>
    <w:bookmarkEnd w:id="80"/>
    <w:bookmarkStart w:id="81"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1"/>
    <w:bookmarkStart w:id="82"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2"/>
    <w:bookmarkStart w:id="83"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3"/>
    <w:bookmarkStart w:id="85"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84">
        <w:r>
          <w:rPr>
            <w:rStyle w:val="Hyperlink"/>
          </w:rPr>
          <w:t xml:space="preserve">https://CRAN.R-project.org/package=weightr</w:t>
        </w:r>
      </w:hyperlink>
    </w:p>
    <w:bookmarkEnd w:id="85"/>
    <w:bookmarkStart w:id="86"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6"/>
    <w:bookmarkStart w:id="87"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7"/>
    <w:bookmarkStart w:id="88"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8"/>
    <w:bookmarkStart w:id="89"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9"/>
    <w:bookmarkStart w:id="90"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90"/>
    <w:bookmarkStart w:id="91"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91"/>
    <w:bookmarkStart w:id="92"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92"/>
    <w:bookmarkStart w:id="93"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3"/>
    <w:bookmarkStart w:id="9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4"/>
    <w:bookmarkStart w:id="9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5"/>
    <w:bookmarkStart w:id="96"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6"/>
    <w:bookmarkStart w:id="97"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7"/>
    <w:bookmarkStart w:id="98"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8"/>
    <w:bookmarkStart w:id="99"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9"/>
    <w:bookmarkStart w:id="100"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100"/>
    <w:bookmarkStart w:id="101"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01"/>
    <w:bookmarkStart w:id="103"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02">
        <w:r>
          <w:rPr>
            <w:rStyle w:val="Hyperlink"/>
          </w:rPr>
          <w:t xml:space="preserve">https://CRAN.R-project.org/package=emmeans</w:t>
        </w:r>
      </w:hyperlink>
    </w:p>
    <w:bookmarkEnd w:id="103"/>
    <w:bookmarkStart w:id="104"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04"/>
    <w:bookmarkStart w:id="105"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5"/>
    <w:bookmarkStart w:id="106"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6"/>
    <w:bookmarkStart w:id="107"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7"/>
    <w:bookmarkStart w:id="108"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8"/>
    <w:bookmarkStart w:id="109"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9"/>
    <w:bookmarkStart w:id="110"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10"/>
    <w:bookmarkStart w:id="112"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11">
        <w:r>
          <w:rPr>
            <w:rStyle w:val="Hyperlink"/>
          </w:rPr>
          <w:t xml:space="preserve">https://www.R-project.org/</w:t>
        </w:r>
      </w:hyperlink>
    </w:p>
    <w:bookmarkEnd w:id="112"/>
    <w:bookmarkStart w:id="113"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13"/>
    <w:bookmarkStart w:id="114"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14"/>
    <w:bookmarkStart w:id="115"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15"/>
    <w:bookmarkStart w:id="116"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16"/>
    <w:bookmarkStart w:id="117"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7"/>
    <w:bookmarkStart w:id="118"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8"/>
    <w:bookmarkStart w:id="119"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9"/>
    <w:bookmarkStart w:id="120"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20"/>
    <w:bookmarkStart w:id="121"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21"/>
    <w:bookmarkStart w:id="122"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22"/>
    <w:bookmarkStart w:id="123"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23"/>
    <w:bookmarkStart w:id="124"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24"/>
    <w:bookmarkStart w:id="12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25"/>
    <w:bookmarkStart w:id="127"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26">
        <w:r>
          <w:rPr>
            <w:rStyle w:val="Hyperlink"/>
          </w:rPr>
          <w:t xml:space="preserve">https://doi.org/10.18637/jss.v036.i03</w:t>
        </w:r>
      </w:hyperlink>
    </w:p>
    <w:bookmarkEnd w:id="127"/>
    <w:bookmarkStart w:id="128"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28"/>
    <w:bookmarkStart w:id="129"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29"/>
    <w:bookmarkEnd w:id="130"/>
    <w:bookmarkEnd w:id="13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QUANTITATIVE REVIEW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QUANTITATIVE REVIEW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emmeans" TargetMode="External" /><Relationship Type="http://schemas.openxmlformats.org/officeDocument/2006/relationships/hyperlink" Id="rId84" Target="https://CRAN.R-project.org/package=weightr" TargetMode="External" /><Relationship Type="http://schemas.openxmlformats.org/officeDocument/2006/relationships/hyperlink" Id="rId126" Target="https://doi.org/10.18637/jss.v036.i03" TargetMode="External" /><Relationship Type="http://schemas.openxmlformats.org/officeDocument/2006/relationships/hyperlink" Id="rId79" Target="https://doi.org/10.18637/jss.v067.i01" TargetMode="External" /><Relationship Type="http://schemas.openxmlformats.org/officeDocument/2006/relationships/hyperlink" Id="rId20" Target="https://osf.io/3hkre/" TargetMode="External" /><Relationship Type="http://schemas.openxmlformats.org/officeDocument/2006/relationships/hyperlink" Id="rId111" Target="https://www.R-project.org/"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2023-10-06T22:41:36Z</dcterms:created>
  <dcterms:modified xsi:type="dcterms:W3CDTF">2023-10-06T22:41:36Z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Morgan H. Wyatt for his assistance with the meta-analysis and code review. We also thank Anjie Cao for assistance with code review.</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