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5.png" ContentType="image/png"/>
  <Override PartName="/word/media/rId71.png" ContentType="image/png"/>
  <Override PartName="/word/media/rId67.png" ContentType="image/png"/>
  <Override PartName="/word/media/rId43.png" ContentType="image/png"/>
  <Override PartName="/word/media/rId58.png" ContentType="image/png"/>
  <Override PartName="/word/media/rId79.png" ContentType="image/png"/>
  <Override PartName="/word/media/rId48.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have</w:t>
      </w:r>
      <w:r>
        <w:t xml:space="preserve"> </w:t>
      </w:r>
      <w:r>
        <w:t xml:space="preserve">we</w:t>
      </w:r>
      <w:r>
        <w:t xml:space="preserve"> </w:t>
      </w:r>
      <w:r>
        <w:t xml:space="preserve">learned</w:t>
      </w:r>
      <w:r>
        <w:t xml:space="preserve"> </w:t>
      </w:r>
      <w:r>
        <w:t xml:space="preserve">about</w:t>
      </w:r>
      <w:r>
        <w:t xml:space="preserve"> </w:t>
      </w:r>
      <w:r>
        <w:t xml:space="preserve">demand</w:t>
      </w:r>
      <w:r>
        <w:t xml:space="preserve"> </w:t>
      </w:r>
      <w:r>
        <w:t xml:space="preserve">characteristics?</w:t>
      </w:r>
      <w:r>
        <w:t xml:space="preserve"> </w:t>
      </w:r>
      <w:r>
        <w:t xml:space="preserve">A</w:t>
      </w:r>
      <w:r>
        <w:t xml:space="preserve"> </w:t>
      </w:r>
      <w:r>
        <w:t xml:space="preserve">meta-analytic</w:t>
      </w:r>
      <w:r>
        <w:t xml:space="preserve"> </w:t>
      </w:r>
      <w:r>
        <w:t xml:space="preserve">review</w:t>
      </w:r>
      <w:r>
        <w:t xml:space="preserve"> </w:t>
      </w:r>
      <w:r>
        <w:t xml:space="preserve">of</w:t>
      </w:r>
      <w:r>
        <w:t xml:space="preserve"> </w:t>
      </w:r>
      <w:r>
        <w:t xml:space="preserve">experimental</w:t>
      </w:r>
      <w:r>
        <w:t xml:space="preserve"> </w:t>
      </w:r>
      <w:r>
        <w:t xml:space="preserve">manipulations</w:t>
      </w:r>
      <w:r>
        <w:t xml:space="preserve"> </w:t>
      </w:r>
      <w:r>
        <w:t xml:space="preserve">of</w:t>
      </w:r>
      <w:r>
        <w:t xml:space="preserve"> </w:t>
      </w:r>
      <w:r>
        <w:t xml:space="preserve">explicit</w:t>
      </w:r>
      <w:r>
        <w:t xml:space="preserve"> </w:t>
      </w:r>
      <w:r>
        <w:t xml:space="preserve">hypothesis</w:t>
      </w:r>
      <w:r>
        <w:t xml:space="preserve"> </w:t>
      </w:r>
      <w:r>
        <w:t xml:space="preserve">cues</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researcher’s hypothesis (i.e., demand characteristics). In a meta-analysis, we combined evidence from 40 studies that experimentally tested this concern by manipulating the hypothesis explicitly communicated to participants. Results suggested that explicit information about the researcher’s hypothesis produce biases in participants’ responses that can be potentially large – but are troublingly unreliable and difficult to explain.</w:t>
      </w:r>
    </w:p>
    <w:p>
      <w:pPr>
        <w:pStyle w:val="authornote"/>
      </w:pPr>
      <w:r>
        <w:t xml:space="preserve">All materials, data (raw and processed), code, and pre-registrations (for Studies 1 and 2)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195 effect sizes from 40 studies that provided experimental tests of demand effects by manipulating the hypothesis explicitly communicated to participants. Results indicated that these explicit cues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post-hoc measures of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 of understanding and controlling for demand characteristics in experimental design.</w:t>
      </w:r>
    </w:p>
    <w:p>
      <w:pPr>
        <w:pStyle w:val="Textkrper"/>
      </w:pPr>
      <w:r>
        <w:rPr>
          <w:iCs/>
          <w:i/>
        </w:rPr>
        <w:t xml:space="preserve">Keywords:</w:t>
      </w:r>
      <w:r>
        <w:t xml:space="preserve"> </w:t>
      </w:r>
      <w:r>
        <w:t xml:space="preserve">demand characteristics, expectancies, placebo, confounds, meta-analysis</w:t>
      </w:r>
    </w:p>
    <w:p>
      <w:pPr>
        <w:pStyle w:val="h1-pagebreak"/>
      </w:pPr>
      <w:r>
        <w:t xml:space="preserve">What have we learned about demand characteristics? A meta-analytic review of experimental manipulations of explicit hypothesis cues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have learned – if anything – about demand effects. We begin by briefly reviewing mechanisms commonly theorized to underlie their effects.</w:t>
      </w:r>
    </w:p>
    <w:bookmarkStart w:id="21"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1"/>
    <w:bookmarkStart w:id="23"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2"/>
      </w:r>
      <w:r>
        <w:t xml:space="preserve"> </w:t>
      </w:r>
      <w:r>
        <w:t xml:space="preserve">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3"/>
    <w:bookmarkStart w:id="24"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hypothesized are</w:t>
      </w:r>
      <w:r>
        <w:t xml:space="preserve"> </w:t>
      </w:r>
      <w:r>
        <w:t xml:space="preserve">“</w:t>
      </w:r>
      <w:r>
        <w:t xml:space="preserve">mediated entirely by expectancies</w:t>
      </w:r>
      <w:r>
        <w:t xml:space="preserve">”</w:t>
      </w:r>
      <w:r>
        <w:t xml:space="preserve"> </w:t>
      </w:r>
      <w:r>
        <w:t xml:space="preserve">(p. 338).</w:t>
      </w:r>
    </w:p>
    <w:bookmarkEnd w:id="24"/>
    <w:bookmarkStart w:id="29" w:name="hybrid-accounts"/>
    <w:p>
      <w:pPr>
        <w:pStyle w:val="berschrift2"/>
      </w:pPr>
      <w:r>
        <w:t xml:space="preserve">Hybrid accounts</w:t>
      </w:r>
    </w:p>
    <w:p>
      <w:pPr>
        <w:pStyle w:val="FirstParagraph"/>
      </w:pPr>
      <w:r>
        <w:t xml:space="preserve">A third possibility recently discussed by</w:t>
      </w:r>
      <w:r>
        <w:t xml:space="preserve"> </w:t>
      </w:r>
      <w:r>
        <w:t xml:space="preserve">Coles, Gaertner, et al. (2022)</w:t>
      </w:r>
      <w:r>
        <w:t xml:space="preserve"> </w:t>
      </w:r>
      <w:r>
        <w:t xml:space="preserve">is that demand effects are mediated by</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6" name="Picture"/>
            <a:graphic>
              <a:graphicData uri="http://schemas.openxmlformats.org/drawingml/2006/picture">
                <pic:pic>
                  <pic:nvPicPr>
                    <pic:cNvPr descr="images/metaware_framework.png" id="27" name="Picture"/>
                    <pic:cNvPicPr>
                      <a:picLocks noChangeArrowheads="1" noChangeAspect="1"/>
                    </pic:cNvPicPr>
                  </pic:nvPicPr>
                  <pic:blipFill>
                    <a:blip r:embed="rId25"/>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bookmarkStart w:id="28" w:name="fig:framework"/>
      <w:bookmarkEnd w:id="28"/>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29"/>
    <w:bookmarkStart w:id="30" w:name="the-current-paper"/>
    <w:p>
      <w:pPr>
        <w:pStyle w:val="berschrift2"/>
      </w:pPr>
      <w:r>
        <w:t xml:space="preserve">The current paper</w:t>
      </w:r>
    </w:p>
    <w:p>
      <w:pPr>
        <w:pStyle w:val="FirstParagraph"/>
      </w:pPr>
      <w:r>
        <w:t xml:space="preserve">The goal of the current paper is to take stock of the literature on demand characteristics via meta-analysis. Although several excellent</w:t>
      </w:r>
      <w:r>
        <w:t xml:space="preserve"> </w:t>
      </w:r>
      <w:r>
        <w:rPr>
          <w:iCs/>
          <w:i/>
        </w:rPr>
        <w:t xml:space="preserve">narrative reviews</w:t>
      </w:r>
      <w:r>
        <w:t xml:space="preserve"> </w:t>
      </w:r>
      <w:r>
        <w:t xml:space="preserve">exist</w:t>
      </w:r>
      <w:r>
        <w:t xml:space="preserve"> </w:t>
      </w:r>
      <w:r>
        <w:t xml:space="preserve">(Corneille &amp; Lush, 2022; Rosnow &amp; Rosenthal, 1997; Sharpe &amp; Whelton, 2016; Strohmetz, 2008)</w:t>
      </w:r>
      <w:r>
        <w:t xml:space="preserve">, meta-analysis allows us to quantitatively evaluate the magnitude, consistency, and potential moderators of demand effects. In Study 1, we report a meta-analysis of strict experimental tests of demand effects by examining studies that manipulated the hypothesis communicated to participants.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constructs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questions about demand characteristics, heterogeneity and an inability to directly measure motivation and expectations in the existing literature limit any conclusions</w:t>
      </w:r>
      <w:r>
        <w:t xml:space="preserve"> </w:t>
      </w:r>
      <w:r>
        <w:t xml:space="preserve">(Simonsohn, Simmons, &amp; Nelson, 2022)</w:t>
      </w:r>
      <w:r>
        <w:t xml:space="preserve">. Thus, in Study 3, we report a replication experiment that re-examines motivation and expectancy accounts. In this replication, we manipulated the hypothesis communicated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bookmarkEnd w:id="30"/>
    <w:bookmarkStart w:id="65" w:name="study-1"/>
    <w:p>
      <w:pPr>
        <w:pStyle w:val="berschrift1"/>
      </w:pPr>
      <w:r>
        <w:t xml:space="preserve">Study 1</w:t>
      </w:r>
    </w:p>
    <w:p>
      <w:pPr>
        <w:pStyle w:val="FirstParagraph"/>
      </w:pPr>
      <w:r>
        <w:t xml:space="preserve">Study 1 was designed to provide a quantitative synthesis of demand effects via meta-analysis.</w:t>
      </w:r>
    </w:p>
    <w:bookmarkStart w:id="42"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w:t>
      </w:r>
      <w:r>
        <w:t xml:space="preserve"> </w:t>
      </w:r>
      <w:r>
        <w:rPr>
          <w:iCs/>
          <w:i/>
        </w:rPr>
        <w:t xml:space="preserve">conventionally</w:t>
      </w:r>
      <w:r>
        <w:t xml:space="preserve"> </w:t>
      </w:r>
      <w:r>
        <w:t xml:space="preserve">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1" w:name="literature-search"/>
    <w:p>
      <w:pPr>
        <w:pStyle w:val="berschrift3"/>
      </w:pPr>
      <w:r>
        <w:t xml:space="preserve">Literature search.</w:t>
      </w:r>
    </w:p>
    <w:p>
      <w:pPr>
        <w:pStyle w:val="FirstParagraph"/>
      </w:pPr>
      <w:r>
        <w:t xml:space="preserve">Our literature search strategy was initially developed in consultation with a librarian at (anonymous for peer review) and then later expanded based on reviewer feedback.</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On April 17, 2024, we repeated the search to identify records published after the initial search. At that time, we also expanded the search to include conceptually similar terms found in the appendix of an influential book on study artifacts</w:t>
      </w:r>
      <w:r>
        <w:t xml:space="preserve"> </w:t>
      </w:r>
      <w:r>
        <w:t xml:space="preserve">(Rosnow &amp; Rosenthal, 1997)</w:t>
      </w:r>
      <w:r>
        <w:t xml:space="preserve">:</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w:t>
      </w:r>
    </w:p>
    <w:p>
      <w:pPr>
        <w:pStyle w:val="Textkrper"/>
      </w:pPr>
      <w:r>
        <w:t xml:space="preserve">Our search did not have language restrictions and went as far back as 1840, which yielded 854 records. We also released a call for unpublished studies on the Society for Personality and Social Psychology Open Forum; Twitter; the Facebook Psychological Methods Discussion group; and the Facebook PsychMAP group. This call yielded 0 additional records. In total, 97 of the records were unpublished.</w:t>
      </w:r>
    </w:p>
    <w:bookmarkEnd w:id="31"/>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2"/>
      </w:r>
      <w:r>
        <w:t xml:space="preserve"> </w:t>
      </w:r>
      <w:r>
        <w:t xml:space="preserve">In most cases, the effect-of-interest was described explicitly, but there were some records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r>
        <w:rPr>
          <w:rStyle w:val="Funotenzeichen"/>
        </w:rPr>
        <w:footnoteReference w:id="33"/>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34"/>
    <w:bookmarkStart w:id="35"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explicit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explicit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r>
          <m:t>d</m:t>
        </m:r>
        <m:r>
          <m:t>s</m:t>
        </m:r>
      </m:oMath>
      <w:r>
        <w:t xml:space="preserve"> </w:t>
      </w:r>
      <w:r>
        <w:t xml:space="preserve">(for between-subject designs) and</w:t>
      </w:r>
      <w:r>
        <w:t xml:space="preserve"> </w:t>
      </w:r>
      <m:oMath>
        <m:r>
          <m:t>d</m:t>
        </m:r>
        <m:r>
          <m:t>r</m:t>
        </m:r>
        <m:r>
          <m:t>m</m:t>
        </m:r>
      </m:oMath>
      <w:r>
        <w:t xml:space="preserve"> </w:t>
      </w:r>
      <w:r>
        <w:t xml:space="preserve">(for within-subject designs) estimates. 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5"/>
    <w:bookmarkStart w:id="36"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6"/>
    <w:bookmarkStart w:id="40"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We weighed effect sizes based on their inverse-variance and used cluster-robust methods for estimating variance-covariance matrixes [PUSTEJOVSKY AND TIPTON, 2018].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9"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7"/>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r>
        <w:rPr>
          <w:rStyle w:val="Funotenzeichen"/>
        </w:rPr>
        <w:footnoteReference w:id="38"/>
      </w:r>
      <w:r>
        <w:t xml:space="preserve">.</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9"/>
    <w:bookmarkEnd w:id="40"/>
    <w:bookmarkStart w:id="41"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the pre-registration plan and documented amendments. Sample size was determined by the availability of relevant records (i.e., not via power analysis). All code, including the script used to generate a computationally reproducible manuscript using the papaja R package</w:t>
      </w:r>
      <w:r>
        <w:t xml:space="preserve"> </w:t>
      </w:r>
      <w:r>
        <w:t xml:space="preserve">(Aust &amp; Barth, 2022)</w:t>
      </w:r>
      <w:r>
        <w:t xml:space="preserve">, has been checked for reproducibility. Ethics approval was not requested because no new data were collected.</w:t>
      </w:r>
    </w:p>
    <w:bookmarkEnd w:id="41"/>
    <w:bookmarkEnd w:id="42"/>
    <w:bookmarkStart w:id="63"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g</m:t>
        </m:r>
      </m:oMath>
      <w:r>
        <w:t xml:space="preserve"> </w:t>
      </w:r>
      <w:r>
        <w:t xml:space="preserve">= 0.22, 95% CI [0.10, 0.33],</w:t>
      </w:r>
      <w:r>
        <w:t xml:space="preserve"> </w:t>
      </w:r>
      <m:oMath>
        <m:r>
          <m:t>t</m:t>
        </m:r>
      </m:oMath>
      <w:r>
        <w:t xml:space="preserve"> </w:t>
      </w:r>
      <w:r>
        <w:t xml:space="preserve">= 3.88,</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g &gt; 0.10), more hypothesis-inconsistent responding (red; g &lt; -0.10), or negligible shifts in responding (grey; |g| &lt; 0.10)." title="" id="44" name="Picture"/>
            <a:graphic>
              <a:graphicData uri="http://schemas.openxmlformats.org/drawingml/2006/picture">
                <pic:pic>
                  <pic:nvPicPr>
                    <pic:cNvPr descr="metaware_manuscript_files/figure-docx/forest-1.png" id="45" name="Picture"/>
                    <pic:cNvPicPr>
                      <a:picLocks noChangeArrowheads="1" noChangeAspect="1"/>
                    </pic:cNvPicPr>
                  </pic:nvPicPr>
                  <pic:blipFill>
                    <a:blip r:embed="rId43"/>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bookmarkStart w:id="46" w:name="fig:forest"/>
      <w:bookmarkEnd w:id="46"/>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g &gt; 0.10), more hypothesis-inconsistent responding (red; g &lt; -0.10), or negligible shifts in responding (grey; |g|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0.30; within-study</w:t>
      </w:r>
      <w:r>
        <w:t xml:space="preserve"> </w:t>
      </w:r>
      <m:oMath>
        <m:r>
          <m:t>σ</m:t>
        </m:r>
      </m:oMath>
      <w:r>
        <w:t xml:space="preserve"> </w:t>
      </w:r>
      <w:r>
        <w:t xml:space="preserve">= 0.20;</w:t>
      </w:r>
      <w:r>
        <w:t xml:space="preserve"> </w:t>
      </w:r>
      <m:oMath>
        <m:r>
          <m:t>Q</m:t>
        </m:r>
      </m:oMath>
      <w:r>
        <w:t xml:space="preserve">(195) = 903.15,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g</m:t>
        </m:r>
      </m:oMath>
      <w:r>
        <w:t xml:space="preserve"> </w:t>
      </w:r>
      <w:r>
        <w:t xml:space="preserve">= -1.43 to</w:t>
      </w:r>
      <w:r>
        <w:t xml:space="preserve"> </w:t>
      </w:r>
      <m:oMath>
        <m:r>
          <m:t>g</m:t>
        </m:r>
      </m:oMath>
      <w:r>
        <w:t xml:space="preserve"> </w:t>
      </w:r>
      <w:r>
        <w:t xml:space="preserve">= 1.95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52" w:name="moderator-analyses"/>
    <w:p>
      <w:pPr>
        <w:pStyle w:val="berschrift3"/>
      </w:pPr>
      <w:r>
        <w:t xml:space="preserve">Moderator analyses.</w:t>
      </w:r>
    </w:p>
    <w:p>
      <w:pPr>
        <w:pStyle w:val="TableCaption"/>
      </w:pPr>
      <w:bookmarkStart w:id="47" w:name="tab:modtable"/>
      <w:bookmarkEnd w:id="47"/>
      <w:r>
        <w:t xml:space="preserve">Table </w:t>
      </w:r>
      <w:r>
        <w:br/>
      </w:r>
    </w:p>
    <w:tbl>
      <w:tblPr>
        <w:tblStyle w:val="Table"/>
        <w:tblW w:type="auto" w:w="0"/>
        <w:tblLook w:firstRow="1" w:lastRow="0" w:firstColumn="0" w:lastColumn="0" w:noHBand="0" w:noVBand="0" w:val="0020"/>
        <w:jc w:val="start"/>
        <w:tblCaption w:val="Table  "/>
      </w:tblPr>
      <w:tblGrid>
        <w:gridCol w:w="990"/>
        <w:gridCol w:w="990"/>
        <w:gridCol w:w="990"/>
        <w:gridCol w:w="990"/>
        <w:gridCol w:w="990"/>
        <w:gridCol w:w="990"/>
        <w:gridCol w:w="990"/>
        <w:gridCol w:w="990"/>
      </w:tblGrid>
      <w:tr>
        <w:trPr>
          <w:tblHeader w:val="true"/>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B1</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Student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2.75</w:t>
            </w:r>
          </w:p>
        </w:tc>
        <w:tc>
          <w:tcPr/>
          <w:p>
            <w:pPr>
              <w:pStyle w:val="Compact"/>
              <w:jc w:val="left"/>
            </w:pPr>
            <w:r>
              <w:t xml:space="preserve">.256</w:t>
            </w:r>
          </w:p>
        </w:tc>
      </w:tr>
      <w:tr>
        <w:tc>
          <w:tcPr/>
          <w:p>
            <w:pPr>
              <w:pStyle w:val="Compact"/>
              <w:jc w:val="left"/>
            </w:pPr>
            <w:r>
              <w:t xml:space="preserve">     yes</w:t>
            </w:r>
          </w:p>
        </w:tc>
        <w:tc>
          <w:tcPr/>
          <w:p>
            <w:pPr>
              <w:pStyle w:val="Compact"/>
              <w:jc w:val="left"/>
            </w:pPr>
            <w:r>
              <w:t xml:space="preserve">29</w:t>
            </w:r>
          </w:p>
        </w:tc>
        <w:tc>
          <w:tcPr/>
          <w:p>
            <w:pPr>
              <w:pStyle w:val="Compact"/>
              <w:jc w:val="left"/>
            </w:pPr>
            <w:r>
              <w:t xml:space="preserve">144</w:t>
            </w:r>
          </w:p>
        </w:tc>
        <w:tc>
          <w:tcPr/>
          <w:p>
            <w:pPr>
              <w:pStyle w:val="Compact"/>
              <w:jc w:val="left"/>
            </w:pPr>
            <w:r>
              <w:t xml:space="preserve">0.3</w:t>
            </w:r>
          </w:p>
        </w:tc>
        <w:tc>
          <w:tcPr/>
          <w:p>
            <w:pPr>
              <w:pStyle w:val="Compact"/>
              <w:jc w:val="left"/>
            </w:pPr>
            <w:r>
              <w:t xml:space="preserve">–</w:t>
            </w:r>
          </w:p>
        </w:tc>
        <w:tc>
          <w:tcPr/>
          <w:p>
            <w:pPr>
              <w:pStyle w:val="Compact"/>
              <w:jc w:val="left"/>
            </w:pPr>
            <w:r>
              <w:t xml:space="preserve">[0.14, 0.46]</w:t>
            </w:r>
          </w:p>
        </w:tc>
        <w:tc>
          <w:tcPr/>
          <w:p>
            <w:pPr>
              <w:pStyle w:val="Compact"/>
              <w:jc w:val="left"/>
            </w:pPr>
            <w:r>
              <w:t xml:space="preserve">15.48</w:t>
            </w:r>
          </w:p>
        </w:tc>
        <w:tc>
          <w:tcPr/>
          <w:p>
            <w:pPr>
              <w:pStyle w:val="Compact"/>
              <w:jc w:val="left"/>
            </w:pPr>
            <w:r>
              <w:t xml:space="preserve">&lt; .001</w:t>
            </w:r>
          </w:p>
        </w:tc>
      </w:tr>
      <w:tr>
        <w:tc>
          <w:tcPr/>
          <w:p>
            <w:pPr>
              <w:pStyle w:val="Compact"/>
              <w:jc w:val="left"/>
            </w:pPr>
            <w:r>
              <w:t xml:space="preserve">     no</w:t>
            </w:r>
          </w:p>
        </w:tc>
        <w:tc>
          <w:tcPr/>
          <w:p>
            <w:pPr>
              <w:pStyle w:val="Compact"/>
              <w:jc w:val="left"/>
            </w:pPr>
            <w:r>
              <w:t xml:space="preserve">11</w:t>
            </w:r>
          </w:p>
        </w:tc>
        <w:tc>
          <w:tcPr/>
          <w:p>
            <w:pPr>
              <w:pStyle w:val="Compact"/>
              <w:jc w:val="left"/>
            </w:pPr>
            <w:r>
              <w:t xml:space="preserve">25</w:t>
            </w:r>
          </w:p>
        </w:tc>
        <w:tc>
          <w:tcPr/>
          <w:p>
            <w:pPr>
              <w:pStyle w:val="Compact"/>
              <w:jc w:val="left"/>
            </w:pPr>
            <w:r>
              <w:t xml:space="preserve">0.04</w:t>
            </w:r>
          </w:p>
        </w:tc>
        <w:tc>
          <w:tcPr/>
          <w:p>
            <w:pPr>
              <w:pStyle w:val="Compact"/>
              <w:jc w:val="left"/>
            </w:pPr>
            <w:r>
              <w:t xml:space="preserve">–</w:t>
            </w:r>
          </w:p>
        </w:tc>
        <w:tc>
          <w:tcPr/>
          <w:p>
            <w:pPr>
              <w:pStyle w:val="Compact"/>
              <w:jc w:val="left"/>
            </w:pPr>
            <w:r>
              <w:t xml:space="preserve">[-0.08, 0.16]</w:t>
            </w:r>
          </w:p>
        </w:tc>
        <w:tc>
          <w:tcPr/>
          <w:p>
            <w:pPr>
              <w:pStyle w:val="Compact"/>
              <w:jc w:val="left"/>
            </w:pPr>
            <w:r>
              <w:t xml:space="preserve">0.54</w:t>
            </w:r>
          </w:p>
        </w:tc>
        <w:tc>
          <w:tcPr/>
          <w:p>
            <w:pPr>
              <w:pStyle w:val="Compact"/>
              <w:jc w:val="left"/>
            </w:pPr>
            <w:r>
              <w:t xml:space="preserve">.481</w:t>
            </w:r>
          </w:p>
        </w:tc>
      </w:tr>
      <w:tr>
        <w:tc>
          <w:tcPr/>
          <w:p>
            <w:pPr>
              <w:pStyle w:val="Compact"/>
              <w:jc w:val="left"/>
            </w:pPr>
            <w:r>
              <w:t xml:space="preserve">     mix</w:t>
            </w:r>
          </w:p>
        </w:tc>
        <w:tc>
          <w:tcPr/>
          <w:p>
            <w:pPr>
              <w:pStyle w:val="Compact"/>
              <w:jc w:val="left"/>
            </w:pPr>
            <w:r>
              <w:t xml:space="preserve">3</w:t>
            </w:r>
          </w:p>
        </w:tc>
        <w:tc>
          <w:tcPr/>
          <w:p>
            <w:pPr>
              <w:pStyle w:val="Compact"/>
              <w:jc w:val="left"/>
            </w:pPr>
            <w:r>
              <w:t xml:space="preserve">20</w:t>
            </w:r>
          </w:p>
        </w:tc>
        <w:tc>
          <w:tcPr/>
          <w:p>
            <w:pPr>
              <w:pStyle w:val="Compact"/>
              <w:jc w:val="left"/>
            </w:pPr>
            <w:r>
              <w:t xml:space="preserve">0.04</w:t>
            </w:r>
          </w:p>
        </w:tc>
        <w:tc>
          <w:tcPr/>
          <w:p>
            <w:pPr>
              <w:pStyle w:val="Compact"/>
              <w:jc w:val="left"/>
            </w:pPr>
            <w:r>
              <w:t xml:space="preserve">–</w:t>
            </w:r>
          </w:p>
        </w:tc>
        <w:tc>
          <w:tcPr/>
          <w:p>
            <w:pPr>
              <w:pStyle w:val="Compact"/>
              <w:jc w:val="left"/>
            </w:pPr>
            <w:r>
              <w:t xml:space="preserve">[-1, 1.09]</w:t>
            </w:r>
          </w:p>
        </w:tc>
        <w:tc>
          <w:tcPr/>
          <w:p>
            <w:pPr>
              <w:pStyle w:val="Compact"/>
              <w:jc w:val="left"/>
            </w:pPr>
            <w:r>
              <w:t xml:space="preserve">0.29</w:t>
            </w:r>
          </w:p>
        </w:tc>
        <w:tc>
          <w:tcPr/>
          <w:p>
            <w:pPr>
              <w:pStyle w:val="Compact"/>
              <w:jc w:val="left"/>
            </w:pPr>
            <w:r>
              <w:t xml:space="preserve">.687</w:t>
            </w:r>
          </w:p>
        </w:tc>
      </w:tr>
      <w:tr>
        <w:tc>
          <w:tcPr/>
          <w:p>
            <w:pPr>
              <w:pStyle w:val="Compact"/>
              <w:jc w:val="left"/>
            </w:pPr>
            <w:r>
              <w:t xml:space="preserve">Payment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0.46</w:t>
            </w:r>
          </w:p>
        </w:tc>
        <w:tc>
          <w:tcPr/>
          <w:p>
            <w:pPr>
              <w:pStyle w:val="Compact"/>
              <w:jc w:val="left"/>
            </w:pPr>
            <w:r>
              <w:t xml:space="preserve">.507</w:t>
            </w:r>
          </w:p>
        </w:tc>
      </w:tr>
      <w:tr>
        <w:tc>
          <w:tcPr/>
          <w:p>
            <w:pPr>
              <w:pStyle w:val="Compact"/>
              <w:jc w:val="left"/>
            </w:pPr>
            <w:r>
              <w:t xml:space="preserve">     yes</w:t>
            </w:r>
          </w:p>
        </w:tc>
        <w:tc>
          <w:tcPr/>
          <w:p>
            <w:pPr>
              <w:pStyle w:val="Compact"/>
              <w:jc w:val="left"/>
            </w:pPr>
            <w:r>
              <w:t xml:space="preserve">11</w:t>
            </w:r>
          </w:p>
        </w:tc>
        <w:tc>
          <w:tcPr/>
          <w:p>
            <w:pPr>
              <w:pStyle w:val="Compact"/>
              <w:jc w:val="left"/>
            </w:pPr>
            <w:r>
              <w:t xml:space="preserve">48</w:t>
            </w:r>
          </w:p>
        </w:tc>
        <w:tc>
          <w:tcPr/>
          <w:p>
            <w:pPr>
              <w:pStyle w:val="Compact"/>
              <w:jc w:val="left"/>
            </w:pPr>
            <w:r>
              <w:t xml:space="preserve">0.15</w:t>
            </w:r>
          </w:p>
        </w:tc>
        <w:tc>
          <w:tcPr/>
          <w:p>
            <w:pPr>
              <w:pStyle w:val="Compact"/>
              <w:jc w:val="left"/>
            </w:pPr>
            <w:r>
              <w:t xml:space="preserve">–</w:t>
            </w:r>
          </w:p>
        </w:tc>
        <w:tc>
          <w:tcPr/>
          <w:p>
            <w:pPr>
              <w:pStyle w:val="Compact"/>
              <w:jc w:val="left"/>
            </w:pPr>
            <w:r>
              <w:t xml:space="preserve">[0, 0.3]</w:t>
            </w:r>
          </w:p>
        </w:tc>
        <w:tc>
          <w:tcPr/>
          <w:p>
            <w:pPr>
              <w:pStyle w:val="Compact"/>
              <w:jc w:val="left"/>
            </w:pPr>
            <w:r>
              <w:t xml:space="preserve">5.45</w:t>
            </w:r>
          </w:p>
        </w:tc>
        <w:tc>
          <w:tcPr/>
          <w:p>
            <w:pPr>
              <w:pStyle w:val="Compact"/>
              <w:jc w:val="left"/>
            </w:pPr>
            <w:r>
              <w:t xml:space="preserve">.045</w:t>
            </w:r>
          </w:p>
        </w:tc>
      </w:tr>
      <w:tr>
        <w:tc>
          <w:tcPr/>
          <w:p>
            <w:pPr>
              <w:pStyle w:val="Compact"/>
              <w:jc w:val="left"/>
            </w:pPr>
            <w:r>
              <w:t xml:space="preserve">     no</w:t>
            </w:r>
          </w:p>
        </w:tc>
        <w:tc>
          <w:tcPr/>
          <w:p>
            <w:pPr>
              <w:pStyle w:val="Compact"/>
              <w:jc w:val="left"/>
            </w:pPr>
            <w:r>
              <w:t xml:space="preserve">32</w:t>
            </w:r>
          </w:p>
        </w:tc>
        <w:tc>
          <w:tcPr/>
          <w:p>
            <w:pPr>
              <w:pStyle w:val="Compact"/>
              <w:jc w:val="left"/>
            </w:pPr>
            <w:r>
              <w:t xml:space="preserve">149</w:t>
            </w:r>
          </w:p>
        </w:tc>
        <w:tc>
          <w:tcPr/>
          <w:p>
            <w:pPr>
              <w:pStyle w:val="Compact"/>
              <w:jc w:val="left"/>
            </w:pPr>
            <w:r>
              <w:t xml:space="preserve">0.21</w:t>
            </w:r>
          </w:p>
        </w:tc>
        <w:tc>
          <w:tcPr/>
          <w:p>
            <w:pPr>
              <w:pStyle w:val="Compact"/>
              <w:jc w:val="left"/>
            </w:pPr>
            <w:r>
              <w:t xml:space="preserve">–</w:t>
            </w:r>
          </w:p>
        </w:tc>
        <w:tc>
          <w:tcPr/>
          <w:p>
            <w:pPr>
              <w:pStyle w:val="Compact"/>
              <w:jc w:val="left"/>
            </w:pPr>
            <w:r>
              <w:t xml:space="preserve">[0.08, 0.35]</w:t>
            </w:r>
          </w:p>
        </w:tc>
        <w:tc>
          <w:tcPr/>
          <w:p>
            <w:pPr>
              <w:pStyle w:val="Compact"/>
              <w:jc w:val="left"/>
            </w:pPr>
            <w:r>
              <w:t xml:space="preserve">10.81</w:t>
            </w:r>
          </w:p>
        </w:tc>
        <w:tc>
          <w:tcPr/>
          <w:p>
            <w:pPr>
              <w:pStyle w:val="Compact"/>
              <w:jc w:val="left"/>
            </w:pPr>
            <w:r>
              <w:t xml:space="preserve">.003</w:t>
            </w:r>
          </w:p>
        </w:tc>
      </w:tr>
      <w:tr>
        <w:tc>
          <w:tcPr/>
          <w:p>
            <w:pPr>
              <w:pStyle w:val="Compact"/>
              <w:jc w:val="left"/>
            </w:pPr>
            <w:r>
              <w:t xml:space="preserve">Setting</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3.12</w:t>
            </w:r>
          </w:p>
        </w:tc>
        <w:tc>
          <w:tcPr/>
          <w:p>
            <w:pPr>
              <w:pStyle w:val="Compact"/>
              <w:jc w:val="left"/>
            </w:pPr>
            <w:r>
              <w:t xml:space="preserve">.095</w:t>
            </w:r>
          </w:p>
        </w:tc>
      </w:tr>
      <w:tr>
        <w:tc>
          <w:tcPr/>
          <w:p>
            <w:pPr>
              <w:pStyle w:val="Compact"/>
              <w:jc w:val="left"/>
            </w:pPr>
            <w:r>
              <w:t xml:space="preserve">     online</w:t>
            </w:r>
          </w:p>
        </w:tc>
        <w:tc>
          <w:tcPr/>
          <w:p>
            <w:pPr>
              <w:pStyle w:val="Compact"/>
              <w:jc w:val="left"/>
            </w:pPr>
            <w:r>
              <w:t xml:space="preserve">12</w:t>
            </w:r>
          </w:p>
        </w:tc>
        <w:tc>
          <w:tcPr/>
          <w:p>
            <w:pPr>
              <w:pStyle w:val="Compact"/>
              <w:jc w:val="left"/>
            </w:pPr>
            <w:r>
              <w:t xml:space="preserve">45</w:t>
            </w:r>
          </w:p>
        </w:tc>
        <w:tc>
          <w:tcPr/>
          <w:p>
            <w:pPr>
              <w:pStyle w:val="Compact"/>
              <w:jc w:val="left"/>
            </w:pPr>
            <w:r>
              <w:t xml:space="preserve">0.12</w:t>
            </w:r>
          </w:p>
        </w:tc>
        <w:tc>
          <w:tcPr/>
          <w:p>
            <w:pPr>
              <w:pStyle w:val="Compact"/>
              <w:jc w:val="left"/>
            </w:pPr>
            <w:r>
              <w:t xml:space="preserve">–</w:t>
            </w:r>
          </w:p>
        </w:tc>
        <w:tc>
          <w:tcPr/>
          <w:p>
            <w:pPr>
              <w:pStyle w:val="Compact"/>
              <w:jc w:val="left"/>
            </w:pPr>
            <w:r>
              <w:t xml:space="preserve">[0.01, 0.22]</w:t>
            </w:r>
          </w:p>
        </w:tc>
        <w:tc>
          <w:tcPr/>
          <w:p>
            <w:pPr>
              <w:pStyle w:val="Compact"/>
              <w:jc w:val="left"/>
            </w:pPr>
            <w:r>
              <w:t xml:space="preserve">6.41</w:t>
            </w:r>
          </w:p>
        </w:tc>
        <w:tc>
          <w:tcPr/>
          <w:p>
            <w:pPr>
              <w:pStyle w:val="Compact"/>
              <w:jc w:val="left"/>
            </w:pPr>
            <w:r>
              <w:t xml:space="preserve">.030</w:t>
            </w:r>
          </w:p>
        </w:tc>
      </w:tr>
      <w:tr>
        <w:tc>
          <w:tcPr/>
          <w:p>
            <w:pPr>
              <w:pStyle w:val="Compact"/>
              <w:jc w:val="left"/>
            </w:pPr>
            <w:r>
              <w:t xml:space="preserve">     in-person</w:t>
            </w:r>
          </w:p>
        </w:tc>
        <w:tc>
          <w:tcPr/>
          <w:p>
            <w:pPr>
              <w:pStyle w:val="Compact"/>
              <w:jc w:val="left"/>
            </w:pPr>
            <w:r>
              <w:t xml:space="preserve">30</w:t>
            </w:r>
          </w:p>
        </w:tc>
        <w:tc>
          <w:tcPr/>
          <w:p>
            <w:pPr>
              <w:pStyle w:val="Compact"/>
              <w:jc w:val="left"/>
            </w:pPr>
            <w:r>
              <w:t xml:space="preserve">149</w:t>
            </w:r>
          </w:p>
        </w:tc>
        <w:tc>
          <w:tcPr/>
          <w:p>
            <w:pPr>
              <w:pStyle w:val="Compact"/>
              <w:jc w:val="left"/>
            </w:pPr>
            <w:r>
              <w:t xml:space="preserve">0.28</w:t>
            </w:r>
          </w:p>
        </w:tc>
        <w:tc>
          <w:tcPr/>
          <w:p>
            <w:pPr>
              <w:pStyle w:val="Compact"/>
              <w:jc w:val="left"/>
            </w:pPr>
            <w:r>
              <w:t xml:space="preserve">–</w:t>
            </w:r>
          </w:p>
        </w:tc>
        <w:tc>
          <w:tcPr/>
          <w:p>
            <w:pPr>
              <w:pStyle w:val="Compact"/>
              <w:jc w:val="left"/>
            </w:pPr>
            <w:r>
              <w:t xml:space="preserve">[0.12, 0.45]</w:t>
            </w:r>
          </w:p>
        </w:tc>
        <w:tc>
          <w:tcPr/>
          <w:p>
            <w:pPr>
              <w:pStyle w:val="Compact"/>
              <w:jc w:val="left"/>
            </w:pPr>
            <w:r>
              <w:t xml:space="preserve">12.77</w:t>
            </w:r>
          </w:p>
        </w:tc>
        <w:tc>
          <w:tcPr/>
          <w:p>
            <w:pPr>
              <w:pStyle w:val="Compact"/>
              <w:jc w:val="left"/>
            </w:pPr>
            <w:r>
              <w:t xml:space="preserve">.001</w:t>
            </w:r>
          </w:p>
        </w:tc>
      </w:tr>
      <w:tr>
        <w:tc>
          <w:tcPr/>
          <w:p>
            <w:pPr>
              <w:pStyle w:val="Compact"/>
              <w:jc w:val="left"/>
            </w:pPr>
            <w:r>
              <w:t xml:space="preserve">Design</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7.61</w:t>
            </w:r>
          </w:p>
        </w:tc>
        <w:tc>
          <w:tcPr/>
          <w:p>
            <w:pPr>
              <w:pStyle w:val="Compact"/>
              <w:jc w:val="left"/>
            </w:pPr>
            <w:r>
              <w:t xml:space="preserve">.039</w:t>
            </w:r>
          </w:p>
        </w:tc>
      </w:tr>
      <w:tr>
        <w:tc>
          <w:tcPr/>
          <w:p>
            <w:pPr>
              <w:pStyle w:val="Compact"/>
              <w:jc w:val="left"/>
            </w:pPr>
            <w:r>
              <w:t xml:space="preserve">     within-subjects</w:t>
            </w:r>
          </w:p>
        </w:tc>
        <w:tc>
          <w:tcPr/>
          <w:p>
            <w:pPr>
              <w:pStyle w:val="Compact"/>
              <w:jc w:val="left"/>
            </w:pPr>
            <w:r>
              <w:t xml:space="preserve">6</w:t>
            </w:r>
          </w:p>
        </w:tc>
        <w:tc>
          <w:tcPr/>
          <w:p>
            <w:pPr>
              <w:pStyle w:val="Compact"/>
              <w:jc w:val="left"/>
            </w:pPr>
            <w:r>
              <w:t xml:space="preserve">30</w:t>
            </w:r>
          </w:p>
        </w:tc>
        <w:tc>
          <w:tcPr/>
          <w:p>
            <w:pPr>
              <w:pStyle w:val="Compact"/>
              <w:jc w:val="left"/>
            </w:pPr>
            <w:r>
              <w:t xml:space="preserve">0.09</w:t>
            </w:r>
          </w:p>
        </w:tc>
        <w:tc>
          <w:tcPr/>
          <w:p>
            <w:pPr>
              <w:pStyle w:val="Compact"/>
              <w:jc w:val="left"/>
            </w:pPr>
            <w:r>
              <w:t xml:space="preserve">–</w:t>
            </w:r>
          </w:p>
        </w:tc>
        <w:tc>
          <w:tcPr/>
          <w:p>
            <w:pPr>
              <w:pStyle w:val="Compact"/>
              <w:jc w:val="left"/>
            </w:pPr>
            <w:r>
              <w:t xml:space="preserve">[-0.01, 0.19]</w:t>
            </w:r>
          </w:p>
        </w:tc>
        <w:tc>
          <w:tcPr/>
          <w:p>
            <w:pPr>
              <w:pStyle w:val="Compact"/>
              <w:jc w:val="left"/>
            </w:pPr>
            <w:r>
              <w:t xml:space="preserve">4.5</w:t>
            </w:r>
          </w:p>
        </w:tc>
        <w:tc>
          <w:tcPr/>
          <w:p>
            <w:pPr>
              <w:pStyle w:val="Compact"/>
              <w:jc w:val="left"/>
            </w:pPr>
            <w:r>
              <w:t xml:space="preserve">.079</w:t>
            </w:r>
          </w:p>
        </w:tc>
      </w:tr>
      <w:tr>
        <w:tc>
          <w:tcPr/>
          <w:p>
            <w:pPr>
              <w:pStyle w:val="Compact"/>
              <w:jc w:val="left"/>
            </w:pPr>
            <w:r>
              <w:t xml:space="preserve">     between-subjects</w:t>
            </w:r>
          </w:p>
        </w:tc>
        <w:tc>
          <w:tcPr/>
          <w:p>
            <w:pPr>
              <w:pStyle w:val="Compact"/>
              <w:jc w:val="left"/>
            </w:pPr>
            <w:r>
              <w:t xml:space="preserve">40</w:t>
            </w:r>
          </w:p>
        </w:tc>
        <w:tc>
          <w:tcPr/>
          <w:p>
            <w:pPr>
              <w:pStyle w:val="Compact"/>
              <w:jc w:val="left"/>
            </w:pPr>
            <w:r>
              <w:t xml:space="preserve">166</w:t>
            </w:r>
          </w:p>
        </w:tc>
        <w:tc>
          <w:tcPr/>
          <w:p>
            <w:pPr>
              <w:pStyle w:val="Compact"/>
              <w:jc w:val="left"/>
            </w:pPr>
            <w:r>
              <w:t xml:space="preserve">0.23</w:t>
            </w:r>
          </w:p>
        </w:tc>
        <w:tc>
          <w:tcPr/>
          <w:p>
            <w:pPr>
              <w:pStyle w:val="Compact"/>
              <w:jc w:val="left"/>
            </w:pPr>
            <w:r>
              <w:t xml:space="preserve">–</w:t>
            </w:r>
          </w:p>
        </w:tc>
        <w:tc>
          <w:tcPr/>
          <w:p>
            <w:pPr>
              <w:pStyle w:val="Compact"/>
              <w:jc w:val="left"/>
            </w:pPr>
            <w:r>
              <w:t xml:space="preserve">[0.1, 0.36]</w:t>
            </w:r>
          </w:p>
        </w:tc>
        <w:tc>
          <w:tcPr/>
          <w:p>
            <w:pPr>
              <w:pStyle w:val="Compact"/>
              <w:jc w:val="left"/>
            </w:pPr>
            <w:r>
              <w:t xml:space="preserve">13.42</w:t>
            </w:r>
          </w:p>
        </w:tc>
        <w:tc>
          <w:tcPr/>
          <w:p>
            <w:pPr>
              <w:pStyle w:val="Compact"/>
              <w:jc w:val="left"/>
            </w:pPr>
            <w:r>
              <w:t xml:space="preserve">&lt; .001</w:t>
            </w:r>
          </w:p>
        </w:tc>
      </w:tr>
      <w:tr>
        <w:tc>
          <w:tcPr/>
          <w:p>
            <w:pPr>
              <w:pStyle w:val="Compact"/>
              <w:jc w:val="left"/>
            </w:pPr>
            <w:r>
              <w:t xml:space="preserve">Comparison type</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7.19</w:t>
            </w:r>
          </w:p>
        </w:tc>
        <w:tc>
          <w:tcPr/>
          <w:p>
            <w:pPr>
              <w:pStyle w:val="Compact"/>
              <w:jc w:val="left"/>
            </w:pPr>
            <w:r>
              <w:t xml:space="preserve">.209</w:t>
            </w:r>
          </w:p>
        </w:tc>
      </w:tr>
      <w:tr>
        <w:tc>
          <w:tcPr/>
          <w:p>
            <w:pPr>
              <w:pStyle w:val="Compact"/>
              <w:jc w:val="left"/>
            </w:pPr>
            <w:r>
              <w:t xml:space="preserve">     positive vs. control</w:t>
            </w:r>
          </w:p>
        </w:tc>
        <w:tc>
          <w:tcPr/>
          <w:p>
            <w:pPr>
              <w:pStyle w:val="Compact"/>
              <w:jc w:val="left"/>
            </w:pPr>
            <w:r>
              <w:t xml:space="preserve">31</w:t>
            </w:r>
          </w:p>
        </w:tc>
        <w:tc>
          <w:tcPr/>
          <w:p>
            <w:pPr>
              <w:pStyle w:val="Compact"/>
              <w:jc w:val="left"/>
            </w:pPr>
            <w:r>
              <w:t xml:space="preserve">91</w:t>
            </w:r>
          </w:p>
        </w:tc>
        <w:tc>
          <w:tcPr/>
          <w:p>
            <w:pPr>
              <w:pStyle w:val="Compact"/>
              <w:jc w:val="left"/>
            </w:pPr>
            <w:r>
              <w:t xml:space="preserve">0.14</w:t>
            </w:r>
          </w:p>
        </w:tc>
        <w:tc>
          <w:tcPr/>
          <w:p>
            <w:pPr>
              <w:pStyle w:val="Compact"/>
              <w:jc w:val="left"/>
            </w:pPr>
            <w:r>
              <w:t xml:space="preserve">–</w:t>
            </w:r>
          </w:p>
        </w:tc>
        <w:tc>
          <w:tcPr/>
          <w:p>
            <w:pPr>
              <w:pStyle w:val="Compact"/>
              <w:jc w:val="left"/>
            </w:pPr>
            <w:r>
              <w:t xml:space="preserve">[0, 0.28]</w:t>
            </w:r>
          </w:p>
        </w:tc>
        <w:tc>
          <w:tcPr/>
          <w:p>
            <w:pPr>
              <w:pStyle w:val="Compact"/>
              <w:jc w:val="left"/>
            </w:pPr>
            <w:r>
              <w:t xml:space="preserve">4.42</w:t>
            </w:r>
          </w:p>
        </w:tc>
        <w:tc>
          <w:tcPr/>
          <w:p>
            <w:pPr>
              <w:pStyle w:val="Compact"/>
              <w:jc w:val="left"/>
            </w:pPr>
            <w:r>
              <w:t xml:space="preserve">.043</w:t>
            </w:r>
          </w:p>
        </w:tc>
      </w:tr>
      <w:tr>
        <w:tc>
          <w:tcPr/>
          <w:p>
            <w:pPr>
              <w:pStyle w:val="Compact"/>
              <w:jc w:val="left"/>
            </w:pPr>
            <w:r>
              <w:t xml:space="preserve">     nil vs. control</w:t>
            </w:r>
          </w:p>
        </w:tc>
        <w:tc>
          <w:tcPr/>
          <w:p>
            <w:pPr>
              <w:pStyle w:val="Compact"/>
              <w:jc w:val="left"/>
            </w:pPr>
            <w:r>
              <w:t xml:space="preserve">3</w:t>
            </w:r>
          </w:p>
        </w:tc>
        <w:tc>
          <w:tcPr/>
          <w:p>
            <w:pPr>
              <w:pStyle w:val="Compact"/>
              <w:jc w:val="left"/>
            </w:pPr>
            <w:r>
              <w:t xml:space="preserve">14</w:t>
            </w:r>
          </w:p>
        </w:tc>
        <w:tc>
          <w:tcPr/>
          <w:p>
            <w:pPr>
              <w:pStyle w:val="Compact"/>
              <w:jc w:val="left"/>
            </w:pPr>
            <w:r>
              <w:t xml:space="preserve">0.33</w:t>
            </w:r>
          </w:p>
        </w:tc>
        <w:tc>
          <w:tcPr/>
          <w:p>
            <w:pPr>
              <w:pStyle w:val="Compact"/>
              <w:jc w:val="left"/>
            </w:pPr>
            <w:r>
              <w:t xml:space="preserve">–</w:t>
            </w:r>
          </w:p>
        </w:tc>
        <w:tc>
          <w:tcPr/>
          <w:p>
            <w:pPr>
              <w:pStyle w:val="Compact"/>
              <w:jc w:val="left"/>
            </w:pPr>
            <w:r>
              <w:t xml:space="preserve">[0.11, 0.54]</w:t>
            </w:r>
          </w:p>
        </w:tc>
        <w:tc>
          <w:tcPr/>
          <w:p>
            <w:pPr>
              <w:pStyle w:val="Compact"/>
              <w:jc w:val="left"/>
            </w:pPr>
            <w:r>
              <w:t xml:space="preserve">23.7</w:t>
            </w:r>
          </w:p>
        </w:tc>
        <w:tc>
          <w:tcPr/>
          <w:p>
            <w:pPr>
              <w:pStyle w:val="Compact"/>
              <w:jc w:val="left"/>
            </w:pPr>
            <w:r>
              <w:t xml:space="preserve">.017</w:t>
            </w:r>
          </w:p>
        </w:tc>
      </w:tr>
      <w:tr>
        <w:tc>
          <w:tcPr/>
          <w:p>
            <w:pPr>
              <w:pStyle w:val="Compact"/>
              <w:jc w:val="left"/>
            </w:pPr>
            <w:r>
              <w:t xml:space="preserve">     nil vs. control</w:t>
            </w:r>
          </w:p>
        </w:tc>
        <w:tc>
          <w:tcPr/>
          <w:p>
            <w:pPr>
              <w:pStyle w:val="Compact"/>
              <w:jc w:val="left"/>
            </w:pPr>
            <w:r>
              <w:t xml:space="preserve">3</w:t>
            </w:r>
          </w:p>
        </w:tc>
        <w:tc>
          <w:tcPr/>
          <w:p>
            <w:pPr>
              <w:pStyle w:val="Compact"/>
              <w:jc w:val="left"/>
            </w:pPr>
            <w:r>
              <w:t xml:space="preserve">14</w:t>
            </w:r>
          </w:p>
        </w:tc>
        <w:tc>
          <w:tcPr/>
          <w:p>
            <w:pPr>
              <w:pStyle w:val="Compact"/>
              <w:jc w:val="left"/>
            </w:pPr>
            <w:r>
              <w:t xml:space="preserve">0.33</w:t>
            </w:r>
          </w:p>
        </w:tc>
        <w:tc>
          <w:tcPr/>
          <w:p>
            <w:pPr>
              <w:pStyle w:val="Compact"/>
              <w:jc w:val="left"/>
            </w:pPr>
            <w:r>
              <w:t xml:space="preserve">–</w:t>
            </w:r>
          </w:p>
        </w:tc>
        <w:tc>
          <w:tcPr/>
          <w:p>
            <w:pPr>
              <w:pStyle w:val="Compact"/>
              <w:jc w:val="left"/>
            </w:pPr>
            <w:r>
              <w:t xml:space="preserve">[0.11, 0.54]</w:t>
            </w:r>
          </w:p>
        </w:tc>
        <w:tc>
          <w:tcPr/>
          <w:p>
            <w:pPr>
              <w:pStyle w:val="Compact"/>
              <w:jc w:val="left"/>
            </w:pPr>
            <w:r>
              <w:t xml:space="preserve">23.7</w:t>
            </w:r>
          </w:p>
        </w:tc>
        <w:tc>
          <w:tcPr/>
          <w:p>
            <w:pPr>
              <w:pStyle w:val="Compact"/>
              <w:jc w:val="left"/>
            </w:pPr>
            <w:r>
              <w:t xml:space="preserve">.017</w:t>
            </w:r>
          </w:p>
        </w:tc>
      </w:tr>
      <w:tr>
        <w:tc>
          <w:tcPr/>
          <w:p>
            <w:pPr>
              <w:pStyle w:val="Compact"/>
              <w:jc w:val="left"/>
            </w:pPr>
            <w:r>
              <w:t xml:space="preserve">     negative vs. control</w:t>
            </w:r>
          </w:p>
        </w:tc>
        <w:tc>
          <w:tcPr/>
          <w:p>
            <w:pPr>
              <w:pStyle w:val="Compact"/>
              <w:jc w:val="left"/>
            </w:pPr>
            <w:r>
              <w:t xml:space="preserve">15</w:t>
            </w:r>
          </w:p>
        </w:tc>
        <w:tc>
          <w:tcPr/>
          <w:p>
            <w:pPr>
              <w:pStyle w:val="Compact"/>
              <w:jc w:val="left"/>
            </w:pPr>
            <w:r>
              <w:t xml:space="preserve">30</w:t>
            </w:r>
          </w:p>
        </w:tc>
        <w:tc>
          <w:tcPr/>
          <w:p>
            <w:pPr>
              <w:pStyle w:val="Compact"/>
              <w:jc w:val="left"/>
            </w:pPr>
            <w:r>
              <w:t xml:space="preserve">0.13</w:t>
            </w:r>
          </w:p>
        </w:tc>
        <w:tc>
          <w:tcPr/>
          <w:p>
            <w:pPr>
              <w:pStyle w:val="Compact"/>
              <w:jc w:val="left"/>
            </w:pPr>
            <w:r>
              <w:t xml:space="preserve">–</w:t>
            </w:r>
          </w:p>
        </w:tc>
        <w:tc>
          <w:tcPr/>
          <w:p>
            <w:pPr>
              <w:pStyle w:val="Compact"/>
              <w:jc w:val="left"/>
            </w:pPr>
            <w:r>
              <w:t xml:space="preserve">[-0.03, 0.28]</w:t>
            </w:r>
          </w:p>
        </w:tc>
        <w:tc>
          <w:tcPr/>
          <w:p>
            <w:pPr>
              <w:pStyle w:val="Compact"/>
              <w:jc w:val="left"/>
            </w:pPr>
            <w:r>
              <w:t xml:space="preserve">2.95</w:t>
            </w:r>
          </w:p>
        </w:tc>
        <w:tc>
          <w:tcPr/>
          <w:p>
            <w:pPr>
              <w:pStyle w:val="Compact"/>
              <w:jc w:val="left"/>
            </w:pPr>
            <w:r>
              <w:t xml:space="preserve">.103</w:t>
            </w:r>
          </w:p>
        </w:tc>
      </w:tr>
      <w:tr>
        <w:tc>
          <w:tcPr/>
          <w:p>
            <w:pPr>
              <w:pStyle w:val="Compact"/>
              <w:jc w:val="left"/>
            </w:pPr>
            <w:r>
              <w:t xml:space="preserve">     positive vs. nil</w:t>
            </w:r>
          </w:p>
        </w:tc>
        <w:tc>
          <w:tcPr/>
          <w:p>
            <w:pPr>
              <w:pStyle w:val="Compact"/>
              <w:jc w:val="left"/>
            </w:pPr>
            <w:r>
              <w:t xml:space="preserve">6</w:t>
            </w:r>
          </w:p>
        </w:tc>
        <w:tc>
          <w:tcPr/>
          <w:p>
            <w:pPr>
              <w:pStyle w:val="Compact"/>
              <w:jc w:val="left"/>
            </w:pPr>
            <w:r>
              <w:t xml:space="preserve">29</w:t>
            </w:r>
          </w:p>
        </w:tc>
        <w:tc>
          <w:tcPr/>
          <w:p>
            <w:pPr>
              <w:pStyle w:val="Compact"/>
              <w:jc w:val="left"/>
            </w:pPr>
            <w:r>
              <w:t xml:space="preserve">0.46</w:t>
            </w:r>
          </w:p>
        </w:tc>
        <w:tc>
          <w:tcPr/>
          <w:p>
            <w:pPr>
              <w:pStyle w:val="Compact"/>
              <w:jc w:val="left"/>
            </w:pPr>
            <w:r>
              <w:t xml:space="preserve">–</w:t>
            </w:r>
          </w:p>
        </w:tc>
        <w:tc>
          <w:tcPr/>
          <w:p>
            <w:pPr>
              <w:pStyle w:val="Compact"/>
              <w:jc w:val="left"/>
            </w:pPr>
            <w:r>
              <w:t xml:space="preserve">[0.14, 0.78]</w:t>
            </w:r>
          </w:p>
        </w:tc>
        <w:tc>
          <w:tcPr/>
          <w:p>
            <w:pPr>
              <w:pStyle w:val="Compact"/>
              <w:jc w:val="left"/>
            </w:pPr>
            <w:r>
              <w:t xml:space="preserve">12.67</w:t>
            </w:r>
          </w:p>
        </w:tc>
        <w:tc>
          <w:tcPr/>
          <w:p>
            <w:pPr>
              <w:pStyle w:val="Compact"/>
              <w:jc w:val="left"/>
            </w:pPr>
            <w:r>
              <w:t xml:space="preserve">.013</w:t>
            </w:r>
          </w:p>
        </w:tc>
      </w:tr>
      <w:tr>
        <w:tc>
          <w:tcPr/>
          <w:p>
            <w:pPr>
              <w:pStyle w:val="Compact"/>
              <w:jc w:val="left"/>
            </w:pPr>
            <w:r>
              <w:t xml:space="preserve">     positive vs. negative</w:t>
            </w:r>
          </w:p>
        </w:tc>
        <w:tc>
          <w:tcPr/>
          <w:p>
            <w:pPr>
              <w:pStyle w:val="Compact"/>
              <w:jc w:val="left"/>
            </w:pPr>
            <w:r>
              <w:t xml:space="preserve">15</w:t>
            </w:r>
          </w:p>
        </w:tc>
        <w:tc>
          <w:tcPr/>
          <w:p>
            <w:pPr>
              <w:pStyle w:val="Compact"/>
              <w:jc w:val="left"/>
            </w:pPr>
            <w:r>
              <w:t xml:space="preserve">32</w:t>
            </w:r>
          </w:p>
        </w:tc>
        <w:tc>
          <w:tcPr/>
          <w:p>
            <w:pPr>
              <w:pStyle w:val="Compact"/>
              <w:jc w:val="left"/>
            </w:pPr>
            <w:r>
              <w:t xml:space="preserve">0.33</w:t>
            </w:r>
          </w:p>
        </w:tc>
        <w:tc>
          <w:tcPr/>
          <w:p>
            <w:pPr>
              <w:pStyle w:val="Compact"/>
              <w:jc w:val="left"/>
            </w:pPr>
            <w:r>
              <w:t xml:space="preserve">–</w:t>
            </w:r>
          </w:p>
        </w:tc>
        <w:tc>
          <w:tcPr/>
          <w:p>
            <w:pPr>
              <w:pStyle w:val="Compact"/>
              <w:jc w:val="left"/>
            </w:pPr>
            <w:r>
              <w:t xml:space="preserve">[0.12, 0.53]</w:t>
            </w:r>
          </w:p>
        </w:tc>
        <w:tc>
          <w:tcPr/>
          <w:p>
            <w:pPr>
              <w:pStyle w:val="Compact"/>
              <w:jc w:val="left"/>
            </w:pPr>
            <w:r>
              <w:t xml:space="preserve">11.62</w:t>
            </w:r>
          </w:p>
        </w:tc>
        <w:tc>
          <w:tcPr/>
          <w:p>
            <w:pPr>
              <w:pStyle w:val="Compact"/>
              <w:jc w:val="left"/>
            </w:pPr>
            <w:r>
              <w:t xml:space="preserve">.003</w:t>
            </w:r>
          </w:p>
        </w:tc>
      </w:tr>
      <w:tr>
        <w:tc>
          <w:tcPr/>
          <w:p>
            <w:pPr>
              <w:pStyle w:val="Compact"/>
              <w:jc w:val="left"/>
            </w:pPr>
            <w:r>
              <w:t xml:space="preserve">Publication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0.19</w:t>
            </w:r>
          </w:p>
        </w:tc>
        <w:tc>
          <w:tcPr/>
          <w:p>
            <w:pPr>
              <w:pStyle w:val="Compact"/>
              <w:jc w:val="left"/>
            </w:pPr>
            <w:r>
              <w:t xml:space="preserve">.701</w:t>
            </w:r>
          </w:p>
        </w:tc>
      </w:tr>
      <w:tr>
        <w:tc>
          <w:tcPr/>
          <w:p>
            <w:pPr>
              <w:pStyle w:val="Compact"/>
              <w:jc w:val="left"/>
            </w:pPr>
            <w:r>
              <w:t xml:space="preserve">     published</w:t>
            </w:r>
          </w:p>
        </w:tc>
        <w:tc>
          <w:tcPr/>
          <w:p>
            <w:pPr>
              <w:pStyle w:val="Compact"/>
              <w:jc w:val="left"/>
            </w:pPr>
            <w:r>
              <w:t xml:space="preserve">38</w:t>
            </w:r>
          </w:p>
        </w:tc>
        <w:tc>
          <w:tcPr/>
          <w:p>
            <w:pPr>
              <w:pStyle w:val="Compact"/>
              <w:jc w:val="left"/>
            </w:pPr>
            <w:r>
              <w:t xml:space="preserve">192</w:t>
            </w:r>
          </w:p>
        </w:tc>
        <w:tc>
          <w:tcPr/>
          <w:p>
            <w:pPr>
              <w:pStyle w:val="Compact"/>
              <w:jc w:val="left"/>
            </w:pPr>
            <w:r>
              <w:t xml:space="preserve">0.2</w:t>
            </w:r>
          </w:p>
        </w:tc>
        <w:tc>
          <w:tcPr/>
          <w:p>
            <w:pPr>
              <w:pStyle w:val="Compact"/>
              <w:jc w:val="left"/>
            </w:pPr>
            <w:r>
              <w:t xml:space="preserve">–</w:t>
            </w:r>
          </w:p>
        </w:tc>
        <w:tc>
          <w:tcPr/>
          <w:p>
            <w:pPr>
              <w:pStyle w:val="Compact"/>
              <w:jc w:val="left"/>
            </w:pPr>
            <w:r>
              <w:t xml:space="preserve">[0.1, 0.31]</w:t>
            </w:r>
          </w:p>
        </w:tc>
        <w:tc>
          <w:tcPr/>
          <w:p>
            <w:pPr>
              <w:pStyle w:val="Compact"/>
              <w:jc w:val="left"/>
            </w:pPr>
            <w:r>
              <w:t xml:space="preserve">15.85</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3</w:t>
            </w:r>
          </w:p>
        </w:tc>
        <w:tc>
          <w:tcPr/>
          <w:p>
            <w:pPr>
              <w:pStyle w:val="Compact"/>
              <w:jc w:val="left"/>
            </w:pPr>
            <w:r>
              <w:t xml:space="preserve">4</w:t>
            </w:r>
          </w:p>
        </w:tc>
        <w:tc>
          <w:tcPr/>
          <w:p>
            <w:pPr>
              <w:pStyle w:val="Compact"/>
              <w:jc w:val="left"/>
            </w:pPr>
            <w:r>
              <w:t xml:space="preserve">0.45</w:t>
            </w:r>
          </w:p>
        </w:tc>
        <w:tc>
          <w:tcPr/>
          <w:p>
            <w:pPr>
              <w:pStyle w:val="Compact"/>
              <w:jc w:val="left"/>
            </w:pPr>
            <w:r>
              <w:t xml:space="preserve">–</w:t>
            </w:r>
          </w:p>
        </w:tc>
        <w:tc>
          <w:tcPr/>
          <w:p>
            <w:pPr>
              <w:pStyle w:val="Compact"/>
              <w:jc w:val="left"/>
            </w:pPr>
            <w:r>
              <w:t xml:space="preserve">[-2.02, 2.93]</w:t>
            </w:r>
          </w:p>
        </w:tc>
        <w:tc>
          <w:tcPr/>
          <w:p>
            <w:pPr>
              <w:pStyle w:val="Compact"/>
              <w:jc w:val="left"/>
            </w:pPr>
            <w:r>
              <w:t xml:space="preserve">0.63</w:t>
            </w:r>
          </w:p>
        </w:tc>
        <w:tc>
          <w:tcPr/>
          <w:p>
            <w:pPr>
              <w:pStyle w:val="Compact"/>
              <w:jc w:val="left"/>
            </w:pPr>
            <w:r>
              <w:t xml:space="preserve">.511</w:t>
            </w:r>
          </w:p>
        </w:tc>
      </w:tr>
    </w:tbl>
    <w:p>
      <w:pPr>
        <w:pStyle w:val="CaptionedFigure"/>
      </w:pPr>
      <w:r>
        <w:drawing>
          <wp:inline>
            <wp:extent cx="5963478" cy="3440468"/>
            <wp:effectExtent b="0" l="0" r="0" t="0"/>
            <wp:docPr descr="Figure 3: For each moderator, we fit a separate 3LMA and subsequently derived subgroup mean effect sizes (dots) and their 95% confidence intervals (error bars)." title="" id="49" name="Picture"/>
            <a:graphic>
              <a:graphicData uri="http://schemas.openxmlformats.org/drawingml/2006/picture">
                <pic:pic>
                  <pic:nvPicPr>
                    <pic:cNvPr descr="metaware_manuscript_files/figure-docx/modforest-1.png" id="50" name="Picture"/>
                    <pic:cNvPicPr>
                      <a:picLocks noChangeArrowheads="1" noChangeAspect="1"/>
                    </pic:cNvPicPr>
                  </pic:nvPicPr>
                  <pic:blipFill>
                    <a:blip r:embed="rId48"/>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51" w:name="fig:modforest"/>
      <w:bookmarkEnd w:id="51"/>
      <w:r>
        <w:t xml:space="preserve">Figure 3: For each moderator,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2.13) = 2.75,</w:t>
      </w:r>
      <w:r>
        <w:t xml:space="preserve"> </w:t>
      </w:r>
      <m:oMath>
        <m:r>
          <m:t>p</m:t>
        </m:r>
      </m:oMath>
      <w:r>
        <w:t xml:space="preserve"> </w:t>
      </w:r>
      <w:r>
        <w:t xml:space="preserve">= .256. As shown in Figure</w:t>
      </w:r>
      <w:r>
        <w:t xml:space="preserve"> </w:t>
      </w:r>
      <w:r>
        <w:t xml:space="preserve">3</w:t>
      </w:r>
      <w:r>
        <w:t xml:space="preserve">, effects were generally positive and medium-to-large in studies with students (</w:t>
      </w:r>
      <m:oMath>
        <m:r>
          <m:t>g</m:t>
        </m:r>
      </m:oMath>
      <w:r>
        <w:t xml:space="preserve"> </w:t>
      </w:r>
      <w:r>
        <w:t xml:space="preserve">= 0.30, 95% CI [0.14, 0.46],</w:t>
      </w:r>
      <w:r>
        <w:t xml:space="preserve"> </w:t>
      </w:r>
      <m:oMath>
        <m:r>
          <m:t>p</m:t>
        </m:r>
      </m:oMath>
      <w:r>
        <w:t xml:space="preserve"> </w:t>
      </w:r>
      <w:r>
        <w:t xml:space="preserve">&lt; .001), and near-zero in studies with non-students (</w:t>
      </w:r>
      <m:oMath>
        <m:r>
          <m:t>g</m:t>
        </m:r>
      </m:oMath>
      <w:r>
        <w:t xml:space="preserve"> </w:t>
      </w:r>
      <w:r>
        <w:t xml:space="preserve">= 0.04, 95% CI [-0.08, 0.16],</w:t>
      </w:r>
      <w:r>
        <w:t xml:space="preserve"> </w:t>
      </w:r>
      <m:oMath>
        <m:r>
          <m:t>p</m:t>
        </m:r>
      </m:oMath>
      <w:r>
        <w:t xml:space="preserve"> </w:t>
      </w:r>
      <w:r>
        <w:t xml:space="preserve">= .481) or a mix of students and non-students (</w:t>
      </w:r>
      <m:oMath>
        <m:r>
          <m:t>g</m:t>
        </m:r>
      </m:oMath>
      <w:r>
        <w:t xml:space="preserve"> </w:t>
      </w:r>
      <w:r>
        <w:t xml:space="preserve">= 0.04, 95% CI [-1.00, 1.09],</w:t>
      </w:r>
      <w:r>
        <w:t xml:space="preserve"> </w:t>
      </w:r>
      <m:oMath>
        <m:r>
          <m:t>p</m:t>
        </m:r>
      </m:oMath>
      <w:r>
        <w:t xml:space="preserve"> </w:t>
      </w:r>
      <w:r>
        <w:t xml:space="preserve">= .687). The effects of demand characteristics also tended to be slightly more positive for in-person (</w:t>
      </w:r>
      <m:oMath>
        <m:r>
          <m:t>g</m:t>
        </m:r>
      </m:oMath>
      <w:r>
        <w:t xml:space="preserve"> </w:t>
      </w:r>
      <w:r>
        <w:t xml:space="preserve">= 0.28, 95% CI [0.12, 0.45],</w:t>
      </w:r>
      <w:r>
        <w:t xml:space="preserve"> </w:t>
      </w:r>
      <m:oMath>
        <m:r>
          <m:t>p</m:t>
        </m:r>
      </m:oMath>
      <w:r>
        <w:t xml:space="preserve"> </w:t>
      </w:r>
      <w:r>
        <w:t xml:space="preserve">.001) vs. online (</w:t>
      </w:r>
      <m:oMath>
        <m:r>
          <m:t>g</m:t>
        </m:r>
      </m:oMath>
      <w:r>
        <w:t xml:space="preserve"> </w:t>
      </w:r>
      <w:r>
        <w:t xml:space="preserve">= 0.12, 95% CI [0.01, 0.22],</w:t>
      </w:r>
      <w:r>
        <w:t xml:space="preserve"> </w:t>
      </w:r>
      <m:oMath>
        <m:r>
          <m:t>p</m:t>
        </m:r>
      </m:oMath>
      <w:r>
        <w:t xml:space="preserve"> </w:t>
      </w:r>
      <w:r>
        <w:t xml:space="preserve">= .030) studies; however, this difference was not significant,</w:t>
      </w:r>
      <w:r>
        <w:t xml:space="preserve"> </w:t>
      </w:r>
      <m:oMath>
        <m:r>
          <m:t>F</m:t>
        </m:r>
      </m:oMath>
      <w:r>
        <w:t xml:space="preserve">(1, 17.12) = 3.12,</w:t>
      </w:r>
      <w:r>
        <w:t xml:space="preserve"> </w:t>
      </w:r>
      <m:oMath>
        <m:r>
          <m:t>p</m:t>
        </m:r>
      </m:oMath>
      <w:r>
        <w:t xml:space="preserve"> </w:t>
      </w:r>
      <w:r>
        <w:t xml:space="preserve">= .095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g</m:t>
        </m:r>
      </m:oMath>
      <w:r>
        <w:t xml:space="preserve"> </w:t>
      </w:r>
      <w:r>
        <w:t xml:space="preserve">= 0.15, 95% CI [0.04, 0.26],</w:t>
      </w:r>
      <w:r>
        <w:t xml:space="preserve"> </w:t>
      </w:r>
      <m:oMath>
        <m:r>
          <m:t>p</m:t>
        </m:r>
      </m:oMath>
      <w:r>
        <w:t xml:space="preserve"> </w:t>
      </w:r>
      <w:r>
        <w:t xml:space="preserve">= .007), effect sizes were approximately twice as large when two demand characteristic conditions were compared (</w:t>
      </w:r>
      <m:oMath>
        <m:r>
          <m:t>g</m:t>
        </m:r>
      </m:oMath>
      <w:r>
        <w:t xml:space="preserve"> </w:t>
      </w:r>
      <w:r>
        <w:t xml:space="preserve">= 0.37, 95% CI [0.20, 0.54],</w:t>
      </w:r>
      <w:r>
        <w:t xml:space="preserve"> </w:t>
      </w:r>
      <m:oMath>
        <m:r>
          <m:t>p</m:t>
        </m:r>
      </m:oMath>
      <w:r>
        <w:t xml:space="preserve"> </w:t>
      </w:r>
      <w:r>
        <w:t xml:space="preserve">&lt; .001),</w:t>
      </w:r>
      <w:r>
        <w:t xml:space="preserve"> </w:t>
      </w:r>
      <m:oMath>
        <m:r>
          <m:t>F</m:t>
        </m:r>
      </m:oMath>
      <w:r>
        <w:t xml:space="preserve">(1, 8.18) = 15.32,</w:t>
      </w:r>
      <w:r>
        <w:t xml:space="preserve"> </w:t>
      </w:r>
      <m:oMath>
        <m:r>
          <m:t>p</m:t>
        </m:r>
      </m:oMath>
      <w:r>
        <w:t xml:space="preserve"> </w:t>
      </w:r>
      <w:r>
        <w:t xml:space="preserve">.004.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1.86) = 7.71,</w:t>
      </w:r>
      <w:r>
        <w:t xml:space="preserve"> </w:t>
      </w:r>
      <m:oMath>
        <m:r>
          <m:t>p</m:t>
        </m:r>
      </m:oMath>
      <w:r>
        <w:t xml:space="preserve"> </w:t>
      </w:r>
      <w:r>
        <w:t xml:space="preserve">= .126. As shown in Figure</w:t>
      </w:r>
      <w:r>
        <w:t xml:space="preserve"> </w:t>
      </w:r>
      <w:r>
        <w:t xml:space="preserve">3</w:t>
      </w:r>
      <w:r>
        <w:t xml:space="preserve">, the effect of demand characteristics tended to be nearly twice as large in the nil (</w:t>
      </w:r>
      <m:oMath>
        <m:r>
          <m:t>g</m:t>
        </m:r>
      </m:oMath>
      <w:r>
        <w:t xml:space="preserve"> </w:t>
      </w:r>
      <w:r>
        <w:t xml:space="preserve">= 0.41, 95% CI [0.17, 0.66],</w:t>
      </w:r>
      <w:r>
        <w:t xml:space="preserve"> </w:t>
      </w:r>
      <m:oMath>
        <m:r>
          <m:t>p</m:t>
        </m:r>
      </m:oMath>
      <w:r>
        <w:t xml:space="preserve"> </w:t>
      </w:r>
      <w:r>
        <w:t xml:space="preserve">.011) vs. positive (</w:t>
      </w:r>
      <m:oMath>
        <m:r>
          <m:t>d</m:t>
        </m:r>
      </m:oMath>
      <w:r>
        <w:t xml:space="preserve"> </w:t>
      </w:r>
      <w:r>
        <w:t xml:space="preserve">= 0.20, 95% CI [0.06, 0.33],</w:t>
      </w:r>
      <w:r>
        <w:t xml:space="preserve"> </w:t>
      </w:r>
      <m:oMath>
        <m:r>
          <m:t>p</m:t>
        </m:r>
      </m:oMath>
      <w:r>
        <w:t xml:space="preserve"> </w:t>
      </w:r>
      <w:r>
        <w:t xml:space="preserve">= .007), and negative demand conditions (</w:t>
      </w:r>
      <m:oMath>
        <m:r>
          <m:t>g</m:t>
        </m:r>
      </m:oMath>
      <w:r>
        <w:t xml:space="preserve"> </w:t>
      </w:r>
      <w:r>
        <w:t xml:space="preserve">= 0.15, 95% CI [0.01, 0.28],</w:t>
      </w:r>
      <w:r>
        <w:t xml:space="preserve"> </w:t>
      </w:r>
      <m:oMath>
        <m:r>
          <m:t>p</m:t>
        </m:r>
      </m:oMath>
      <w:r>
        <w:t xml:space="preserve"> </w:t>
      </w:r>
      <w:r>
        <w:t xml:space="preserve">= .031). In other words, participants’ responses most strongly shift when researchers communicate that they hypothesize</w:t>
      </w:r>
      <w:r>
        <w:t xml:space="preserve"> </w:t>
      </w:r>
      <w:r>
        <w:rPr>
          <w:iCs/>
          <w:i/>
        </w:rPr>
        <w:t xml:space="preserve">no</w:t>
      </w:r>
      <w:r>
        <w:t xml:space="preserve"> </w:t>
      </w:r>
      <w:r>
        <w:t xml:space="preserve">change in response</w:t>
      </w:r>
    </w:p>
    <w:p>
      <w:pPr>
        <w:pStyle w:val="Textkrper"/>
      </w:pPr>
      <w:r>
        <w:t xml:space="preserve">We did not find that the effects of demand characteristics tended to differ depending on whether they were manipulated within- (</w:t>
      </w:r>
      <m:oMath>
        <m:r>
          <m:t>g</m:t>
        </m:r>
      </m:oMath>
      <w:r>
        <w:t xml:space="preserve"> </w:t>
      </w:r>
      <w:r>
        <w:t xml:space="preserve">= 0.23, 95% CI [0.10, 0.36],</w:t>
      </w:r>
      <w:r>
        <w:t xml:space="preserve"> </w:t>
      </w:r>
      <m:oMath>
        <m:r>
          <m:t>p</m:t>
        </m:r>
      </m:oMath>
      <w:r>
        <w:t xml:space="preserve"> </w:t>
      </w:r>
      <w:r>
        <w:t xml:space="preserve">&lt; .001) vs. between-subjects (</w:t>
      </w:r>
      <m:oMath>
        <m:r>
          <m:t>g</m:t>
        </m:r>
      </m:oMath>
      <w:r>
        <w:t xml:space="preserve"> </w:t>
      </w:r>
      <w:r>
        <w:t xml:space="preserve">= 0.09, 95% CI [-0.01, 0.19],</w:t>
      </w:r>
      <w:r>
        <w:t xml:space="preserve"> </w:t>
      </w:r>
      <m:oMath>
        <m:r>
          <m:t>p</m:t>
        </m:r>
      </m:oMath>
      <w:r>
        <w:t xml:space="preserve"> </w:t>
      </w:r>
      <w:r>
        <w:t xml:space="preserve">= .079),</w:t>
      </w:r>
      <w:r>
        <w:t xml:space="preserve"> </w:t>
      </w:r>
      <m:oMath>
        <m:r>
          <m:t>F</m:t>
        </m:r>
      </m:oMath>
      <w:r>
        <w:t xml:space="preserve">(1, 5.06) = 7.61,</w:t>
      </w:r>
      <w:r>
        <w:t xml:space="preserve"> </w:t>
      </w:r>
      <m:oMath>
        <m:r>
          <m:t>p</m:t>
        </m:r>
      </m:oMath>
      <w:r>
        <w:t xml:space="preserve"> </w:t>
      </w:r>
      <w:r>
        <w:t xml:space="preserve">= .039 (Figure</w:t>
      </w:r>
      <w:r>
        <w:t xml:space="preserve"> </w:t>
      </w:r>
      <w:r>
        <w:t xml:space="preserve">3</w:t>
      </w:r>
      <w:r>
        <w:t xml:space="preserve">). We also did not find that the effects of demand characteristics differed depending on whether participants were unpaid (</w:t>
      </w:r>
      <m:oMath>
        <m:r>
          <m:t>g</m:t>
        </m:r>
      </m:oMath>
      <w:r>
        <w:t xml:space="preserve"> </w:t>
      </w:r>
      <w:r>
        <w:t xml:space="preserve">= 0.21, 95% CI [0.08, 0.35],</w:t>
      </w:r>
      <w:r>
        <w:t xml:space="preserve"> </w:t>
      </w:r>
      <m:oMath>
        <m:r>
          <m:t>p</m:t>
        </m:r>
      </m:oMath>
      <w:r>
        <w:t xml:space="preserve"> </w:t>
      </w:r>
      <w:r>
        <w:t xml:space="preserve">.003) vs. paid (</w:t>
      </w:r>
      <m:oMath>
        <m:r>
          <m:t>g</m:t>
        </m:r>
      </m:oMath>
      <w:r>
        <w:t xml:space="preserve"> </w:t>
      </w:r>
      <w:r>
        <w:t xml:space="preserve">= 0.15, 95% CI [0.00, 0.30],</w:t>
      </w:r>
      <w:r>
        <w:t xml:space="preserve"> </w:t>
      </w:r>
      <m:oMath>
        <m:r>
          <m:t>p</m:t>
        </m:r>
      </m:oMath>
      <w:r>
        <w:t xml:space="preserve"> </w:t>
      </w:r>
      <w:r>
        <w:t xml:space="preserve">= .045),</w:t>
      </w:r>
      <w:r>
        <w:t xml:space="preserve"> </w:t>
      </w:r>
      <m:oMath>
        <m:r>
          <m:t>F</m:t>
        </m:r>
      </m:oMath>
      <w:r>
        <w:t xml:space="preserve">(1, 15.36) = 0.46,</w:t>
      </w:r>
      <w:r>
        <w:t xml:space="preserve"> </w:t>
      </w:r>
      <m:oMath>
        <m:r>
          <m:t>p</m:t>
        </m:r>
      </m:oMath>
      <w:r>
        <w:t xml:space="preserve"> </w:t>
      </w:r>
      <w:r>
        <w:t xml:space="preserve">= .507 (Figure</w:t>
      </w:r>
      <w:r>
        <w:t xml:space="preserve"> </w:t>
      </w:r>
      <w:r>
        <w:t xml:space="preserve">3</w:t>
      </w:r>
      <w:r>
        <w:t xml:space="preserve">).</w:t>
      </w:r>
    </w:p>
    <w:bookmarkEnd w:id="52"/>
    <w:bookmarkStart w:id="57"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54" name="Picture"/>
            <a:graphic>
              <a:graphicData uri="http://schemas.openxmlformats.org/drawingml/2006/picture">
                <pic:pic>
                  <pic:nvPicPr>
                    <pic:cNvPr descr="metaware_manuscript_files/figure-docx/predplot-1.png" id="55" name="Picture"/>
                    <pic:cNvPicPr>
                      <a:picLocks noChangeArrowheads="1" noChangeAspect="1"/>
                    </pic:cNvPicPr>
                  </pic:nvPicPr>
                  <pic:blipFill>
                    <a:blip r:embed="rId53"/>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bookmarkStart w:id="56" w:name="fig:predplot"/>
      <w:bookmarkEnd w:id="56"/>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g</m:t>
        </m:r>
      </m:oMath>
      <w:r>
        <w:t xml:space="preserve"> </w:t>
      </w:r>
      <w:r>
        <w:t xml:space="preserve">= 0.19, 95% CI [0.05, 0.33,</w:t>
      </w:r>
      <w:r>
        <w:t xml:space="preserve"> </w:t>
      </w:r>
      <m:oMath>
        <m:r>
          <m:t>p</m:t>
        </m:r>
      </m:oMath>
      <w:r>
        <w:t xml:space="preserve"> </w:t>
      </w:r>
      <w:r>
        <w:t xml:space="preserve">= .009]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g</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7"/>
    <w:bookmarkStart w:id="6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0.57, 95% CI [-0.18, 1.33],</w:t>
      </w:r>
      <w:r>
        <w:t xml:space="preserve"> </w:t>
      </w:r>
      <m:oMath>
        <m:r>
          <m:t>p</m:t>
        </m:r>
      </m:oMath>
      <w:r>
        <w:t xml:space="preserve"> </w:t>
      </w:r>
      <w:r>
        <w:t xml:space="preserve">= .137. The bias-corrected overall effect size estimate did not significantly differ from zero,</w:t>
      </w:r>
      <w:r>
        <w:t xml:space="preserve"> </w:t>
      </w:r>
      <m:oMath>
        <m:r>
          <m:t>g</m:t>
        </m:r>
      </m:oMath>
      <w:r>
        <w:t xml:space="preserve"> </w:t>
      </w:r>
      <w:r>
        <w:t xml:space="preserve">= 0.08, 95% CI [-0.13, 0.29],</w:t>
      </w:r>
      <w:r>
        <w:t xml:space="preserve"> </w:t>
      </w:r>
      <m:oMath>
        <m:r>
          <m:t>p</m:t>
        </m:r>
      </m:oMath>
      <w:r>
        <w:t xml:space="preserve"> </w:t>
      </w:r>
      <w:r>
        <w:t xml:space="preserve">= .448.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-0.36, 95% CI [-1.42, 0.71],</w:t>
      </w:r>
      <w:r>
        <w:t xml:space="preserve"> </w:t>
      </w:r>
      <m:oMath>
        <m:r>
          <m:t>p</m:t>
        </m:r>
      </m:oMath>
      <w:r>
        <w:t xml:space="preserve"> </w:t>
      </w:r>
      <w:r>
        <w:t xml:space="preserve">= .513. The bias-corrected overall effect size estimate was virtually unchanged,</w:t>
      </w:r>
      <w:r>
        <w:t xml:space="preserve"> </w:t>
      </w:r>
      <m:oMath>
        <m:r>
          <m:t>g</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g</m:t>
        </m:r>
      </m:oMath>
      <w:r>
        <w:t xml:space="preserve"> </w:t>
      </w:r>
      <w:r>
        <w:t xml:space="preserve">= 0.41, 95% CI [0.19, 0.62],</w:t>
      </w:r>
      <w:r>
        <w:t xml:space="preserve"> </w:t>
      </w:r>
      <m:oMath>
        <m:r>
          <m:t>p</m:t>
        </m:r>
      </m:oMath>
      <w:r>
        <w:t xml:space="preserve"> </w:t>
      </w:r>
      <w:r>
        <w:t xml:space="preserve">&lt; .001. A comparison of unpublished (</w:t>
      </w:r>
      <m:oMath>
        <m:r>
          <m:t>g</m:t>
        </m:r>
      </m:oMath>
      <w:r>
        <w:t xml:space="preserve"> </w:t>
      </w:r>
      <w:r>
        <w:t xml:space="preserve">= 0.45, 95% CI [-2.02, 2.93],</w:t>
      </w:r>
      <w:r>
        <w:t xml:space="preserve"> </w:t>
      </w:r>
      <m:oMath>
        <m:r>
          <m:t>p</m:t>
        </m:r>
      </m:oMath>
      <w:r>
        <w:t xml:space="preserve"> </w:t>
      </w:r>
      <w:r>
        <w:t xml:space="preserve">= .511) and published (</w:t>
      </w:r>
      <m:oMath>
        <m:r>
          <m:t>g</m:t>
        </m:r>
      </m:oMath>
      <w:r>
        <w:t xml:space="preserve"> </w:t>
      </w:r>
      <w:r>
        <w:t xml:space="preserve">= 0.20, 95% CI [0.10, 0.31],</w:t>
      </w:r>
      <w:r>
        <w:t xml:space="preserve"> </w:t>
      </w:r>
      <m:oMath>
        <m:r>
          <m:t>p</m:t>
        </m:r>
      </m:oMath>
      <w:r>
        <w:t xml:space="preserve"> </w:t>
      </w:r>
      <w:r>
        <w:t xml:space="preserve">= &lt; .001) studies yielded a similar pattern, although the difference was not significant,</w:t>
      </w:r>
      <w:r>
        <w:t xml:space="preserve"> </w:t>
      </w:r>
      <m:oMath>
        <m:r>
          <m:t>F</m:t>
        </m:r>
      </m:oMath>
      <w:r>
        <w:t xml:space="preserve">(1, 2.25) = 0.19,</w:t>
      </w:r>
      <w:r>
        <w:t xml:space="preserve"> </w:t>
      </w:r>
      <m:oMath>
        <m:r>
          <m:t>p</m:t>
        </m:r>
      </m:oMath>
      <w:r>
        <w:t xml:space="preserve"> </w:t>
      </w:r>
      <w:r>
        <w:t xml:space="preserve">= .701.</w:t>
      </w:r>
    </w:p>
    <w:p>
      <w:pPr>
        <w:pStyle w:val="CaptionedFigure"/>
      </w:pPr>
      <w:r>
        <w:drawing>
          <wp:inline>
            <wp:extent cx="5963478" cy="3440468"/>
            <wp:effectExtent b="0" l="0" r="0" t="0"/>
            <wp:docPr descr="Figure 5: Raw (Panel A) or aggregated (Panel B) effect sizes plotted against their corresponding standard errors." title="" id="59" name="Picture"/>
            <a:graphic>
              <a:graphicData uri="http://schemas.openxmlformats.org/drawingml/2006/picture">
                <pic:pic>
                  <pic:nvPicPr>
                    <pic:cNvPr descr="metaware_manuscript_files/figure-docx/funnel-1.png" id="60" name="Picture"/>
                    <pic:cNvPicPr>
                      <a:picLocks noChangeArrowheads="1" noChangeAspect="1"/>
                    </pic:cNvPicPr>
                  </pic:nvPicPr>
                  <pic:blipFill>
                    <a:blip r:embed="rId58"/>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61" w:name="fig:funnel"/>
      <w:bookmarkEnd w:id="61"/>
      <w:r>
        <w:t xml:space="preserve">Figure 5: Raw (Panel A) or aggregated (Panel B) effect sizes plotted against their corresponding standard errors.</w:t>
      </w:r>
    </w:p>
    <w:bookmarkEnd w:id="62"/>
    <w:bookmarkEnd w:id="63"/>
    <w:bookmarkStart w:id="6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g</m:t>
        </m:r>
      </m:oMath>
      <w:r>
        <w:t xml:space="preserve"> </w:t>
      </w:r>
      <w:r>
        <w:t xml:space="preserve">&gt; 0.10); 19% produce hypothesis-</w:t>
      </w:r>
      <w:r>
        <w:rPr>
          <w:iCs/>
          <w:i/>
        </w:rPr>
        <w:t xml:space="preserve">in</w:t>
      </w:r>
      <w:r>
        <w:t xml:space="preserve">consistent shifts (</w:t>
      </w:r>
      <m:oMath>
        <m:r>
          <m:t>g</m:t>
        </m:r>
      </m:oMath>
      <w:r>
        <w:t xml:space="preserve"> </w:t>
      </w:r>
      <w:r>
        <w:t xml:space="preserve">&lt; -0.10), and 18% produce negligible shifts in either direction (-0.10 &lt;</w:t>
      </w:r>
      <w:r>
        <w:t xml:space="preserve"> </w:t>
      </w:r>
      <m:oMath>
        <m:r>
          <m:t>g</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64"/>
    <w:bookmarkEnd w:id="65"/>
    <w:bookmarkStart w:id="86"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bookmarkStart w:id="78" w:name="methodology-1"/>
    <w:p>
      <w:pPr>
        <w:pStyle w:val="berschrift2"/>
      </w:pPr>
      <w:r>
        <w:t xml:space="preserve">Methodology</w:t>
      </w:r>
    </w:p>
    <w:p>
      <w:pPr>
        <w:pStyle w:val="FirstParagraph"/>
      </w:pPr>
      <w:r>
        <w:t xml:space="preserve">For each study in the meta-analysis</w:t>
      </w:r>
      <w:r>
        <w:rPr>
          <w:rStyle w:val="Funotenzeichen"/>
        </w:rPr>
        <w:footnoteReference w:id="66"/>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8" name="Picture"/>
            <a:graphic>
              <a:graphicData uri="http://schemas.openxmlformats.org/drawingml/2006/picture">
                <pic:pic>
                  <pic:nvPicPr>
                    <pic:cNvPr descr="images/metaware_vigs.png" id="69" name="Picture"/>
                    <pic:cNvPicPr>
                      <a:picLocks noChangeArrowheads="1" noChangeAspect="1"/>
                    </pic:cNvPicPr>
                  </pic:nvPicPr>
                  <pic:blipFill>
                    <a:blip r:embed="rId67"/>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bookmarkStart w:id="70" w:name="fig:vig"/>
      <w:bookmarkEnd w:id="70"/>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(anonymous for peer review)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75" w:name="X50ac5346a764638f68a9356056d1f2c3e87ad60"/>
    <w:p>
      <w:pPr>
        <w:pStyle w:val="berschrift3"/>
      </w:pPr>
      <w:r>
        <w:t xml:space="preserve">Accounting for different demand comparisons.</w:t>
      </w:r>
    </w:p>
    <w:p>
      <w:pPr>
        <w:pStyle w:val="FirstParagraph"/>
      </w:pPr>
      <w:r>
        <w:t xml:space="preserve">As mentioned before, Hedge’s</w:t>
      </w:r>
      <w:r>
        <w:t xml:space="preserve"> </w:t>
      </w:r>
      <m:oMath>
        <m:r>
          <m:t>g</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72" name="Picture"/>
            <a:graphic>
              <a:graphicData uri="http://schemas.openxmlformats.org/drawingml/2006/picture">
                <pic:pic>
                  <pic:nvPicPr>
                    <pic:cNvPr descr="images/metaware_mods.png" id="73" name="Picture"/>
                    <pic:cNvPicPr>
                      <a:picLocks noChangeArrowheads="1" noChangeAspect="1"/>
                    </pic:cNvPicPr>
                  </pic:nvPicPr>
                  <pic:blipFill>
                    <a:blip r:embed="rId71"/>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bookmarkStart w:id="74" w:name="fig:mods"/>
      <w:bookmarkEnd w:id="74"/>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75"/>
    <w:bookmarkStart w:id="76"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76"/>
    <w:bookmarkStart w:id="77"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(anonymous for peer review) IRB (protocol #: anonymous for peer review; protocol title: anonymous for peer review).</w:t>
      </w:r>
    </w:p>
    <w:bookmarkEnd w:id="77"/>
    <w:bookmarkEnd w:id="78"/>
    <w:bookmarkStart w:id="84"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80" name="Picture"/>
            <a:graphic>
              <a:graphicData uri="http://schemas.openxmlformats.org/drawingml/2006/picture">
                <pic:pic>
                  <pic:nvPicPr>
                    <pic:cNvPr descr="metaware_manuscript_files/figure-docx/modfig-1.png" id="81" name="Picture"/>
                    <pic:cNvPicPr>
                      <a:picLocks noChangeArrowheads="1" noChangeAspect="1"/>
                    </pic:cNvPicPr>
                  </pic:nvPicPr>
                  <pic:blipFill>
                    <a:blip r:embed="rId79"/>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bookmarkStart w:id="82" w:name="fig:modfig"/>
      <w:bookmarkEnd w:id="82"/>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[-0.06, 0.21],</w:t>
      </w:r>
      <w:r>
        <w:t xml:space="preserve"> </w:t>
      </w:r>
      <m:oMath>
        <m:r>
          <m:t>t</m:t>
        </m:r>
      </m:oMath>
      <w:r>
        <w:t xml:space="preserve">(12.85) = 1.22,</w:t>
      </w:r>
      <w:r>
        <w:t xml:space="preserve"> </w:t>
      </w:r>
      <m:oMath>
        <m:r>
          <m:t>p</m:t>
        </m:r>
      </m:oMath>
      <w:r>
        <w:t xml:space="preserve"> </w:t>
      </w:r>
      <w:r>
        <w:t xml:space="preserve">= .243 (Figure</w:t>
      </w:r>
      <w:r>
        <w:t xml:space="preserve"> </w:t>
      </w:r>
      <w:r>
        <w:t xml:space="preserve">8</w:t>
      </w:r>
      <w:r>
        <w:t xml:space="preserve">, Panel D). In other words, in the absence of theory, it is challenging to predict the impact of demand characteristics. Thus, we next turned our attention to the motivation and expectancy accounts.</w:t>
      </w:r>
    </w:p>
    <w:p>
      <w:pPr>
        <w:pStyle w:val="Textkrper"/>
      </w:pPr>
      <w:r>
        <w:t xml:space="preserve">Inconsistent with motivation accounts, we did not find that demand effects were moderated by ratings of motivation,</w:t>
      </w:r>
      <w:r>
        <w:t xml:space="preserve"> </w:t>
      </w:r>
      <m:oMath>
        <m:r>
          <m:t>β</m:t>
        </m:r>
      </m:oMath>
      <w:r>
        <w:t xml:space="preserve"> </w:t>
      </w:r>
      <w:r>
        <w:t xml:space="preserve">= 0.00, 95% CI [-0.22, 0.21],</w:t>
      </w:r>
      <w:r>
        <w:t xml:space="preserve"> </w:t>
      </w:r>
      <m:oMath>
        <m:r>
          <m:t>t</m:t>
        </m:r>
      </m:oMath>
      <w:r>
        <w:t xml:space="preserve">(11.22) = -0.02,</w:t>
      </w:r>
      <w:r>
        <w:t xml:space="preserve"> </w:t>
      </w:r>
      <m:oMath>
        <m:r>
          <m:t>p</m:t>
        </m:r>
      </m:oMath>
      <w:r>
        <w:t xml:space="preserve"> </w:t>
      </w:r>
      <w:r>
        <w:t xml:space="preserve">= .985, or opportunity to adjust responses,</w:t>
      </w:r>
      <w:r>
        <w:t xml:space="preserve"> </w:t>
      </w:r>
      <m:oMath>
        <m:r>
          <m:t>β</m:t>
        </m:r>
      </m:oMath>
      <w:r>
        <w:t xml:space="preserve"> </w:t>
      </w:r>
      <w:r>
        <w:t xml:space="preserve">= 0.05, 95% CI [0.00, 0.10],</w:t>
      </w:r>
      <w:r>
        <w:t xml:space="preserve"> </w:t>
      </w:r>
      <m:oMath>
        <m:r>
          <m:t>t</m:t>
        </m:r>
      </m:oMath>
      <w:r>
        <w:t xml:space="preserve">(7.52) = 2.21,</w:t>
      </w:r>
      <w:r>
        <w:t xml:space="preserve"> </w:t>
      </w:r>
      <m:oMath>
        <m:r>
          <m:t>p</m:t>
        </m:r>
      </m:oMath>
      <w:r>
        <w:t xml:space="preserve"> </w:t>
      </w:r>
      <w:r>
        <w:t xml:space="preserve">= .060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NA, 95% CI [-0.06, 0.17],</w:t>
      </w:r>
      <w:r>
        <w:t xml:space="preserve"> </w:t>
      </w:r>
      <m:oMath>
        <m:r>
          <m:t>t</m:t>
        </m:r>
      </m:oMath>
      <w:r>
        <w:t xml:space="preserve">(10.99) = 1.12,</w:t>
      </w:r>
      <w:r>
        <w:t xml:space="preserve"> </w:t>
      </w:r>
      <m:oMath>
        <m:r>
          <m:t>p</m:t>
        </m:r>
      </m:oMath>
      <w:r>
        <w:t xml:space="preserve"> </w:t>
      </w:r>
      <w:r>
        <w:t xml:space="preserve">= .287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w:t>
      </w:r>
      <w:r>
        <w:t xml:space="preserve"> </w:t>
      </w:r>
      <w:r>
        <w:rPr>
          <w:iCs/>
          <w:i/>
        </w:rPr>
        <w:t xml:space="preserve">t</w:t>
      </w:r>
      <w:r>
        <w:t xml:space="preserve">(302) = -0.09,</w:t>
      </w:r>
      <w:r>
        <w:t xml:space="preserve"> </w:t>
      </w:r>
      <m:oMath>
        <m:r>
          <m:t>p</m:t>
        </m:r>
      </m:oMath>
      <w:r>
        <w:t xml:space="preserve"> </w:t>
      </w:r>
      <w:r>
        <w:t xml:space="preserve">= .927. In other words, the difference in significance was not itself statistically significant</w:t>
      </w:r>
      <w:r>
        <w:t xml:space="preserve"> </w:t>
      </w:r>
      <w:r>
        <w:t xml:space="preserve">(Gelman &amp; Stern, 2006)</w:t>
      </w:r>
      <w:r>
        <w:t xml:space="preserve">.</w:t>
      </w:r>
    </w:p>
    <w:bookmarkStart w:id="83"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(1) a model containing Study 1 moderators (type of demand characteristics manipulation, participant pool, setting, study design, 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28.59% and 1.84%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pPr>
        <w:pStyle w:val="Textkrper"/>
      </w:pPr>
      <w:r>
        <w:t xml:space="preserve">Including all moderators increased the pseudo-</w:t>
      </w:r>
      <m:oMath>
        <m:sSup>
          <m:e>
            <m:r>
              <m:t>R</m:t>
            </m:r>
          </m:e>
          <m:sup>
            <m:r>
              <m:t>2</m:t>
            </m:r>
          </m:sup>
        </m:sSup>
      </m:oMath>
      <w:r>
        <w:t xml:space="preserve"> </w:t>
      </w:r>
      <w:r>
        <w:t xml:space="preserve">to 28.89%, indicating that the majority of observed variability in demand effects is still unaccounted.</w:t>
      </w:r>
    </w:p>
    <w:bookmarkEnd w:id="83"/>
    <w:bookmarkEnd w:id="84"/>
    <w:bookmarkStart w:id="85"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but the pattern of results was subsequently replicated in Study 3 (described below).</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85"/>
    <w:bookmarkEnd w:id="86"/>
    <w:bookmarkStart w:id="90"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was randomized.</w:t>
      </w:r>
    </w:p>
    <w:bookmarkStart w:id="88"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87"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https://osf.io/3hkre/?view_only=2dc92af53f194e5eab0d7aecafaf01c2</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(anonymous for peer review) IRB (protocol #: anonymous for peer review; protocol title: anonymous for peer review).</w:t>
      </w:r>
    </w:p>
    <w:bookmarkEnd w:id="87"/>
    <w:bookmarkEnd w:id="88"/>
    <w:bookmarkStart w:id="89"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&lt; .001.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 [0.02,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89"/>
    <w:bookmarkEnd w:id="90"/>
    <w:bookmarkStart w:id="91" w:name="general-discussion"/>
    <w:p>
      <w:pPr>
        <w:pStyle w:val="berschrift1"/>
      </w:pPr>
      <w:r>
        <w:t xml:space="preserve">General Discussion</w:t>
      </w:r>
    </w:p>
    <w:p>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g</m:t>
        </m:r>
      </m:oMath>
      <w:r>
        <w:t xml:space="preserve"> </w:t>
      </w:r>
      <w:r>
        <w:t xml:space="preserve">&gt; 0.10), 19% produce hypothesis-</w:t>
      </w:r>
      <w:r>
        <w:rPr>
          <w:iCs/>
          <w:i/>
        </w:rPr>
        <w:t xml:space="preserve">in</w:t>
      </w:r>
      <w:r>
        <w:t xml:space="preserve">consistent shifts in participants’ responses (</w:t>
      </w:r>
      <m:oMath>
        <m:r>
          <m:t>g</m:t>
        </m:r>
      </m:oMath>
      <w:r>
        <w:t xml:space="preserve"> </w:t>
      </w:r>
      <w:r>
        <w:t xml:space="preserve">&lt; -0.10), and 18% produce negligible shifts in either direction (-0.10 &lt;</w:t>
      </w:r>
      <w:r>
        <w:t xml:space="preserve"> </w:t>
      </w:r>
      <m:oMath>
        <m:r>
          <m:t>g</m:t>
        </m:r>
      </m:oMath>
      <w:r>
        <w:t xml:space="preserve"> </w:t>
      </w:r>
      <w:r>
        <w:t xml:space="preserve">&gt; 0.10). Most worrisome, the estimated distribution of demand effects ranges from approximately</w:t>
      </w:r>
      <w:r>
        <w:t xml:space="preserve"> </w:t>
      </w:r>
      <m:oMath>
        <m:r>
          <m:t>g</m:t>
        </m:r>
      </m:oMath>
      <w:r>
        <w:t xml:space="preserve"> </w:t>
      </w:r>
      <w:r>
        <w:t xml:space="preserve">= -1.43 to</w:t>
      </w:r>
      <w:r>
        <w:t xml:space="preserve"> </w:t>
      </w:r>
      <m:oMath>
        <m:r>
          <m:t>g</m:t>
        </m:r>
      </m:oMath>
      <w:r>
        <w:t xml:space="preserve"> </w:t>
      </w:r>
      <w:r>
        <w:t xml:space="preserve">= 1.95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91"/>
    <w:bookmarkStart w:id="172" w:name="references"/>
    <w:p>
      <w:pPr>
        <w:pStyle w:val="berschrift1"/>
      </w:pPr>
      <w:r>
        <w:t xml:space="preserve">References</w:t>
      </w:r>
    </w:p>
    <w:p>
      <w:pPr>
        <w:pStyle w:val="FirstParagraph"/>
      </w:pPr>
      <w:r>
        <w:t xml:space="preserve">References marked with an asterisk indicate studies included in the meta-analysis.</w:t>
      </w:r>
    </w:p>
    <w:bookmarkStart w:id="171" w:name="refs"/>
    <w:bookmarkStart w:id="92"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92"/>
    <w:bookmarkStart w:id="94" w:name="ref-R-papaja"/>
    <w:p>
      <w:pPr>
        <w:pStyle w:val="Literaturverzeichnis"/>
      </w:pPr>
      <w:r>
        <w:t xml:space="preserve">Aust, F., &amp; Barth, M. (2022).</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93">
        <w:r>
          <w:rPr>
            <w:rStyle w:val="Hyperlink"/>
          </w:rPr>
          <w:t xml:space="preserve">https://github.com/crsh/papaja</w:t>
        </w:r>
      </w:hyperlink>
    </w:p>
    <w:bookmarkEnd w:id="94"/>
    <w:bookmarkStart w:id="95"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Cs/>
          <w:i/>
        </w:rPr>
        <w:t xml:space="preserve">Perceptual and Motor Skills</w:t>
      </w:r>
      <w:r>
        <w:t xml:space="preserve">,</w:t>
      </w:r>
      <w:r>
        <w:t xml:space="preserve"> </w:t>
      </w:r>
      <w:r>
        <w:rPr>
          <w:iCs/>
          <w:i/>
        </w:rPr>
        <w:t xml:space="preserve">73</w:t>
      </w:r>
      <w:r>
        <w:t xml:space="preserve">(1), 83–92.</w:t>
      </w:r>
    </w:p>
    <w:bookmarkEnd w:id="95"/>
    <w:bookmarkStart w:id="96"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96"/>
    <w:bookmarkStart w:id="97"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97"/>
    <w:bookmarkStart w:id="98"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98"/>
    <w:bookmarkStart w:id="99"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99"/>
    <w:bookmarkStart w:id="100"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Cs/>
          <w:i/>
        </w:rPr>
        <w:t xml:space="preserve">Cognitive Therapy and Research</w:t>
      </w:r>
      <w:r>
        <w:t xml:space="preserve">,</w:t>
      </w:r>
      <w:r>
        <w:t xml:space="preserve"> </w:t>
      </w:r>
      <w:r>
        <w:rPr>
          <w:iCs/>
          <w:i/>
        </w:rPr>
        <w:t xml:space="preserve">31</w:t>
      </w:r>
      <w:r>
        <w:t xml:space="preserve">, 805–815.</w:t>
      </w:r>
    </w:p>
    <w:bookmarkEnd w:id="100"/>
    <w:bookmarkStart w:id="102"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101">
        <w:r>
          <w:rPr>
            <w:rStyle w:val="Hyperlink"/>
          </w:rPr>
          <w:t xml:space="preserve">https://CRAN.R-project.org/package=weightr</w:t>
        </w:r>
      </w:hyperlink>
    </w:p>
    <w:bookmarkEnd w:id="102"/>
    <w:bookmarkStart w:id="103"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103"/>
    <w:bookmarkStart w:id="104"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104"/>
    <w:bookmarkStart w:id="105"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105"/>
    <w:bookmarkStart w:id="106"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106"/>
    <w:bookmarkStart w:id="107"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107"/>
    <w:bookmarkStart w:id="108"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108"/>
    <w:bookmarkStart w:id="109"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Cs/>
          <w:i/>
        </w:rPr>
        <w:t xml:space="preserve">Psychology and Psychotherapy: Theory, Research and Practice</w:t>
      </w:r>
      <w:r>
        <w:t xml:space="preserve">,</w:t>
      </w:r>
      <w:r>
        <w:t xml:space="preserve"> </w:t>
      </w:r>
      <w:r>
        <w:rPr>
          <w:iCs/>
          <w:i/>
        </w:rPr>
        <w:t xml:space="preserve">77</w:t>
      </w:r>
      <w:r>
        <w:t xml:space="preserve">(1), 121–133.</w:t>
      </w:r>
    </w:p>
    <w:bookmarkEnd w:id="109"/>
    <w:bookmarkStart w:id="110"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Cs/>
          <w:i/>
        </w:rPr>
        <w:t xml:space="preserve">The Journal of Psychology</w:t>
      </w:r>
      <w:r>
        <w:t xml:space="preserve">,</w:t>
      </w:r>
      <w:r>
        <w:t xml:space="preserve"> </w:t>
      </w:r>
      <w:r>
        <w:rPr>
          <w:iCs/>
          <w:i/>
        </w:rPr>
        <w:t xml:space="preserve">139</w:t>
      </w:r>
      <w:r>
        <w:t xml:space="preserve">(1), 57–66.</w:t>
      </w:r>
    </w:p>
    <w:bookmarkEnd w:id="110"/>
    <w:bookmarkStart w:id="111"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Cs/>
          <w:i/>
        </w:rPr>
        <w:t xml:space="preserve">The Journal of Psychology</w:t>
      </w:r>
      <w:r>
        <w:t xml:space="preserve">,</w:t>
      </w:r>
      <w:r>
        <w:t xml:space="preserve"> </w:t>
      </w:r>
      <w:r>
        <w:rPr>
          <w:iCs/>
          <w:i/>
        </w:rPr>
        <w:t xml:space="preserve">129</w:t>
      </w:r>
      <w:r>
        <w:t xml:space="preserve">(3), 269–275.</w:t>
      </w:r>
    </w:p>
    <w:bookmarkEnd w:id="111"/>
    <w:bookmarkStart w:id="11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112"/>
    <w:bookmarkStart w:id="113"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Cs/>
          <w:i/>
        </w:rPr>
        <w:t xml:space="preserve">Journal of Experimental Psychology: Human Perception and Performance</w:t>
      </w:r>
      <w:r>
        <w:t xml:space="preserve">,</w:t>
      </w:r>
      <w:r>
        <w:t xml:space="preserve"> </w:t>
      </w:r>
      <w:r>
        <w:rPr>
          <w:iCs/>
          <w:i/>
        </w:rPr>
        <w:t xml:space="preserve">38</w:t>
      </w:r>
      <w:r>
        <w:t xml:space="preserve">(6), 1582.</w:t>
      </w:r>
    </w:p>
    <w:bookmarkEnd w:id="113"/>
    <w:bookmarkStart w:id="114"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114"/>
    <w:bookmarkStart w:id="115" w:name="ref-earn1979experimental"/>
    <w:p>
      <w:pPr>
        <w:pStyle w:val="Literaturverzeichnis"/>
      </w:pPr>
      <w:r>
        <w:rPr>
          <w:vertAlign w:val="superscript"/>
        </w:rPr>
        <w:t xml:space="preserve">*</w:t>
      </w:r>
      <w:r>
        <w:t xml:space="preserve"> </w:t>
      </w:r>
      <w:r>
        <w:t xml:space="preserve">Earn, B. M. (1979).</w:t>
      </w:r>
      <w:r>
        <w:t xml:space="preserve"> </w:t>
      </w:r>
      <w:r>
        <w:rPr>
          <w:iCs/>
          <w:i/>
        </w:rPr>
        <w:t xml:space="preserve">Experimental compensation, task interest and the cooperation with demand characteristics of volunteer and sign-up subjects.</w:t>
      </w:r>
      <w:r>
        <w:t xml:space="preserve"> </w:t>
      </w:r>
      <w:r>
        <w:t xml:space="preserve">(PhD thesis).</w:t>
      </w:r>
    </w:p>
    <w:bookmarkEnd w:id="115"/>
    <w:bookmarkStart w:id="116"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116"/>
    <w:bookmarkStart w:id="117"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117"/>
    <w:bookmarkStart w:id="118"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118"/>
    <w:bookmarkStart w:id="119"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19"/>
    <w:bookmarkStart w:id="120"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20"/>
    <w:bookmarkStart w:id="121"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21"/>
    <w:bookmarkStart w:id="122"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Cs/>
          <w:i/>
        </w:rPr>
        <w:t xml:space="preserve">Journal of Cognitive Neuroscience</w:t>
      </w:r>
      <w:r>
        <w:t xml:space="preserve">,</w:t>
      </w:r>
      <w:r>
        <w:t xml:space="preserve"> </w:t>
      </w:r>
      <w:r>
        <w:rPr>
          <w:iCs/>
          <w:i/>
        </w:rPr>
        <w:t xml:space="preserve">30</w:t>
      </w:r>
      <w:r>
        <w:t xml:space="preserve">(11), 1720–1733.</w:t>
      </w:r>
    </w:p>
    <w:bookmarkEnd w:id="122"/>
    <w:bookmarkStart w:id="123" w:name="ref-isager2022student"/>
    <w:p>
      <w:pPr>
        <w:pStyle w:val="Literaturverzeichnis"/>
      </w:pPr>
      <w:r>
        <w:rPr>
          <w:vertAlign w:val="superscript"/>
        </w:rPr>
        <w:t xml:space="preserve">*</w:t>
      </w:r>
      <w:r>
        <w:t xml:space="preserve"> </w:t>
      </w:r>
      <w:r>
        <w:t xml:space="preserve">Isager, P. (2022).</w:t>
      </w:r>
      <w:r>
        <w:t xml:space="preserve"> </w:t>
      </w:r>
      <w:r>
        <w:rPr>
          <w:iCs/>
          <w:i/>
        </w:rPr>
        <w:t xml:space="preserve">Student replication of coles et al. 2022</w:t>
      </w:r>
      <w:r>
        <w:t xml:space="preserve">.</w:t>
      </w:r>
    </w:p>
    <w:bookmarkEnd w:id="123"/>
    <w:bookmarkStart w:id="124"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Cs/>
          <w:i/>
        </w:rPr>
        <w:t xml:space="preserve">Cognitive Therapy and Research</w:t>
      </w:r>
      <w:r>
        <w:t xml:space="preserve">,</w:t>
      </w:r>
      <w:r>
        <w:t xml:space="preserve"> </w:t>
      </w:r>
      <w:r>
        <w:rPr>
          <w:iCs/>
          <w:i/>
        </w:rPr>
        <w:t xml:space="preserve">28</w:t>
      </w:r>
      <w:r>
        <w:t xml:space="preserve">, 229–239.</w:t>
      </w:r>
    </w:p>
    <w:bookmarkEnd w:id="124"/>
    <w:bookmarkStart w:id="125"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25"/>
    <w:bookmarkStart w:id="126"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Cs/>
          <w:i/>
        </w:rPr>
        <w:t xml:space="preserve">Appetite</w:t>
      </w:r>
      <w:r>
        <w:t xml:space="preserve">,</w:t>
      </w:r>
      <w:r>
        <w:t xml:space="preserve"> </w:t>
      </w:r>
      <w:r>
        <w:rPr>
          <w:iCs/>
          <w:i/>
        </w:rPr>
        <w:t xml:space="preserve">141</w:t>
      </w:r>
      <w:r>
        <w:t xml:space="preserve">, 104318.</w:t>
      </w:r>
    </w:p>
    <w:bookmarkEnd w:id="126"/>
    <w:bookmarkStart w:id="127"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27"/>
    <w:bookmarkStart w:id="128"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Cs/>
          <w:i/>
        </w:rPr>
        <w:t xml:space="preserve">Personality</w:t>
      </w:r>
      <w:r>
        <w:t xml:space="preserve">,</w:t>
      </w:r>
      <w:r>
        <w:t xml:space="preserve"> </w:t>
      </w:r>
      <w:r>
        <w:rPr>
          <w:iCs/>
          <w:i/>
        </w:rPr>
        <w:t xml:space="preserve">2</w:t>
      </w:r>
      <w:r>
        <w:t xml:space="preserve">(2), 77–91.</w:t>
      </w:r>
    </w:p>
    <w:bookmarkEnd w:id="128"/>
    <w:bookmarkStart w:id="129"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Cs/>
          <w:i/>
        </w:rPr>
        <w:t xml:space="preserve">Journal of Personality and Social Psychology</w:t>
      </w:r>
      <w:r>
        <w:t xml:space="preserve">,</w:t>
      </w:r>
      <w:r>
        <w:t xml:space="preserve"> </w:t>
      </w:r>
      <w:r>
        <w:rPr>
          <w:iCs/>
          <w:i/>
        </w:rPr>
        <w:t xml:space="preserve">20</w:t>
      </w:r>
      <w:r>
        <w:t xml:space="preserve">(2), 136.</w:t>
      </w:r>
    </w:p>
    <w:bookmarkEnd w:id="129"/>
    <w:bookmarkStart w:id="130"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30"/>
    <w:bookmarkStart w:id="132"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31">
        <w:r>
          <w:rPr>
            <w:rStyle w:val="Hyperlink"/>
          </w:rPr>
          <w:t xml:space="preserve">https://CRAN.R-project.org/package=emmeans</w:t>
        </w:r>
      </w:hyperlink>
    </w:p>
    <w:bookmarkEnd w:id="132"/>
    <w:bookmarkStart w:id="133"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33"/>
    <w:bookmarkStart w:id="134"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Cs/>
          <w:i/>
        </w:rPr>
        <w:t xml:space="preserve">Psychological Research</w:t>
      </w:r>
      <w:r>
        <w:t xml:space="preserve">,</w:t>
      </w:r>
      <w:r>
        <w:t xml:space="preserve"> </w:t>
      </w:r>
      <w:r>
        <w:rPr>
          <w:iCs/>
          <w:i/>
        </w:rPr>
        <w:t xml:space="preserve">82</w:t>
      </w:r>
      <w:r>
        <w:t xml:space="preserve">(4), 700–707.</w:t>
      </w:r>
    </w:p>
    <w:bookmarkEnd w:id="134"/>
    <w:bookmarkStart w:id="13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35"/>
    <w:bookmarkStart w:id="136"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Cs/>
          <w:i/>
        </w:rPr>
        <w:t xml:space="preserve">Psychological Reports</w:t>
      </w:r>
      <w:r>
        <w:t xml:space="preserve">,</w:t>
      </w:r>
      <w:r>
        <w:t xml:space="preserve"> </w:t>
      </w:r>
      <w:r>
        <w:rPr>
          <w:iCs/>
          <w:i/>
        </w:rPr>
        <w:t xml:space="preserve">36</w:t>
      </w:r>
      <w:r>
        <w:t xml:space="preserve">(1), 267–278.</w:t>
      </w:r>
    </w:p>
    <w:bookmarkEnd w:id="136"/>
    <w:bookmarkStart w:id="137"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Cs/>
          <w:i/>
        </w:rPr>
        <w:t xml:space="preserve">Journal of Clinical Psychology</w:t>
      </w:r>
      <w:r>
        <w:t xml:space="preserve">.</w:t>
      </w:r>
    </w:p>
    <w:bookmarkEnd w:id="137"/>
    <w:bookmarkStart w:id="138"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38"/>
    <w:bookmarkStart w:id="13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39"/>
    <w:bookmarkStart w:id="14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40"/>
    <w:bookmarkStart w:id="14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41"/>
    <w:bookmarkStart w:id="142"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Cs/>
          <w:i/>
        </w:rPr>
        <w:t xml:space="preserve">The Journal of Abnormal and Social Psychology</w:t>
      </w:r>
      <w:r>
        <w:t xml:space="preserve">,</w:t>
      </w:r>
      <w:r>
        <w:t xml:space="preserve"> </w:t>
      </w:r>
      <w:r>
        <w:rPr>
          <w:iCs/>
          <w:i/>
        </w:rPr>
        <w:t xml:space="preserve">68</w:t>
      </w:r>
      <w:r>
        <w:t xml:space="preserve">(1), 3.</w:t>
      </w:r>
    </w:p>
    <w:bookmarkEnd w:id="142"/>
    <w:bookmarkStart w:id="143"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Cs/>
          <w:i/>
        </w:rPr>
        <w:t xml:space="preserve">The Journal of Social Psychology</w:t>
      </w:r>
      <w:r>
        <w:t xml:space="preserve">,</w:t>
      </w:r>
      <w:r>
        <w:t xml:space="preserve"> </w:t>
      </w:r>
      <w:r>
        <w:rPr>
          <w:iCs/>
          <w:i/>
        </w:rPr>
        <w:t xml:space="preserve">105</w:t>
      </w:r>
      <w:r>
        <w:t xml:space="preserve">(2), 265–275.</w:t>
      </w:r>
    </w:p>
    <w:bookmarkEnd w:id="143"/>
    <w:bookmarkStart w:id="144"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Cs/>
          <w:i/>
        </w:rPr>
        <w:t xml:space="preserve">Journal of Abnormal Psychology</w:t>
      </w:r>
      <w:r>
        <w:t xml:space="preserve">,</w:t>
      </w:r>
      <w:r>
        <w:t xml:space="preserve"> </w:t>
      </w:r>
      <w:r>
        <w:rPr>
          <w:iCs/>
          <w:i/>
        </w:rPr>
        <w:t xml:space="preserve">89</w:t>
      </w:r>
      <w:r>
        <w:t xml:space="preserve">(2), 286.</w:t>
      </w:r>
    </w:p>
    <w:bookmarkEnd w:id="144"/>
    <w:bookmarkStart w:id="146"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5">
        <w:r>
          <w:rPr>
            <w:rStyle w:val="Hyperlink"/>
          </w:rPr>
          <w:t xml:space="preserve">https://www.R-project.org/</w:t>
        </w:r>
      </w:hyperlink>
    </w:p>
    <w:bookmarkEnd w:id="146"/>
    <w:bookmarkStart w:id="147"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47"/>
    <w:bookmarkStart w:id="148"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48"/>
    <w:bookmarkStart w:id="149"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Cs/>
          <w:i/>
        </w:rPr>
        <w:t xml:space="preserve">Journal of Behavioral Decision Making</w:t>
      </w:r>
      <w:r>
        <w:t xml:space="preserve">,</w:t>
      </w:r>
      <w:r>
        <w:t xml:space="preserve"> </w:t>
      </w:r>
      <w:r>
        <w:rPr>
          <w:iCs/>
          <w:i/>
        </w:rPr>
        <w:t xml:space="preserve">27</w:t>
      </w:r>
      <w:r>
        <w:t xml:space="preserve">(1), 1–10.</w:t>
      </w:r>
    </w:p>
    <w:bookmarkEnd w:id="149"/>
    <w:bookmarkStart w:id="150"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50"/>
    <w:bookmarkStart w:id="151"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51"/>
    <w:bookmarkStart w:id="152"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52"/>
    <w:bookmarkStart w:id="153"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53"/>
    <w:bookmarkStart w:id="154" w:name="ref-schauer1969demand"/>
    <w:p>
      <w:pPr>
        <w:pStyle w:val="Literaturverzeichnis"/>
      </w:pPr>
      <w:r>
        <w:rPr>
          <w:vertAlign w:val="superscript"/>
        </w:rPr>
        <w:t xml:space="preserve">*</w:t>
      </w:r>
      <w:r>
        <w:t xml:space="preserve"> </w:t>
      </w:r>
      <w:r>
        <w:t xml:space="preserve">Schauer, E. (1969).</w:t>
      </w:r>
      <w:r>
        <w:t xml:space="preserve"> </w:t>
      </w:r>
      <w:r>
        <w:rPr>
          <w:iCs/>
          <w:i/>
        </w:rPr>
        <w:t xml:space="preserve">Demand characteristics in a quasi-psychophysical experiment.</w:t>
      </w:r>
      <w:r>
        <w:t xml:space="preserve"> </w:t>
      </w:r>
      <w:r>
        <w:t xml:space="preserve">(PhD thesis).</w:t>
      </w:r>
    </w:p>
    <w:bookmarkEnd w:id="154"/>
    <w:bookmarkStart w:id="155"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55"/>
    <w:bookmarkStart w:id="156"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Cs/>
          <w:i/>
        </w:rPr>
        <w:t xml:space="preserve">Journal of Behavioral Assessment</w:t>
      </w:r>
      <w:r>
        <w:t xml:space="preserve">,</w:t>
      </w:r>
      <w:r>
        <w:t xml:space="preserve"> </w:t>
      </w:r>
      <w:r>
        <w:rPr>
          <w:iCs/>
          <w:i/>
        </w:rPr>
        <w:t xml:space="preserve">4</w:t>
      </w:r>
      <w:r>
        <w:t xml:space="preserve">, 179–185.</w:t>
      </w:r>
    </w:p>
    <w:bookmarkEnd w:id="156"/>
    <w:bookmarkStart w:id="157"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57"/>
    <w:bookmarkStart w:id="158"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58"/>
    <w:bookmarkStart w:id="159"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Cs/>
          <w:i/>
        </w:rPr>
        <w:t xml:space="preserve">The Journal of General Psychology</w:t>
      </w:r>
      <w:r>
        <w:t xml:space="preserve">,</w:t>
      </w:r>
      <w:r>
        <w:t xml:space="preserve"> </w:t>
      </w:r>
      <w:r>
        <w:rPr>
          <w:iCs/>
          <w:i/>
        </w:rPr>
        <w:t xml:space="preserve">113</w:t>
      </w:r>
      <w:r>
        <w:t xml:space="preserve">(3), 289–297.</w:t>
      </w:r>
    </w:p>
    <w:bookmarkEnd w:id="159"/>
    <w:bookmarkStart w:id="160"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60"/>
    <w:bookmarkStart w:id="161"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61"/>
    <w:bookmarkStart w:id="162"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62"/>
    <w:bookmarkStart w:id="16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63"/>
    <w:bookmarkStart w:id="164"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Cs/>
          <w:i/>
        </w:rPr>
        <w:t xml:space="preserve">The Journal of Nervous and Mental Disease</w:t>
      </w:r>
      <w:r>
        <w:t xml:space="preserve">,</w:t>
      </w:r>
      <w:r>
        <w:t xml:space="preserve"> </w:t>
      </w:r>
      <w:r>
        <w:rPr>
          <w:iCs/>
          <w:i/>
        </w:rPr>
        <w:t xml:space="preserve">194</w:t>
      </w:r>
      <w:r>
        <w:t xml:space="preserve">(6), 415–421.</w:t>
      </w:r>
    </w:p>
    <w:bookmarkEnd w:id="164"/>
    <w:bookmarkStart w:id="165"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Cs/>
          <w:i/>
        </w:rPr>
        <w:t xml:space="preserve">Journal of Environmental Psychology</w:t>
      </w:r>
      <w:r>
        <w:t xml:space="preserve">,</w:t>
      </w:r>
      <w:r>
        <w:t xml:space="preserve"> </w:t>
      </w:r>
      <w:r>
        <w:rPr>
          <w:iCs/>
          <w:i/>
        </w:rPr>
        <w:t xml:space="preserve">11</w:t>
      </w:r>
      <w:r>
        <w:t xml:space="preserve">(1), 87–95.</w:t>
      </w:r>
    </w:p>
    <w:bookmarkEnd w:id="165"/>
    <w:bookmarkStart w:id="166"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Cs/>
          <w:i/>
        </w:rPr>
        <w:t xml:space="preserve">Perceptual and Motor Skills</w:t>
      </w:r>
      <w:r>
        <w:t xml:space="preserve">,</w:t>
      </w:r>
      <w:r>
        <w:t xml:space="preserve"> </w:t>
      </w:r>
      <w:r>
        <w:rPr>
          <w:iCs/>
          <w:i/>
        </w:rPr>
        <w:t xml:space="preserve">104</w:t>
      </w:r>
      <w:r>
        <w:t xml:space="preserve">(1), 153–154.</w:t>
      </w:r>
    </w:p>
    <w:bookmarkEnd w:id="166"/>
    <w:bookmarkStart w:id="167"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67"/>
    <w:bookmarkStart w:id="16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68"/>
    <w:bookmarkStart w:id="169"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69"/>
    <w:bookmarkStart w:id="170"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70"/>
    <w:bookmarkEnd w:id="171"/>
    <w:bookmarkEnd w:id="172"/>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2">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3">
    <w:p>
      <w:pPr>
        <w:pStyle w:val="Funotentext"/>
      </w:pPr>
      <w:r>
        <w:rPr>
          <w:rStyle w:val="Funotenzeichen"/>
        </w:rPr>
        <w:footnoteRef/>
      </w:r>
      <w:r>
        <w:t xml:space="preserve"> </w:t>
      </w:r>
      <w:r>
        <w:t xml:space="preserve">After completing the meta-analysis, we learned that one included record by</w:t>
      </w:r>
      <w:r>
        <w:t xml:space="preserve"> </w:t>
      </w:r>
      <w:r>
        <w:t xml:space="preserve">Lana and Menapace (1971)</w:t>
      </w:r>
      <w:r>
        <w:t xml:space="preserve"> </w:t>
      </w:r>
      <w:r>
        <w:t xml:space="preserve">did include a clinical population: patients who suffered pulmonary or cerebrovascular accidents. Excluding their results does not change the general pattern of results.</w:t>
      </w:r>
    </w:p>
  </w:footnote>
  <w:footnote w:id="37">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38">
    <w:p>
      <w:pPr>
        <w:pStyle w:val="Funotentext"/>
      </w:pPr>
      <w:r>
        <w:rPr>
          <w:rStyle w:val="Funotenzeichen"/>
        </w:rPr>
        <w:footnoteRef/>
      </w:r>
      <w:r>
        <w:t xml:space="preserve"> </w:t>
      </w:r>
      <w:r>
        <w:t xml:space="preserve">When assessing publication bias using 3LMA, we also fit an exploratory model that included cluster-robust estimates of the variance covariance matrix. Cluster-robust estimation procedures did not change our inferences.</w:t>
      </w:r>
    </w:p>
  </w:footnote>
  <w:footnote w:id="66">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5" Target="media/rId25.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131" Target="https://CRAN.R-project.org/package=emmeans" TargetMode="External" /><Relationship Type="http://schemas.openxmlformats.org/officeDocument/2006/relationships/hyperlink" Id="rId101" Target="https://CRAN.R-project.org/package=weightr" TargetMode="External" /><Relationship Type="http://schemas.openxmlformats.org/officeDocument/2006/relationships/hyperlink" Id="rId93"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emmeans" TargetMode="External" /><Relationship Type="http://schemas.openxmlformats.org/officeDocument/2006/relationships/hyperlink" Id="rId101" Target="https://CRAN.R-project.org/package=weightr" TargetMode="External" /><Relationship Type="http://schemas.openxmlformats.org/officeDocument/2006/relationships/hyperlink" Id="rId93"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have we learned about demand characteristics? A meta-analytic review of experimental manipulations of explicit hypothesis cues</dc:title>
  <dc:creator/>
  <cp:keywords/>
  <dcterms:created xsi:type="dcterms:W3CDTF">2024-06-05T01:55:34Z</dcterms:created>
  <dcterms:modified xsi:type="dcterms:W3CDTF">2024-06-05T01:55:34Z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researcher’s hypothesis (i.e., demand characteristics). In a meta-analysis, we combined evidence from 40 studies that experimentally tested this concern by manipulating the hypothesis explicitly communicated to participants. Results suggested that explicit information about the researcher’s hypothesis produce biases in participants’ responses that can be potentially large – but are troublingly unreliable and difficult to explain.All materials, data (raw and processed), code, and pre-registrations (for Studies 1 and 2)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C:\Users\NICHOL~1\DOCUME~1\R\WIN-LI~1\4.1\papaja\rmd\APA6-A~2.CSL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kersbergen2019hypothesis;@martin2018attention;@hoogeveen2018did;@rose2014choice;@durgin2012social;@busch2007follow;@cramer2005effect;@kanter2004experimental;@terhune2006induction;@cramer1995effect;@barabasz1991effects;@veitch1991demand;@smith1986influence;@siegel1982influence;@lamberth1971similarity;@polivy1980laboratory;@earn1979experimental;@perry1978demand;@mcginley1975subject;@mcglynn1972experimental;@verpaelst2007demand;@lana1971subject;@schauer1969demand;@cramer2004effect;@isager2022student</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