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61.png" ContentType="image/png"/>
  <Override PartName="/word/media/rId48.png" ContentType="image/png"/>
  <Override PartName="/word/media/rId4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w:t>
      </w:r>
      <w:r>
        <w:t xml:space="preserve"> </w:t>
      </w:r>
      <w:r>
        <w:t xml:space="preserve">have</w:t>
      </w:r>
      <w:r>
        <w:t xml:space="preserve"> </w:t>
      </w:r>
      <w:r>
        <w:t xml:space="preserve">we</w:t>
      </w:r>
      <w:r>
        <w:t xml:space="preserve"> </w:t>
      </w:r>
      <w:r>
        <w:t xml:space="preserve">learned</w:t>
      </w:r>
      <w:r>
        <w:t xml:space="preserve"> </w:t>
      </w:r>
      <w:r>
        <w:t xml:space="preserve">about</w:t>
      </w:r>
      <w:r>
        <w:t xml:space="preserve"> </w:t>
      </w:r>
      <w:r>
        <w:t xml:space="preserve">demand</w:t>
      </w:r>
      <w:r>
        <w:t xml:space="preserve"> </w:t>
      </w:r>
      <w:r>
        <w:t xml:space="preserve">characteristics?</w:t>
      </w:r>
      <w:r>
        <w:t xml:space="preserve"> </w:t>
      </w:r>
      <w:r>
        <w:t xml:space="preserve">A</w:t>
      </w:r>
      <w:r>
        <w:t xml:space="preserve"> </w:t>
      </w:r>
      <w:r>
        <w:t xml:space="preserve">meta-analytic</w:t>
      </w:r>
      <w:r>
        <w:t xml:space="preserve"> </w:t>
      </w:r>
      <w:r>
        <w:t xml:space="preserve">review</w:t>
      </w:r>
      <w:r>
        <w:t xml:space="preserve"> </w:t>
      </w:r>
      <w:r>
        <w:t xml:space="preserve">of</w:t>
      </w:r>
      <w:r>
        <w:t xml:space="preserve"> </w:t>
      </w:r>
      <w:r>
        <w:t xml:space="preserve">experimental</w:t>
      </w:r>
      <w:r>
        <w:t xml:space="preserve"> </w:t>
      </w:r>
      <w:r>
        <w:t xml:space="preserve">manipulations</w:t>
      </w:r>
      <w:r>
        <w:t xml:space="preserve"> </w:t>
      </w:r>
      <w:r>
        <w:t xml:space="preserve">of</w:t>
      </w:r>
      <w:r>
        <w:t xml:space="preserve"> </w:t>
      </w:r>
      <w:r>
        <w:t xml:space="preserve">explicit</w:t>
      </w:r>
      <w:r>
        <w:t xml:space="preserve"> </w:t>
      </w:r>
      <w:r>
        <w:t xml:space="preserve">hypothesis</w:t>
      </w:r>
      <w:r>
        <w:t xml:space="preserve"> </w:t>
      </w:r>
      <w:r>
        <w:t xml:space="preserve">cues</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(for Studies 1 and 2)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Cs/>
          <w:i/>
        </w:rPr>
        <w:t xml:space="preserve">d</w:t>
      </w:r>
      <w:r>
        <w:t xml:space="preserve"> </w:t>
      </w:r>
      <w:r>
        <w:t xml:space="preserve">= 0.22, 95% CI [0.11, 0.33]). However, these effects were extremely heterogeneous (between-study</w:t>
      </w:r>
      <w:r>
        <w:t xml:space="preserve"> </w:t>
      </w:r>
      <m:oMath>
        <m:r>
          <m:t>τ</m:t>
        </m:r>
      </m:oMath>
      <w:r>
        <w:t xml:space="preserve"> </w:t>
      </w:r>
      <w:r>
        <w:t xml:space="preserve">= 0.31; within-study</w:t>
      </w:r>
      <w:r>
        <w:t xml:space="preserve"> </w:t>
      </w:r>
      <m:oMath>
        <m:r>
          <m:t>σ</m:t>
        </m:r>
      </m:oMath>
      <w:r>
        <w:t xml:space="preserve"> </w:t>
      </w:r>
      <w:r>
        <w:t xml:space="preserve">= 0.20), with the estimated distribution of true effects ranging from</w:t>
      </w:r>
      <w:r>
        <w:t xml:space="preserve"> </w:t>
      </w:r>
      <w:r>
        <w:rPr>
          <w:iCs/>
          <w:i/>
        </w:rPr>
        <w:t xml:space="preserve">d</w:t>
      </w:r>
      <w:r>
        <w:t xml:space="preserve"> </w:t>
      </w:r>
      <w:r>
        <w:t xml:space="preserve">= 1.98 (a massive increase in hypothesis-consistent responding) to</w:t>
      </w:r>
      <w:r>
        <w:t xml:space="preserve"> </w:t>
      </w:r>
      <w:r>
        <w:rPr>
          <w:iCs/>
          <w:i/>
        </w:rPr>
        <w:t xml:space="preserve">d</w:t>
      </w:r>
      <w:r>
        <w:t xml:space="preserve"> </w:t>
      </w:r>
      <w:r>
        <w:t xml:space="preserve">= -1.44 (a massive increase in hypothesis-</w:t>
      </w:r>
      <w:r>
        <w:rPr>
          <w:iCs/>
          <w:i/>
        </w:rPr>
        <w:t xml:space="preserve">in</w:t>
      </w:r>
      <w:r>
        <w:t xml:space="preserve">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pPr>
        <w:pStyle w:val="Textkrper"/>
      </w:pPr>
      <w:r>
        <w:rPr>
          <w:iCs/>
          <w:i/>
        </w:rPr>
        <w:t xml:space="preserve">Keywords:</w:t>
      </w:r>
      <w:r>
        <w:t xml:space="preserve"> </w:t>
      </w:r>
      <w:r>
        <w:t xml:space="preserve">demand characteristics, expectancies, placebo, confounds, meta-analysis</w:t>
      </w:r>
    </w:p>
    <w:p>
      <w:pPr>
        <w:pStyle w:val="h1-pagebreak"/>
      </w:pPr>
      <w:r>
        <w:t xml:space="preserve">What have we learned about demand characteristics? A meta-analytic review of experimental manipulations of explicit hypothesis cues</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had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misinterpret the cues – which may be considered another form of non-receptivity</w:t>
      </w:r>
      <w:r>
        <w:t xml:space="preserve"> </w:t>
      </w:r>
      <w:r>
        <w:t xml:space="preserve">(Corneille &amp; Lush, 2022)</w:t>
      </w:r>
      <w:r>
        <w:t xml:space="preserve">. We mention this receptivity moderator for the sake of comprehensiveness, but will not discuss it further.</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 [</w:t>
      </w:r>
      <w:r>
        <w:t xml:space="preserve">Rosnow and Rosenthal (1997)</w:t>
      </w:r>
      <w:r>
        <w:t xml:space="preserve">; see also Silverman, 1965].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(2022)</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22" w:name="X7ef48a646a694d0abb435ce91653f968705894a"/>
    <w:p>
      <w:pPr>
        <w:pStyle w:val="berschrift2"/>
      </w:pPr>
      <w:r>
        <w:t xml:space="preserve">When do demand characteristics impact participant responses?</w:t>
      </w:r>
    </w:p>
    <w:p>
      <w:pPr>
        <w:pStyle w:val="FirstParagraph"/>
      </w:pPr>
      <w:r>
        <w:t xml:space="preserve">Motivation</w:t>
      </w:r>
    </w:p>
    <w:p>
      <w:pPr>
        <w:numPr>
          <w:ilvl w:val="0"/>
          <w:numId w:val="1001"/>
        </w:numPr>
      </w:pPr>
      <w:r>
        <w:t xml:space="preserve">Student vs. non-student</w:t>
      </w:r>
    </w:p>
    <w:p>
      <w:pPr>
        <w:numPr>
          <w:ilvl w:val="0"/>
          <w:numId w:val="1001"/>
        </w:numPr>
      </w:pPr>
      <w:r>
        <w:t xml:space="preserve">Payment vs. no payment</w:t>
      </w:r>
    </w:p>
    <w:p>
      <w:pPr>
        <w:numPr>
          <w:ilvl w:val="1"/>
          <w:numId w:val="1002"/>
        </w:numPr>
      </w:pPr>
      <w:r>
        <w:t xml:space="preserve">Berinsky et al. (2012): Demand are particularly problematic for MTurk participants becuase they want compensation</w:t>
      </w:r>
    </w:p>
    <w:p>
      <w:pPr>
        <w:numPr>
          <w:ilvl w:val="1"/>
          <w:numId w:val="1002"/>
        </w:numPr>
      </w:pPr>
      <w:r>
        <w:t xml:space="preserve">de Quidt, Hauschofer, and Ruth (2017): No evidence that incentives increase demand effects</w:t>
      </w:r>
    </w:p>
    <w:p>
      <w:pPr>
        <w:numPr>
          <w:ilvl w:val="1"/>
          <w:numId w:val="1002"/>
        </w:numPr>
      </w:pPr>
      <w:r>
        <w:t xml:space="preserve">Orne (1969):</w:t>
      </w:r>
      <w:r>
        <w:t xml:space="preserve"> </w:t>
      </w:r>
      <w:r>
        <w:t xml:space="preserve">“</w:t>
      </w:r>
      <w:r>
        <w:t xml:space="preserve">…effect may be reversed if payment is involved</w:t>
      </w:r>
      <w:r>
        <w:t xml:space="preserve">”</w:t>
      </w:r>
    </w:p>
    <w:p>
      <w:pPr>
        <w:pStyle w:val="FirstParagraph"/>
      </w:pPr>
      <w:r>
        <w:t xml:space="preserve">Opportunity</w:t>
      </w:r>
    </w:p>
    <w:p>
      <w:pPr>
        <w:numPr>
          <w:ilvl w:val="0"/>
          <w:numId w:val="1003"/>
        </w:numPr>
      </w:pPr>
      <w:r>
        <w:t xml:space="preserve">Within vs. between</w:t>
      </w:r>
    </w:p>
    <w:p>
      <w:pPr>
        <w:numPr>
          <w:ilvl w:val="1"/>
          <w:numId w:val="1004"/>
        </w:numPr>
        <w:pStyle w:val="Compact"/>
      </w:pPr>
      <w:r>
        <w:t xml:space="preserve">“</w:t>
      </w:r>
      <w:r>
        <w:t xml:space="preserve">Demand effects are likely to be stronger in a within designs</w:t>
      </w:r>
      <w:r>
        <w:t xml:space="preserve">”</w:t>
      </w:r>
      <w:r>
        <w:t xml:space="preserve">. Better able to ascertain demand effects. They know w</w:t>
      </w:r>
    </w:p>
    <w:p>
      <w:pPr>
        <w:pStyle w:val="FirstParagraph"/>
      </w:pPr>
      <w:r>
        <w:t xml:space="preserve">Disagreements about whether payment matters</w:t>
      </w:r>
    </w:p>
    <w:bookmarkEnd w:id="22"/>
    <w:bookmarkStart w:id="68"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2022;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3"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records.</w:t>
      </w:r>
    </w:p>
    <w:bookmarkEnd w:id="23"/>
    <w:bookmarkStart w:id="26"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5"/>
        </w:numPr>
      </w:pPr>
      <w:r>
        <w:t xml:space="preserve">The researcher manipulated what participants were told about the effect of an independent variable on a dependent variable. This criterion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 participants were not told about an effect of an independent variable on a dependent variable.</w:t>
      </w:r>
      <w:r>
        <w:rPr>
          <w:rStyle w:val="Funotenzeichen"/>
        </w:rPr>
        <w:footnoteReference w:id="24"/>
      </w:r>
      <w:r>
        <w:t xml:space="preserve"> </w:t>
      </w:r>
      <w:r>
        <w:t xml:space="preserve">In most cases, the effect of the independent variable was described explicitly, but there were some included studies where it was strongly implied.</w:t>
      </w:r>
    </w:p>
    <w:p>
      <w:pPr>
        <w:numPr>
          <w:ilvl w:val="0"/>
          <w:numId w:val="1005"/>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5"/>
        </w:numPr>
      </w:pPr>
      <w:r>
        <w:t xml:space="preserve">A non-clinical population was studied.</w:t>
      </w:r>
      <w:r>
        <w:rPr>
          <w:rStyle w:val="Funotenzeichen"/>
        </w:rPr>
        <w:footnoteReference w:id="25"/>
      </w:r>
    </w:p>
    <w:p>
      <w:pPr>
        <w:numPr>
          <w:ilvl w:val="0"/>
          <w:numId w:val="1005"/>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6"/>
    <w:bookmarkStart w:id="27"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r>
          <m:t>d</m:t>
        </m:r>
        <m:r>
          <m:t>s</m:t>
        </m:r>
      </m:oMath>
      <w:r>
        <w:t xml:space="preserve"> </w:t>
      </w:r>
      <w:r>
        <w:t xml:space="preserve">(for between-subject designs) and</w:t>
      </w:r>
      <w:r>
        <w:t xml:space="preserve"> </w:t>
      </w:r>
      <m:oMath>
        <m:r>
          <m:t>d</m:t>
        </m:r>
        <m:r>
          <m:t>r</m:t>
        </m:r>
        <m:r>
          <m:t>m</m:t>
        </m:r>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the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7"/>
    <w:bookmarkStart w:id="28" w:name="potential-study-feature-moderators"/>
    <w:p>
      <w:pPr>
        <w:pStyle w:val="berschrift3"/>
      </w:pPr>
      <w:r>
        <w:t xml:space="preserve">Potential study feature moderators.</w:t>
      </w:r>
    </w:p>
    <w:p>
      <w:pPr>
        <w:pStyle w:val="FirstParagraph"/>
      </w:pPr>
      <w:r>
        <w:t xml:space="preserve">Below, we describe study feature that may help explain variability in demand effects:</w:t>
      </w:r>
    </w:p>
    <w:p>
      <w:pPr>
        <w:numPr>
          <w:ilvl w:val="0"/>
          <w:numId w:val="1006"/>
        </w:numPr>
      </w:pPr>
      <w:r>
        <w:rPr>
          <w:iCs/>
          <w:i/>
        </w:rPr>
        <w:t xml:space="preserve">Control vs. non-control group comparison group.</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6"/>
        </w:numPr>
      </w:pPr>
      <w:r>
        <w:rPr>
          <w:iCs/>
          <w:i/>
        </w:rPr>
        <w:t xml:space="preserve">Positive, negative, or nil demand manipulation.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6"/>
        </w:numPr>
      </w:pPr>
      <w:r>
        <w:rPr>
          <w:iCs/>
          <w:i/>
        </w:rPr>
        <w:t xml:space="preserve">Participant pool.</w:t>
      </w:r>
      <w:r>
        <w:t xml:space="preserve"> </w:t>
      </w:r>
      <w:r>
        <w:t xml:space="preserve">Whether students, non-students (e.g., MTurk workers), or a mix of students and non-students were sampled.</w:t>
      </w:r>
    </w:p>
    <w:p>
      <w:pPr>
        <w:numPr>
          <w:ilvl w:val="0"/>
          <w:numId w:val="1006"/>
        </w:numPr>
      </w:pPr>
      <w:r>
        <w:rPr>
          <w:iCs/>
          <w:i/>
        </w:rPr>
        <w:t xml:space="preserve">Setting.</w:t>
      </w:r>
      <w:r>
        <w:t xml:space="preserve"> </w:t>
      </w:r>
      <w:r>
        <w:t xml:space="preserve">Whether the study was conducted online or in-person.</w:t>
      </w:r>
    </w:p>
    <w:p>
      <w:pPr>
        <w:numPr>
          <w:ilvl w:val="0"/>
          <w:numId w:val="1006"/>
        </w:numPr>
      </w:pPr>
      <w:r>
        <w:rPr>
          <w:iCs/>
          <w:i/>
        </w:rPr>
        <w:t xml:space="preserve">Study design.</w:t>
      </w:r>
      <w:r>
        <w:t xml:space="preserve"> </w:t>
      </w:r>
      <w:r>
        <w:t xml:space="preserve">Whether demand characteristics were manipulation within- vs. between-subjects.</w:t>
      </w:r>
    </w:p>
    <w:p>
      <w:pPr>
        <w:numPr>
          <w:ilvl w:val="0"/>
          <w:numId w:val="1006"/>
        </w:numPr>
      </w:pPr>
      <w:r>
        <w:rPr>
          <w:iCs/>
          <w:i/>
        </w:rPr>
        <w:t xml:space="preserve">Payment.</w:t>
      </w:r>
      <w:r>
        <w:t xml:space="preserve"> </w:t>
      </w:r>
      <w:r>
        <w:t xml:space="preserve">Whether participants were paid or unpaid.</w:t>
      </w:r>
    </w:p>
    <w:bookmarkEnd w:id="28"/>
    <w:bookmarkStart w:id="32" w:name="X36da71f0729652ca34fbf2ecbf6b33c88ad14df"/>
    <w:p>
      <w:pPr>
        <w:pStyle w:val="berschrift3"/>
      </w:pPr>
      <w:r>
        <w:t xml:space="preserve">Vignette ratings of potential theory-based moderators.</w:t>
      </w:r>
    </w:p>
    <w:p>
      <w:pPr>
        <w:pStyle w:val="FirstParagraph"/>
      </w:pPr>
      <w:r>
        <w:t xml:space="preserve">During our literature review, we found very few papers that attempted to quantify or test the theoretical moderators described by Rosnow and colleagues. Intriguingly, though,</w:t>
      </w:r>
      <w:r>
        <w:t xml:space="preserve"> </w:t>
      </w:r>
      <w:r>
        <w:t xml:space="preserve">Orne (1969)</w:t>
      </w:r>
      <w:r>
        <w:t xml:space="preserve"> </w:t>
      </w:r>
      <w:r>
        <w:t xml:space="preserve">suggested that participants may be particularly adept at explaining demand characteristics. We initially shared this optimism and evaluated not only their ability to predict demand effects, but also the predictive validity of their ratings of theory-relevant moderators.</w:t>
      </w:r>
    </w:p>
    <w:p>
      <w:pPr>
        <w:pStyle w:val="Textkrper"/>
      </w:pPr>
      <w:r>
        <w:t xml:space="preserve">For each study included in the meta-analysis after our original literature search</w:t>
      </w:r>
      <w:r>
        <w:rPr>
          <w:rStyle w:val="Funotenzeichen"/>
        </w:rPr>
        <w:footnoteReference w:id="29"/>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bookmarkStart w:id="31" w:name="vignette-rating-methodology"/>
    <w:p>
      <w:pPr>
        <w:pStyle w:val="berschrift4"/>
      </w:pPr>
      <w:r>
        <w:t xml:space="preserve">Vignette rating methodology.</w:t>
      </w:r>
    </w:p>
    <w:p>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and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To evaluate the potential role of beliefs (as in placebo effects), raters also indicated the extent to which they would expect the hypothesized effect to occur (-3 =</w:t>
      </w:r>
      <w:r>
        <w:t xml:space="preserve">”</w:t>
      </w:r>
      <w:r>
        <w:t xml:space="preserve">strong disbelief” to 3 =</w:t>
      </w:r>
      <w:r>
        <w:t xml:space="preserve"> </w:t>
      </w:r>
      <w:r>
        <w:t xml:space="preserve">“</w:t>
      </w:r>
      <w:r>
        <w:t xml:space="preserve">strong belief</w:t>
      </w:r>
      <w:r>
        <w:t xml:space="preserve">”</w:t>
      </w:r>
      <w:r>
        <w:t xml:space="preserve">). Last, raters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w:t>
      </w:r>
    </w:p>
    <w:p>
      <w:pPr>
        <w:pStyle w:val="Textkrper"/>
      </w:pPr>
      <w:r>
        <w:t xml:space="preserve">Sample size was based on availability of resources. We initially collected as much data as possible (n = 192)in a single semester from undergraduates from (anonymous for peer review). Following a reviewer recommendation, we examined the reliability of those vignette ratings in a post-hoc manner. To do so, we calculated the intraclass correlation using mixed effects models. For ratings of motivation, opportunity, belief, and predictions about whether other participants would shift responses, we used the lme4 package (CITE) to fit an intercept only mixed effect model with rater and vignette as random intercepts. We then used the performance package (CITE) to calculate the intraclass correlation for the rater random intercept, which we used as an indicator of agreement between raters. The intraclass coefficient for motivation (0.23), opportunity (0.21), belief (0.14), and predicted responses from other participants (0.21) was low.</w:t>
      </w:r>
    </w:p>
    <w:p>
      <w:pPr>
        <w:pStyle w:val="Textkrper"/>
      </w:pPr>
      <w:r>
        <w:t xml:space="preserve">The estimated intraclass correlation from our original sample suggested that external raters do not generally agree about how other participants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raters (55.00% female; 1% male, 1% did not report gender; 44% transgender or gender non-conforming). 11% of participants reported they were White/Caucasian, 1% Asian, 1% Black/African American, and 4% Native Hawaiian or Other Pacific Islander. 0% of participants indicated that their ethnicity could not be described by any single provided category, and 0% did not report ethnicity. The average participant age was 30.10 (</w:t>
      </w:r>
      <m:oMath>
        <m:r>
          <m:t>S</m:t>
        </m:r>
        <m:r>
          <m:t>D</m:t>
        </m:r>
      </m:oMath>
      <w:r>
        <w:t xml:space="preserve"> </w:t>
      </w:r>
      <w:r>
        <w:t xml:space="preserve">= 13.82).</w:t>
      </w:r>
    </w:p>
    <w:p>
      <w:pPr>
        <w:pStyle w:val="Textkrper"/>
      </w:pPr>
      <w:r>
        <w:t xml:space="preserve">For each record included in the meta-analysis, we (a) removed observations where the rater did not respond or did not correctly identify the hypothesis communicated in the vignette, and then (b) averaged across raters.</w:t>
      </w:r>
    </w:p>
    <w:bookmarkStart w:id="30"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30"/>
    <w:bookmarkEnd w:id="31"/>
    <w:bookmarkEnd w:id="32"/>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 DOWNS AND BLACK (1998) checklist. This checklist contains 10 items designed to evaluate the reporting quality (e.g.,</w:t>
      </w:r>
      <w:r>
        <w:t xml:space="preserve"> </w:t>
      </w:r>
      <w:r>
        <w:t xml:space="preserve">“</w:t>
      </w:r>
      <w:r>
        <w:t xml:space="preserve">Are the main findings of the study clearly described?</w:t>
      </w:r>
      <w:r>
        <w:t xml:space="preserve">”</w:t>
      </w:r>
      <w:r>
        <w:t xml:space="preserve">), 3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7 to evaluate internal validity (e.g., ” Was an attempt made to blind those measuring the meain outcomes of the intervention?), 6 to evaluate selection bias (e.g.,</w:t>
      </w:r>
      <w:r>
        <w:t xml:space="preserve"> </w:t>
      </w:r>
      <w:r>
        <w:t xml:space="preserve">“</w:t>
      </w:r>
      <w:r>
        <w:t xml:space="preserve">Were losses of patients to follow-up taken into account?</w:t>
      </w:r>
      <w:r>
        <w:t xml:space="preserve">”</w:t>
      </w:r>
      <w:r>
        <w:t xml:space="preserve">), and 1 to evaluate statistical power.</w:t>
      </w:r>
    </w:p>
    <w:p>
      <w:pPr>
        <w:pStyle w:val="Textkrper"/>
      </w:pPr>
      <w:r>
        <w:t xml:space="preserve">Many of the items in the Downs and Black (1998) were difficult to evaluate or inapplicable to the literature we evaluated. We thus focused our analysis on 7 reporting quality, 1 external validity, and 3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category, the scores were averaged.</w:t>
      </w:r>
    </w:p>
    <w:p>
      <w:pPr>
        <w:pStyle w:val="Textkrper"/>
      </w:pPr>
      <w:r>
        <w:t xml:space="preserve">[FOOTNOTE: Although, Downs and Black (1998) has been recommended as a measure of quality or records included in a meta-analysis, we do not personally agree with the use of the tool. Many items were not applicable to the work we were evaluating (e.g., whether distributions of principle confounders are described). Many other were difficult to evaluate (e.g., whether the study had adequate statistical power)</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(version 4.1.2, 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included publication status (published or unpublished) as a dummy-coded moderator. This moderator allowed us to estimate the difference in the magnitude of published vs. unpublished effects.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pPr>
        <w:pStyle w:val="Textkrper"/>
      </w:pPr>
      <w:r>
        <w:t xml:space="preserve">Ethics approval was not initially requested for the meta-analysis because no new data were collected. However, the effort to collect ratings of motivation, opportunity, belief, and prediction ratings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66" w:name="results"/>
    <w:p>
      <w:pPr>
        <w:pStyle w:val="berschrift2"/>
      </w:pPr>
      <w:r>
        <w:t xml:space="preserve">Results</w:t>
      </w:r>
    </w:p>
    <w:p>
      <w:pPr>
        <w:pStyle w:val="FirstParagraph"/>
      </w:pPr>
      <w:r>
        <w:t xml:space="preserve">In total, we extracted 253 effect sizes from 53 studies from between the years 1964 and 2024. The average coder rating of reporting quality, internal validity, and external validity was 0.72, 0.67, 0.67, 0.67, 0.67, 0.67, 0.67, 0.67, 0.67, 0.67, 0.67, 0.67, 0.67, 0.67, 0.67, 0.67, 0.67, 0.67, 0.67, 0.67, 0.67, 1, 1, 1, 1, 1, 1, 1, 1, 1, 1, 1, 1, 1, 1, 1, 1, 1, 1, 1, 1, 1, 1, 1, 1, 1, 1, 1, 1, 1, 1, 1, 1, 1, 1, 0.67, 0.67, 0.50, 0.50, 0.50, 0.50, 0.50, 0.50, 0.50, 0.50, 1, 1, 1, 1, 1, 1, 1, 1, 1, 1, 1, 1, 1, 1, 1, 1, 1, 1, 1, 1, 1, 1, 1, 1, 1, 1, 1, 1, 1, 1, 1, 1, 1, 1, 1, 1, 1, 1, 1, 1, 1, 1, 1, 1, 1, 1, 1, 1, 1, 1, 1, 1, 1, 1, 1, 1, 1, 1, 1, 1, 1, 1, 1, 1, 1, 1, 1, 1, 1, 1, 1, 1, 0.67, 0.67, 0.67, 0.67, 0.67, 0.67, 0.67, 0.67, 0.67, 0.67, 0.67, 1, 1, 1, 1, 1, 1, 1, 1, 1, 1, 1, 1, 1, 1, 1, 1, 1, 1, 1, 1, 1, 1, 1, 0.50, 0.50, 0.50, 1, 1, 1, 1, 1, 1, 1, 1, 1, 1, 1, 1, 1, 1, 0.75, 0.75, 0.75, 1, 0.67, 0.75, 1, 1, 1, 0.50, 0.50, 0.50, 0.50, 0.50, 0.50, 0.50, 0.50, 0.50, 1, 1, 1, 1, 1, 1, 1, 1, 1, 1, 1, 1, 1, 1, 1, 1, 1, 1, 1, 1, 1, 1, 1, 1, 1, 1, 1, 1, 1, 1, 1, 1, 1, 1, 1, 1, 1, 1, 1, 1, 1, 1, 1, 1, 1, 1, 1, and 1, and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and 0 out of 1, respectively. The low external validity scores were driven by the reliance on non-representative sampling methods, a common practice in experimental psychology that is nonetheless identified as a threat to external validity in the DOWNS AND BLACK checklist.</w:t>
      </w:r>
    </w:p>
    <w:p>
      <w:pPr>
        <w:pStyle w:val="Textkrper"/>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422207"/>
            <wp:effectExtent b="0" l="0" r="0" t="0"/>
            <wp:docPr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422207"/>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 As a heuristic, we arbitrarily classified any effect size less than 0.10 standard deviation in either direction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w:t>
      </w:r>
    </w:p>
    <w:bookmarkStart w:id="55" w:name="moderator-analyses"/>
    <w:p>
      <w:pPr>
        <w:pStyle w:val="berschrift3"/>
      </w:pPr>
      <w:r>
        <w:t xml:space="preserve">Moderator analyses.</w:t>
      </w:r>
    </w:p>
    <w:p>
      <w:pPr>
        <w:pStyle w:val="TableCaption"/>
      </w:pPr>
      <w:bookmarkStart w:id="43" w:name="tab:modtable"/>
      <w:bookmarkEnd w:id="43"/>
      <w:r>
        <w:t xml:space="preserve">Table </w:t>
      </w:r>
      <w:r>
        <w:br/>
      </w:r>
    </w:p>
    <w:tbl>
      <w:tblPr>
        <w:tblStyle w:val="Table"/>
        <w:tblW w:type="auto" w:w="0"/>
        <w:tblLook w:firstRow="1" w:lastRow="0" w:firstColumn="0" w:lastColumn="0" w:noHBand="0" w:noVBand="0" w:val="0020"/>
        <w:jc w:val="start"/>
        <w:tblCaption w:val="Table  "/>
      </w:tblPr>
      <w:tblGrid>
        <w:gridCol w:w="990"/>
        <w:gridCol w:w="990"/>
        <w:gridCol w:w="990"/>
        <w:gridCol w:w="990"/>
        <w:gridCol w:w="990"/>
        <w:gridCol w:w="990"/>
        <w:gridCol w:w="990"/>
        <w:gridCol w:w="990"/>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Student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yes</w:t>
            </w:r>
          </w:p>
        </w:tc>
        <w:tc>
          <w:tcPr/>
          <w:p>
            <w:pPr>
              <w:pStyle w:val="Compact"/>
              <w:jc w:val="left"/>
            </w:pPr>
            <w:r>
              <w:t xml:space="preserve">37</w:t>
            </w:r>
          </w:p>
        </w:tc>
        <w:tc>
          <w:tcPr/>
          <w:p>
            <w:pPr>
              <w:pStyle w:val="Compact"/>
              <w:jc w:val="left"/>
            </w:pPr>
            <w:r>
              <w:t xml:space="preserve">161</w:t>
            </w:r>
          </w:p>
        </w:tc>
        <w:tc>
          <w:tcPr/>
          <w:p>
            <w:pPr>
              <w:pStyle w:val="Compact"/>
              <w:jc w:val="left"/>
            </w:pPr>
            <w:r>
              <w:t xml:space="preserve">0.26</w:t>
            </w:r>
          </w:p>
        </w:tc>
        <w:tc>
          <w:tcPr/>
          <w:p>
            <w:pPr>
              <w:pStyle w:val="Compact"/>
              <w:jc w:val="left"/>
            </w:pPr>
            <w:r>
              <w:t xml:space="preserve">–</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w:t>
            </w:r>
          </w:p>
        </w:tc>
        <w:tc>
          <w:tcPr/>
          <w:p>
            <w:pPr>
              <w:pStyle w:val="Compact"/>
              <w:jc w:val="left"/>
            </w:pPr>
            <w:r>
              <w:t xml:space="preserve">13</w:t>
            </w:r>
          </w:p>
        </w:tc>
        <w:tc>
          <w:tcPr/>
          <w:p>
            <w:pPr>
              <w:pStyle w:val="Compact"/>
              <w:jc w:val="left"/>
            </w:pPr>
            <w:r>
              <w:t xml:space="preserve">27</w:t>
            </w:r>
          </w:p>
        </w:tc>
        <w:tc>
          <w:tcPr/>
          <w:p>
            <w:pPr>
              <w:pStyle w:val="Compact"/>
              <w:jc w:val="left"/>
            </w:pPr>
            <w:r>
              <w:t xml:space="preserve">0.05</w:t>
            </w:r>
          </w:p>
        </w:tc>
        <w:tc>
          <w:tcPr/>
          <w:p>
            <w:pPr>
              <w:pStyle w:val="Compact"/>
              <w:jc w:val="left"/>
            </w:pPr>
            <w:r>
              <w:t xml:space="preserve">–</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3</w:t>
            </w:r>
          </w:p>
        </w:tc>
        <w:tc>
          <w:tcPr/>
          <w:p>
            <w:pPr>
              <w:pStyle w:val="Compact"/>
              <w:jc w:val="left"/>
            </w:pPr>
            <w:r>
              <w:t xml:space="preserve">20</w:t>
            </w:r>
          </w:p>
        </w:tc>
        <w:tc>
          <w:tcPr/>
          <w:p>
            <w:pPr>
              <w:pStyle w:val="Compact"/>
              <w:jc w:val="left"/>
            </w:pPr>
            <w:r>
              <w:t xml:space="preserve">0.05</w:t>
            </w:r>
          </w:p>
        </w:tc>
        <w:tc>
          <w:tcPr/>
          <w:p>
            <w:pPr>
              <w:pStyle w:val="Compact"/>
              <w:jc w:val="left"/>
            </w:pPr>
            <w:r>
              <w:t xml:space="preserve">–</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Payment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14</w:t>
            </w:r>
          </w:p>
        </w:tc>
        <w:tc>
          <w:tcPr/>
          <w:p>
            <w:pPr>
              <w:pStyle w:val="Compact"/>
              <w:jc w:val="left"/>
            </w:pPr>
            <w:r>
              <w:t xml:space="preserve">51</w:t>
            </w:r>
          </w:p>
        </w:tc>
        <w:tc>
          <w:tcPr/>
          <w:p>
            <w:pPr>
              <w:pStyle w:val="Compact"/>
              <w:jc w:val="left"/>
            </w:pPr>
            <w:r>
              <w:t xml:space="preserve">0.13</w:t>
            </w:r>
          </w:p>
        </w:tc>
        <w:tc>
          <w:tcPr/>
          <w:p>
            <w:pPr>
              <w:pStyle w:val="Compact"/>
              <w:jc w:val="left"/>
            </w:pPr>
            <w:r>
              <w:t xml:space="preserve">–</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38</w:t>
            </w:r>
          </w:p>
        </w:tc>
        <w:tc>
          <w:tcPr/>
          <w:p>
            <w:pPr>
              <w:pStyle w:val="Compact"/>
              <w:jc w:val="left"/>
            </w:pPr>
            <w:r>
              <w:t xml:space="preserve">164</w:t>
            </w:r>
          </w:p>
        </w:tc>
        <w:tc>
          <w:tcPr/>
          <w:p>
            <w:pPr>
              <w:pStyle w:val="Compact"/>
              <w:jc w:val="left"/>
            </w:pPr>
            <w:r>
              <w:t xml:space="preserve">0.19</w:t>
            </w:r>
          </w:p>
        </w:tc>
        <w:tc>
          <w:tcPr/>
          <w:p>
            <w:pPr>
              <w:pStyle w:val="Compact"/>
              <w:jc w:val="left"/>
            </w:pPr>
            <w:r>
              <w:t xml:space="preserve">–</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Setting</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19</w:t>
            </w:r>
          </w:p>
        </w:tc>
        <w:tc>
          <w:tcPr/>
          <w:p>
            <w:pPr>
              <w:pStyle w:val="Compact"/>
              <w:jc w:val="left"/>
            </w:pPr>
            <w:r>
              <w:t xml:space="preserve">53</w:t>
            </w:r>
          </w:p>
        </w:tc>
        <w:tc>
          <w:tcPr/>
          <w:p>
            <w:pPr>
              <w:pStyle w:val="Compact"/>
              <w:jc w:val="left"/>
            </w:pPr>
            <w:r>
              <w:t xml:space="preserve">0.1</w:t>
            </w:r>
          </w:p>
        </w:tc>
        <w:tc>
          <w:tcPr/>
          <w:p>
            <w:pPr>
              <w:pStyle w:val="Compact"/>
              <w:jc w:val="left"/>
            </w:pPr>
            <w:r>
              <w:t xml:space="preserve">–</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34</w:t>
            </w:r>
          </w:p>
        </w:tc>
        <w:tc>
          <w:tcPr/>
          <w:p>
            <w:pPr>
              <w:pStyle w:val="Compact"/>
              <w:jc w:val="left"/>
            </w:pPr>
            <w:r>
              <w:t xml:space="preserve">189</w:t>
            </w:r>
          </w:p>
        </w:tc>
        <w:tc>
          <w:tcPr/>
          <w:p>
            <w:pPr>
              <w:pStyle w:val="Compact"/>
              <w:jc w:val="left"/>
            </w:pPr>
            <w:r>
              <w:t xml:space="preserve">0.29</w:t>
            </w:r>
          </w:p>
        </w:tc>
        <w:tc>
          <w:tcPr/>
          <w:p>
            <w:pPr>
              <w:pStyle w:val="Compact"/>
              <w:jc w:val="left"/>
            </w:pPr>
            <w:r>
              <w:t xml:space="preserve">–</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Design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Comparison type</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r>
        <w:tc>
          <w:tcPr/>
          <w:p>
            <w:pPr>
              <w:pStyle w:val="Compact"/>
              <w:jc w:val="left"/>
            </w:pPr>
            <w:r>
              <w:t xml:space="preserve">motivation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0.01</w:t>
            </w:r>
          </w:p>
        </w:tc>
        <w:tc>
          <w:tcPr/>
          <w:p>
            <w:pPr>
              <w:pStyle w:val="Compact"/>
              <w:jc w:val="left"/>
            </w:pPr>
            <w:r>
              <w:t xml:space="preserve">[-0.18, 0.19]</w:t>
            </w:r>
          </w:p>
        </w:tc>
        <w:tc>
          <w:tcPr/>
          <w:p>
            <w:pPr>
              <w:pStyle w:val="Compact"/>
              <w:jc w:val="left"/>
            </w:pPr>
            <w:r>
              <w:t xml:space="preserve">0.00359794732820695</w:t>
            </w:r>
          </w:p>
        </w:tc>
        <w:tc>
          <w:tcPr/>
          <w:p>
            <w:pPr>
              <w:pStyle w:val="Compact"/>
              <w:jc w:val="left"/>
            </w:pPr>
            <w:r>
              <w:t xml:space="preserve">.953</w:t>
            </w:r>
          </w:p>
        </w:tc>
      </w:tr>
      <w:tr>
        <w:tc>
          <w:tcPr/>
          <w:p>
            <w:pPr>
              <w:pStyle w:val="Compact"/>
              <w:jc w:val="left"/>
            </w:pPr>
            <w:r>
              <w:t xml:space="preserve">opportunity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0.04</w:t>
            </w:r>
          </w:p>
        </w:tc>
        <w:tc>
          <w:tcPr/>
          <w:p>
            <w:pPr>
              <w:pStyle w:val="Compact"/>
              <w:jc w:val="left"/>
            </w:pPr>
            <w:r>
              <w:t xml:space="preserve">[-0.01, 0.08]</w:t>
            </w:r>
          </w:p>
        </w:tc>
        <w:tc>
          <w:tcPr/>
          <w:p>
            <w:pPr>
              <w:pStyle w:val="Compact"/>
              <w:jc w:val="left"/>
            </w:pPr>
            <w:r>
              <w:t xml:space="preserve">3.72775668632133</w:t>
            </w:r>
          </w:p>
        </w:tc>
        <w:tc>
          <w:tcPr/>
          <w:p>
            <w:pPr>
              <w:pStyle w:val="Compact"/>
              <w:jc w:val="left"/>
            </w:pPr>
            <w:r>
              <w:t xml:space="preserve">.080</w:t>
            </w:r>
          </w:p>
        </w:tc>
      </w:tr>
      <w:tr>
        <w:tc>
          <w:tcPr/>
          <w:p>
            <w:pPr>
              <w:pStyle w:val="Compact"/>
              <w:jc w:val="left"/>
            </w:pPr>
            <w:r>
              <w:t xml:space="preserve">belief in communicated hypothesis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0.06</w:t>
            </w:r>
          </w:p>
        </w:tc>
        <w:tc>
          <w:tcPr/>
          <w:p>
            <w:pPr>
              <w:pStyle w:val="Compact"/>
              <w:jc w:val="left"/>
            </w:pPr>
            <w:r>
              <w:t xml:space="preserve">[-0.05, 0.17]</w:t>
            </w:r>
          </w:p>
        </w:tc>
        <w:tc>
          <w:tcPr/>
          <w:p>
            <w:pPr>
              <w:pStyle w:val="Compact"/>
              <w:jc w:val="left"/>
            </w:pPr>
            <w:r>
              <w:t xml:space="preserve">1.45953104480182</w:t>
            </w:r>
          </w:p>
        </w:tc>
        <w:tc>
          <w:tcPr/>
          <w:p>
            <w:pPr>
              <w:pStyle w:val="Compact"/>
              <w:jc w:val="left"/>
            </w:pPr>
            <w:r>
              <w:t xml:space="preserve">.254</w:t>
            </w:r>
          </w:p>
        </w:tc>
      </w:tr>
    </w:tbl>
    <w:p>
      <w:pPr>
        <w:pStyle w:val="CaptionedFigure"/>
      </w:pPr>
      <w:r>
        <w:drawing>
          <wp:inline>
            <wp:extent cx="5963478" cy="3440468"/>
            <wp:effectExtent b="0" l="0" r="0" t="0"/>
            <wp:docPr descr="Figure 2: For each moderator, we fit a separate 3LMA and subsequently derived subgroup mean effect sizes (dots) and their 95% confidence intervals (error bars)." title="" id="45" name="Picture"/>
            <a:graphic>
              <a:graphicData uri="http://schemas.openxmlformats.org/drawingml/2006/picture">
                <pic:pic>
                  <pic:nvPicPr>
                    <pic:cNvPr descr="metaware_manuscript_files/figure-docx/modforest-1.png" id="46" name="Picture"/>
                    <pic:cNvPicPr>
                      <a:picLocks noChangeArrowheads="1" noChangeAspect="1"/>
                    </pic:cNvPicPr>
                  </pic:nvPicPr>
                  <pic:blipFill>
                    <a:blip r:embed="rId44"/>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47" w:name="fig:modforest"/>
      <w:bookmarkEnd w:id="47"/>
      <w:r>
        <w:t xml:space="preserve">Figure 2: For each moderator, we fit a separate 3LMA and subsequently derived subgroup mean effect sizes (dots) and their 95% confidence intervals (error bars).</w:t>
      </w:r>
    </w:p>
    <w:p>
      <w:pPr>
        <w:pStyle w:val="Textkrper"/>
      </w:pPr>
      <w:r>
        <w:t xml:space="preserve">When variability in effect sizes exceeds what would be expected from sampling error alone, it suggests the presence of moderators. Below, we examine potential moderators</w:t>
      </w:r>
    </w:p>
    <w:bookmarkStart w:id="52" w:name="study-features"/>
    <w:p>
      <w:pPr>
        <w:pStyle w:val="berschrift4"/>
      </w:pPr>
      <w:r>
        <w:t xml:space="preserve">Study features.</w:t>
      </w:r>
    </w:p>
    <w:p>
      <w:pPr>
        <w:pStyle w:val="FirstParagraph"/>
      </w:pPr>
      <w:r>
        <w:t xml:space="preserve">Results indicated that the effects of demand characteristics tended to differ by participant pool,</w:t>
      </w:r>
      <w:r>
        <w:t xml:space="preserve"> </w:t>
      </w:r>
      <m:oMath>
        <m:r>
          <m:t>F</m:t>
        </m:r>
      </m:oMath>
      <w:r>
        <w:t xml:space="preserve">(2, 2.12) = 2.44,</w:t>
      </w:r>
      <w:r>
        <w:t xml:space="preserve"> </w:t>
      </w:r>
      <m:oMath>
        <m:r>
          <m:t>p</m:t>
        </m:r>
      </m:oMath>
      <w:r>
        <w:t xml:space="preserve"> </w:t>
      </w:r>
      <w:r>
        <w:t xml:space="preserve">= .282. As shown in Figure</w:t>
      </w:r>
      <w:r>
        <w:t xml:space="preserve"> </w:t>
      </w:r>
      <w:r>
        <w:t xml:space="preserve">2</w:t>
      </w:r>
      <w:r>
        <w:t xml:space="preserve">, effects were generally positive and medium-to-large in studies with students (</w:t>
      </w:r>
      <m:oMath>
        <m:r>
          <m:t>g</m:t>
        </m:r>
      </m:oMath>
      <w:r>
        <w:t xml:space="preserve"> </w:t>
      </w:r>
      <w:r>
        <w:t xml:space="preserve">= 0.26, 95% CI [0.13, 0.40],</w:t>
      </w:r>
      <w:r>
        <w:t xml:space="preserve"> </w:t>
      </w:r>
      <m:oMath>
        <m:r>
          <m:t>p</m:t>
        </m:r>
      </m:oMath>
      <w:r>
        <w:t xml:space="preserve"> </w:t>
      </w:r>
      <w:r>
        <w:t xml:space="preserve">&lt; .001), and near-zero in studies with non-students (</w:t>
      </w:r>
      <m:oMath>
        <m:r>
          <m:t>g</m:t>
        </m:r>
      </m:oMath>
      <w:r>
        <w:t xml:space="preserve"> </w:t>
      </w:r>
      <w:r>
        <w:t xml:space="preserve">= 0.05, 95% CI [-0.06, 0.16],</w:t>
      </w:r>
      <w:r>
        <w:t xml:space="preserve"> </w:t>
      </w:r>
      <m:oMath>
        <m:r>
          <m:t>p</m:t>
        </m:r>
      </m:oMath>
      <w:r>
        <w:t xml:space="preserve"> </w:t>
      </w:r>
      <w:r>
        <w:t xml:space="preserve">= .323) or a mix of students and non-students (</w:t>
      </w:r>
      <m:oMath>
        <m:r>
          <m:t>g</m:t>
        </m:r>
      </m:oMath>
      <w:r>
        <w:t xml:space="preserve"> </w:t>
      </w:r>
      <w:r>
        <w:t xml:space="preserve">= 0.05, 95% CI [-1.00, 1.09],</w:t>
      </w:r>
      <w:r>
        <w:t xml:space="preserve"> </w:t>
      </w:r>
      <m:oMath>
        <m:r>
          <m:t>p</m:t>
        </m:r>
      </m:oMath>
      <w:r>
        <w:t xml:space="preserve"> </w:t>
      </w:r>
      <w:r>
        <w:t xml:space="preserve">= .680). The effects of demand characteristics also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 however, this difference was not significant,</w:t>
      </w:r>
      <w:r>
        <w:t xml:space="preserve"> </w:t>
      </w:r>
      <m:oMath>
        <m:r>
          <m:t>F</m:t>
        </m:r>
      </m:oMath>
      <w:r>
        <w:t xml:space="preserve">(1, 30.22) = 4.81,</w:t>
      </w:r>
      <w:r>
        <w:t xml:space="preserve"> </w:t>
      </w:r>
      <m:oMath>
        <m:r>
          <m:t>p</m:t>
        </m:r>
      </m:oMath>
      <w:r>
        <w:t xml:space="preserve"> </w:t>
      </w:r>
      <w:r>
        <w:t xml:space="preserve">= .036 (Figure</w:t>
      </w:r>
      <w:r>
        <w:t xml:space="preserve"> </w:t>
      </w:r>
      <w:r>
        <w:t xml:space="preserve">2</w:t>
      </w:r>
      <w:r>
        <w:t xml:space="preserve">).</w:t>
      </w:r>
    </w:p>
    <w:p>
      <w:pPr>
        <w:pStyle w:val="Textkrper"/>
      </w:pPr>
      <w:r>
        <w:t xml:space="preserve">The effects of demand characteristics were additive. Compared to instances where a demand characteristic condition was compared to a control group (</w:t>
      </w:r>
      <m:oMath>
        <m:r>
          <m:t>g</m:t>
        </m:r>
      </m:oMath>
      <w:r>
        <w:t xml:space="preserve"> </w:t>
      </w:r>
      <w:r>
        <w:t xml:space="preserve">= 0.15, 95% CI [0.07, 0.24],</w:t>
      </w:r>
      <w:r>
        <w:t xml:space="preserve"> </w:t>
      </w:r>
      <m:oMath>
        <m:r>
          <m:t>p</m:t>
        </m:r>
      </m:oMath>
      <w:r>
        <w:t xml:space="preserve"> </w:t>
      </w:r>
      <w:r>
        <w:t xml:space="preserve">= .001), effect sizes were approximately twice as large when two demand characteristic conditions were compared (</w:t>
      </w:r>
      <m:oMath>
        <m:r>
          <m:t>g</m:t>
        </m:r>
      </m:oMath>
      <w:r>
        <w:t xml:space="preserve"> </w:t>
      </w:r>
      <w:r>
        <w:t xml:space="preserve">= 0.33, 95% CI [0.18, 0.48],</w:t>
      </w:r>
      <w:r>
        <w:t xml:space="preserve"> </w:t>
      </w:r>
      <m:oMath>
        <m:r>
          <m:t>p</m:t>
        </m:r>
      </m:oMath>
      <w:r>
        <w:t xml:space="preserve"> </w:t>
      </w:r>
      <w:r>
        <w:t xml:space="preserve">&lt; .001),</w:t>
      </w:r>
      <w:r>
        <w:t xml:space="preserve"> </w:t>
      </w:r>
      <m:oMath>
        <m:r>
          <m:t>F</m:t>
        </m:r>
      </m:oMath>
      <w:r>
        <w:t xml:space="preserve">(1, 10.37) = 10.87,</w:t>
      </w:r>
      <w:r>
        <w:t xml:space="preserve"> </w:t>
      </w:r>
      <m:oMath>
        <m:r>
          <m:t>p</m:t>
        </m:r>
      </m:oMath>
      <w:r>
        <w:t xml:space="preserve"> </w:t>
      </w:r>
      <w:r>
        <w:t xml:space="preserve">.008. Instances where a demand characteristic condition was compared to a control group allowed us to additionally test whether participants respond more strongly to positive, nil, or negative demand characteristics. Results indicated that they do,</w:t>
      </w:r>
      <w:r>
        <w:t xml:space="preserve"> </w:t>
      </w:r>
      <m:oMath>
        <m:r>
          <m:t>F</m:t>
        </m:r>
      </m:oMath>
      <w:r>
        <w:t xml:space="preserve">(2, 4.15) = 0.20,</w:t>
      </w:r>
      <w:r>
        <w:t xml:space="preserve"> </w:t>
      </w:r>
      <m:oMath>
        <m:r>
          <m:t>p</m:t>
        </m:r>
      </m:oMath>
      <w:r>
        <w:t xml:space="preserve"> </w:t>
      </w:r>
      <w:r>
        <w:t xml:space="preserve">= .828. As shown in Figure</w:t>
      </w:r>
      <w:r>
        <w:t xml:space="preserve"> </w:t>
      </w:r>
      <w:r>
        <w:t xml:space="preserve">2</w:t>
      </w:r>
      <w:r>
        <w:t xml:space="preserve">, the effect of demand characteristics tended to be nearly twice as large in the nil (</w:t>
      </w:r>
      <m:oMath>
        <m:r>
          <m:t>g</m:t>
        </m:r>
      </m:oMath>
      <w:r>
        <w:t xml:space="preserve"> </w:t>
      </w:r>
      <w:r>
        <w:t xml:space="preserve">= 0.26, 95% CI [-0.21, 0.74],</w:t>
      </w:r>
      <w:r>
        <w:t xml:space="preserve"> </w:t>
      </w:r>
      <m:oMath>
        <m:r>
          <m:t>p</m:t>
        </m:r>
      </m:oMath>
      <w:r>
        <w:t xml:space="preserve"> </w:t>
      </w:r>
      <w:r>
        <w:t xml:space="preserve">.178) vs. positive (</w:t>
      </w:r>
      <m:oMath>
        <m:r>
          <m:t>d</m:t>
        </m:r>
      </m:oMath>
      <w:r>
        <w:t xml:space="preserve"> </w:t>
      </w:r>
      <w:r>
        <w:t xml:space="preserve">= 0.17, 95% CI [0.06, 0.28],</w:t>
      </w:r>
      <w:r>
        <w:t xml:space="preserve"> </w:t>
      </w:r>
      <m:oMath>
        <m:r>
          <m:t>p</m:t>
        </m:r>
      </m:oMath>
      <w:r>
        <w:t xml:space="preserve"> </w:t>
      </w:r>
      <w:r>
        <w:t xml:space="preserve">= .003), and negative demand conditions (</w:t>
      </w:r>
      <m:oMath>
        <m:r>
          <m:t>g</m:t>
        </m:r>
      </m:oMath>
      <w:r>
        <w:t xml:space="preserve"> </w:t>
      </w:r>
      <w:r>
        <w:t xml:space="preserve">= 0.19, 95% CI [0.06, 0.33],</w:t>
      </w:r>
      <w:r>
        <w:t xml:space="preserve"> </w:t>
      </w:r>
      <m:oMath>
        <m:r>
          <m:t>p</m:t>
        </m:r>
      </m:oMath>
      <w:r>
        <w:t xml:space="preserve"> </w:t>
      </w:r>
      <w:r>
        <w:t xml:space="preserve">= .007). In other words, participants’ responses most strongly shift when researchers communicate that they hypothesize</w:t>
      </w:r>
      <w:r>
        <w:t xml:space="preserve"> </w:t>
      </w:r>
      <w:r>
        <w:rPr>
          <w:iCs/>
          <w:i/>
        </w:rPr>
        <w:t xml:space="preserve">no</w:t>
      </w:r>
      <w:r>
        <w:t xml:space="preserve"> </w:t>
      </w:r>
      <w:r>
        <w:t xml:space="preserve">change in response</w:t>
      </w:r>
    </w:p>
    <w:p>
      <w:pPr>
        <w:pStyle w:val="Textkrper"/>
      </w:pPr>
      <w:r>
        <w:t xml:space="preserve">We did not find that the effects of demand characteristics tended to differ depending on whether they were manipulated within- (</w:t>
      </w:r>
      <m:oMath>
        <m:r>
          <m:t>g</m:t>
        </m:r>
      </m:oMath>
      <w:r>
        <w:t xml:space="preserve"> </w:t>
      </w:r>
      <w:r>
        <w:t xml:space="preserve">= 0.22, 95% CI [0.11, 0.34],</w:t>
      </w:r>
      <w:r>
        <w:t xml:space="preserve"> </w:t>
      </w:r>
      <m:oMath>
        <m:r>
          <m:t>p</m:t>
        </m:r>
      </m:oMath>
      <w:r>
        <w:t xml:space="preserve"> </w:t>
      </w:r>
      <w:r>
        <w:t xml:space="preserve">&lt; .001) vs. between-subjects (</w:t>
      </w:r>
      <m:oMath>
        <m:r>
          <m:t>g</m:t>
        </m:r>
      </m:oMath>
      <w:r>
        <w:t xml:space="preserve"> </w:t>
      </w:r>
      <w:r>
        <w:t xml:space="preserve">= 0.14, 95% CI [0.02, 0.25],</w:t>
      </w:r>
      <w:r>
        <w:t xml:space="preserve"> </w:t>
      </w:r>
      <m:oMath>
        <m:r>
          <m:t>p</m:t>
        </m:r>
      </m:oMath>
      <w:r>
        <w:t xml:space="preserve"> </w:t>
      </w:r>
      <w:r>
        <w:t xml:space="preserve">= .020),</w:t>
      </w:r>
      <w:r>
        <w:t xml:space="preserve"> </w:t>
      </w:r>
      <m:oMath>
        <m:r>
          <m:t>F</m:t>
        </m:r>
      </m:oMath>
      <w:r>
        <w:t xml:space="preserve">(1, 10.48) = 1.55,</w:t>
      </w:r>
      <w:r>
        <w:t xml:space="preserve"> </w:t>
      </w:r>
      <m:oMath>
        <m:r>
          <m:t>p</m:t>
        </m:r>
      </m:oMath>
      <w:r>
        <w:t xml:space="preserve"> </w:t>
      </w:r>
      <w:r>
        <w:t xml:space="preserve">= .240 (Figure</w:t>
      </w:r>
      <w:r>
        <w:t xml:space="preserve"> </w:t>
      </w:r>
      <w:r>
        <w:t xml:space="preserve">2</w:t>
      </w:r>
      <w:r>
        <w:t xml:space="preserve">). We also did not find that the effects of demand characteristics differed depending on whether participants were unpaid (</w:t>
      </w:r>
      <m:oMath>
        <m:r>
          <m:t>g</m:t>
        </m:r>
      </m:oMath>
      <w:r>
        <w:t xml:space="preserve"> </w:t>
      </w:r>
      <w:r>
        <w:t xml:space="preserve">= 0.19, 95% CI [0.08, 0.31],</w:t>
      </w:r>
      <w:r>
        <w:t xml:space="preserve"> </w:t>
      </w:r>
      <m:oMath>
        <m:r>
          <m:t>p</m:t>
        </m:r>
      </m:oMath>
      <w:r>
        <w:t xml:space="preserve"> </w:t>
      </w:r>
      <w:r>
        <w:t xml:space="preserve">.002) vs. paid (</w:t>
      </w:r>
      <m:oMath>
        <m:r>
          <m:t>g</m:t>
        </m:r>
      </m:oMath>
      <w:r>
        <w:t xml:space="preserve"> </w:t>
      </w:r>
      <w:r>
        <w:t xml:space="preserve">= 0.13, 95% CI [0.00, 0.26],</w:t>
      </w:r>
      <w:r>
        <w:t xml:space="preserve"> </w:t>
      </w:r>
      <m:oMath>
        <m:r>
          <m:t>p</m:t>
        </m:r>
      </m:oMath>
      <w:r>
        <w:t xml:space="preserve"> </w:t>
      </w:r>
      <w:r>
        <w:t xml:space="preserve">= .047),</w:t>
      </w:r>
      <w:r>
        <w:t xml:space="preserve"> </w:t>
      </w:r>
      <m:oMath>
        <m:r>
          <m:t>F</m:t>
        </m:r>
      </m:oMath>
      <w:r>
        <w:t xml:space="preserve">(1, 20.74) = 0.55,</w:t>
      </w:r>
      <w:r>
        <w:t xml:space="preserve"> </w:t>
      </w:r>
      <m:oMath>
        <m:r>
          <m:t>p</m:t>
        </m:r>
      </m:oMath>
      <w:r>
        <w:t xml:space="preserve"> </w:t>
      </w:r>
      <w:r>
        <w:t xml:space="preserve">= .465 (Figure</w:t>
      </w:r>
      <w:r>
        <w:t xml:space="preserve"> </w:t>
      </w:r>
      <w:r>
        <w:t xml:space="preserve">2</w:t>
      </w:r>
      <w:r>
        <w:t xml:space="preserve">).</w:t>
      </w:r>
    </w:p>
    <w:p>
      <w:pPr>
        <w:pStyle w:val="CaptionedFigure"/>
      </w:pPr>
      <w:r>
        <w:drawing>
          <wp:inline>
            <wp:extent cx="5963478" cy="4128561"/>
            <wp:effectExtent b="0" l="0" r="0" t="0"/>
            <wp:docPr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title="" id="49" name="Picture"/>
            <a:graphic>
              <a:graphicData uri="http://schemas.openxmlformats.org/drawingml/2006/picture">
                <pic:pic>
                  <pic:nvPicPr>
                    <pic:cNvPr descr="metaware_manuscript_files/figure-docx/modfig-1.png" id="50" name="Picture"/>
                    <pic:cNvPicPr>
                      <a:picLocks noChangeArrowheads="1" noChangeAspect="1"/>
                    </pic:cNvPicPr>
                  </pic:nvPicPr>
                  <pic:blipFill>
                    <a:blip r:embed="rId48"/>
                    <a:stretch>
                      <a:fillRect/>
                    </a:stretch>
                  </pic:blipFill>
                  <pic:spPr bwMode="auto">
                    <a:xfrm>
                      <a:off x="0" y="0"/>
                      <a:ext cx="5963478" cy="4128561"/>
                    </a:xfrm>
                    <a:prstGeom prst="rect">
                      <a:avLst/>
                    </a:prstGeom>
                    <a:noFill/>
                    <a:ln w="9525">
                      <a:noFill/>
                      <a:headEnd/>
                      <a:tailEnd/>
                    </a:ln>
                  </pic:spPr>
                </pic:pic>
              </a:graphicData>
            </a:graphic>
          </wp:inline>
        </w:drawing>
      </w:r>
    </w:p>
    <w:p>
      <w:pPr>
        <w:pStyle w:val="ImageCaption"/>
      </w:pPr>
      <w:bookmarkStart w:id="51" w:name="fig:modfig"/>
      <w:bookmarkEnd w:id="51"/>
      <w:r>
        <w:t xml:space="preserve">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t>
      </w:r>
    </w:p>
    <w:bookmarkEnd w:id="52"/>
    <w:bookmarkStart w:id="53" w:name="theoretical-moderators"/>
    <w:p>
      <w:pPr>
        <w:pStyle w:val="berschrift4"/>
      </w:pPr>
      <w:r>
        <w:t xml:space="preserve">Theoretical moderators.</w:t>
      </w:r>
    </w:p>
    <w:p>
      <w:pPr>
        <w:pStyle w:val="FirstParagraph"/>
      </w:pPr>
      <w:r>
        <w:t xml:space="preserve">Despite the popularity and comprehensiveness of the framework developed by Rosnow and colleagues, we did not uncover significant evidence that demand effects are moderated by ratings of motivation,</w:t>
      </w:r>
      <w:r>
        <w:t xml:space="preserve"> </w:t>
      </w:r>
      <m:oMath>
        <m:r>
          <m:t>β</m:t>
        </m:r>
      </m:oMath>
      <w:r>
        <w:t xml:space="preserve"> </w:t>
      </w:r>
      <w:r>
        <w:t xml:space="preserve">= 0.01, 95% CI [-0.18, 0.19],</w:t>
      </w:r>
      <w:r>
        <w:t xml:space="preserve"> </w:t>
      </w:r>
      <m:oMath>
        <m:r>
          <m:t>t</m:t>
        </m:r>
      </m:oMath>
      <w:r>
        <w:t xml:space="preserve">(10.87) = 0.06,</w:t>
      </w:r>
      <w:r>
        <w:t xml:space="preserve"> </w:t>
      </w:r>
      <m:oMath>
        <m:r>
          <m:t>p</m:t>
        </m:r>
      </m:oMath>
      <w:r>
        <w:t xml:space="preserve"> </w:t>
      </w:r>
      <w:r>
        <w:t xml:space="preserve">= .953, or opportunity to adjust responses,</w:t>
      </w:r>
      <w:r>
        <w:t xml:space="preserve"> </w:t>
      </w:r>
      <m:oMath>
        <m:r>
          <m:t>β</m:t>
        </m:r>
      </m:oMath>
      <w:r>
        <w:t xml:space="preserve"> </w:t>
      </w:r>
      <w:r>
        <w:t xml:space="preserve">= 0.04, 95% CI [-0.01, 0.08],</w:t>
      </w:r>
      <w:r>
        <w:t xml:space="preserve"> </w:t>
      </w:r>
      <m:oMath>
        <m:r>
          <m:t>t</m:t>
        </m:r>
      </m:oMath>
      <w:r>
        <w:t xml:space="preserve">(10.76) = 1.93,</w:t>
      </w:r>
      <w:r>
        <w:t xml:space="preserve"> </w:t>
      </w:r>
      <m:oMath>
        <m:r>
          <m:t>p</m:t>
        </m:r>
      </m:oMath>
      <w:r>
        <w:t xml:space="preserve"> </w:t>
      </w:r>
      <w:r>
        <w:t xml:space="preserve">= .080. We also did not find that demand effects are moderated by ratings of belief in the hypothesized effect,</w:t>
      </w:r>
      <w:r>
        <w:t xml:space="preserve"> </w:t>
      </w:r>
      <m:oMath>
        <m:r>
          <m:t>β</m:t>
        </m:r>
      </m:oMath>
      <w:r>
        <w:t xml:space="preserve"> </w:t>
      </w:r>
      <w:r>
        <w:t xml:space="preserve">= NA, 95% CI [-0.05, 0.17],</w:t>
      </w:r>
      <w:r>
        <w:t xml:space="preserve"> </w:t>
      </w:r>
      <m:oMath>
        <m:r>
          <m:t>t</m:t>
        </m:r>
      </m:oMath>
      <w:r>
        <w:t xml:space="preserve">(10.46) = 1.21,</w:t>
      </w:r>
      <w:r>
        <w:t xml:space="preserve"> </w:t>
      </w:r>
      <m:oMath>
        <m:r>
          <m:t>p</m:t>
        </m:r>
      </m:oMath>
      <w:r>
        <w:t xml:space="preserve"> </w:t>
      </w:r>
      <w:r>
        <w:t xml:space="preserve">= .254. Even more puzzlingly, we did not find that raters were able to accurately predict the emergence of demand effects,</w:t>
      </w:r>
      <w:r>
        <w:t xml:space="preserve"> </w:t>
      </w:r>
      <m:oMath>
        <m:r>
          <m:t>β</m:t>
        </m:r>
      </m:oMath>
      <w:r>
        <w:t xml:space="preserve"> </w:t>
      </w:r>
      <w:r>
        <w:t xml:space="preserve">= 0.07, 95% CI [-0.04, 0.18],</w:t>
      </w:r>
      <w:r>
        <w:t xml:space="preserve"> </w:t>
      </w:r>
      <m:oMath>
        <m:r>
          <m:t>t</m:t>
        </m:r>
      </m:oMath>
      <w:r>
        <w:t xml:space="preserve">(14.95) = 1.31,</w:t>
      </w:r>
      <w:r>
        <w:t xml:space="preserve"> </w:t>
      </w:r>
      <m:oMath>
        <m:r>
          <m:t>p</m:t>
        </m:r>
      </m:oMath>
      <w:r>
        <w:t xml:space="preserve"> </w:t>
      </w:r>
      <w:r>
        <w:t xml:space="preserve">= .209. In other words, even equipped with theory-generated ratings scales, we failed to uncover evidence that participatns are able to predict the impact and mechanisms underlying demand characteristics.</w:t>
      </w:r>
    </w:p>
    <w:bookmarkEnd w:id="53"/>
    <w:bookmarkStart w:id="54" w:name="residual-variability"/>
    <w:p>
      <w:pPr>
        <w:pStyle w:val="berschrift4"/>
      </w:pPr>
      <w:r>
        <w:t xml:space="preserve">Residual variability.</w:t>
      </w:r>
    </w:p>
    <w:p>
      <w:pPr>
        <w:pStyle w:val="FirstParagraph"/>
      </w:pPr>
      <w:r>
        <w:t xml:space="preserve">To evaluate how much variability in demand effects is currently accounted for by the moderators examined in Studies 1 and 2,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pPr>
        <w:pStyle w:val="Textkrper"/>
      </w:pPr>
      <w:r>
        <w:t xml:space="preserve">Including all moderators increased the pseudo-</w:t>
      </w:r>
      <m:oMath>
        <m:sSup>
          <m:e>
            <m:r>
              <m:t>R</m:t>
            </m:r>
          </m:e>
          <m:sup>
            <m:r>
              <m:t>2</m:t>
            </m:r>
          </m:sup>
        </m:sSup>
      </m:oMath>
      <w:r>
        <w:t xml:space="preserve"> </w:t>
      </w:r>
      <w:r>
        <w:t xml:space="preserve">to 27.67%, indicating that the majority of observed variability in demand effects is still unaccounted.</w:t>
      </w:r>
    </w:p>
    <w:bookmarkEnd w:id="54"/>
    <w:bookmarkEnd w:id="55"/>
    <w:bookmarkStart w:id="60" w:name="X4d2f8228bdffda6a1bb824165ec8bac5cd8c7b9"/>
    <w:p>
      <w:pPr>
        <w:pStyle w:val="berschrift3"/>
      </w:pPr>
      <w:r>
        <w:t xml:space="preserve">Estimating demand effects in specific study contexts.</w:t>
      </w:r>
    </w:p>
    <w:p>
      <w:pPr>
        <w:pStyle w:val="CaptionedFigure"/>
      </w:pPr>
      <w:r>
        <w:drawing>
          <wp:inline>
            <wp:extent cx="5963478" cy="2752374"/>
            <wp:effectExtent b="0" l="0" r="0" t="0"/>
            <wp:docPr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title="" id="57" name="Picture"/>
            <a:graphic>
              <a:graphicData uri="http://schemas.openxmlformats.org/drawingml/2006/picture">
                <pic:pic>
                  <pic:nvPicPr>
                    <pic:cNvPr descr="metaware_manuscript_files/figure-docx/predplot-1.png" id="58" name="Picture"/>
                    <pic:cNvPicPr>
                      <a:picLocks noChangeArrowheads="1" noChangeAspect="1"/>
                    </pic:cNvPicPr>
                  </pic:nvPicPr>
                  <pic:blipFill>
                    <a:blip r:embed="rId56"/>
                    <a:stretch>
                      <a:fillRect/>
                    </a:stretch>
                  </pic:blipFill>
                  <pic:spPr bwMode="auto">
                    <a:xfrm>
                      <a:off x="0" y="0"/>
                      <a:ext cx="5963478" cy="2752374"/>
                    </a:xfrm>
                    <a:prstGeom prst="rect">
                      <a:avLst/>
                    </a:prstGeom>
                    <a:noFill/>
                    <a:ln w="9525">
                      <a:noFill/>
                      <a:headEnd/>
                      <a:tailEnd/>
                    </a:ln>
                  </pic:spPr>
                </pic:pic>
              </a:graphicData>
            </a:graphic>
          </wp:inline>
        </w:drawing>
      </w:r>
    </w:p>
    <w:p>
      <w:pPr>
        <w:pStyle w:val="ImageCaption"/>
      </w:pPr>
      <w:bookmarkStart w:id="59" w:name="fig:predplot"/>
      <w:bookmarkEnd w:id="59"/>
      <w:r>
        <w:t xml:space="preserve">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t>
      </w:r>
    </w:p>
    <w:p>
      <w:pPr>
        <w:pStyle w:val="Textkrper"/>
      </w:pPr>
      <w:r>
        <w:t xml:space="preserve">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t>
      </w:r>
    </w:p>
    <w:p>
      <w:pPr>
        <w:pStyle w:val="Textkrper"/>
      </w:pPr>
      <w:r>
        <w:t xml:space="preserve">First, we estimated the overall impact of demand characteristics in what we call a</w:t>
      </w:r>
      <w:r>
        <w:t xml:space="preserve"> </w:t>
      </w:r>
      <w:r>
        <w:t xml:space="preserve">“</w:t>
      </w:r>
      <w:r>
        <w:t xml:space="preserve">classic experimental setting</w:t>
      </w:r>
      <w:r>
        <w:t xml:space="preserve">”</w:t>
      </w:r>
      <w:r>
        <w:t xml:space="preserve">: studies that (a) are run in-person, (b) sample students, (c) do not offer participant payment, and (d) are testing for a positive effect (i.e., positive demand). In this context, demand characteristics are estimated to produce, on average, a small increase in hypothesis-consistent responding,</w:t>
      </w:r>
      <w:r>
        <w:t xml:space="preserve"> </w:t>
      </w:r>
      <m:oMath>
        <m:r>
          <m:t>g</m:t>
        </m:r>
      </m:oMath>
      <w:r>
        <w:t xml:space="preserve"> </w:t>
      </w:r>
      <w:r>
        <w:t xml:space="preserve">= 0.18, 95% CI [0.05, 0.31,</w:t>
      </w:r>
      <w:r>
        <w:t xml:space="preserve"> </w:t>
      </w:r>
      <m:oMath>
        <m:r>
          <m:t>p</m:t>
        </m:r>
      </m:oMath>
      <w:r>
        <w:t xml:space="preserve"> </w:t>
      </w:r>
      <w:r>
        <w:t xml:space="preserve">= .007] (Figure</w:t>
      </w:r>
      <w:r>
        <w:t xml:space="preserve"> </w:t>
      </w:r>
      <w:r>
        <w:t xml:space="preserve">4</w:t>
      </w:r>
      <w:r>
        <w:t xml:space="preserve">). Second, we estimated the overall impact of demand characteristics in an</w:t>
      </w:r>
      <w:r>
        <w:t xml:space="preserve"> </w:t>
      </w:r>
      <w:r>
        <w:t xml:space="preserve">“</w:t>
      </w:r>
      <w:r>
        <w:t xml:space="preserve">online worker experimental context</w:t>
      </w:r>
      <w:r>
        <w:t xml:space="preserve">”</w:t>
      </w:r>
      <w:r>
        <w:t xml:space="preserve">: studies that (a) are run online, (b) sample non-students, (c) offer participant payment, and (d) test for a positive effect. Here, we did not find that demand characteristics, on average, produce changes in participants’ responses,</w:t>
      </w:r>
      <w:r>
        <w:t xml:space="preserve"> </w:t>
      </w:r>
      <m:oMath>
        <m:r>
          <m:t>g</m:t>
        </m:r>
      </m:oMath>
      <w:r>
        <w:t xml:space="preserve"> </w:t>
      </w:r>
      <w:r>
        <w:t xml:space="preserve">= 0.03, 95% CI [-0.12, 0.18],</w:t>
      </w:r>
      <w:r>
        <w:t xml:space="preserve"> </w:t>
      </w:r>
      <m:oMath>
        <m:r>
          <m:t>p</m:t>
        </m:r>
      </m:oMath>
      <w:r>
        <w:t xml:space="preserve"> </w:t>
      </w:r>
      <w:r>
        <w:t xml:space="preserve">= 0.69 (Figure</w:t>
      </w:r>
      <w:r>
        <w:t xml:space="preserve"> </w:t>
      </w:r>
      <w:r>
        <w:t xml:space="preserve">4</w:t>
      </w:r>
      <w:r>
        <w:t xml:space="preserve">).</w:t>
      </w:r>
    </w:p>
    <w:bookmarkEnd w:id="60"/>
    <w:bookmarkStart w:id="65" w:name="publication-bias-analyses-1"/>
    <w:p>
      <w:pPr>
        <w:pStyle w:val="berschrift3"/>
      </w:pPr>
      <w:r>
        <w:t xml:space="preserve">Publication bias analyses.</w:t>
      </w:r>
    </w:p>
    <w:p>
      <w:pPr>
        <w:pStyle w:val="FirstParagraph"/>
      </w:pPr>
      <w:r>
        <w:t xml:space="preserve">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pPr>
        <w:pStyle w:val="Textkrper"/>
      </w:pPr>
      <w:r>
        <w:t xml:space="preserve">Precision-effect tests similarly 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w:t>
      </w:r>
      <w:r>
        <w:t xml:space="preserve"> </w:t>
      </w:r>
      <m:oMath>
        <m:r>
          <m:t>β</m:t>
        </m:r>
      </m:oMath>
      <w:r>
        <w:t xml:space="preserve"> </w:t>
      </w:r>
      <w:r>
        <w:t xml:space="preserve">= 0.65, 95% CI [-0.02, 1.31],</w:t>
      </w:r>
      <w:r>
        <w:t xml:space="preserve"> </w:t>
      </w:r>
      <m:oMath>
        <m:r>
          <m:t>p</m:t>
        </m:r>
      </m:oMath>
      <w:r>
        <w:t xml:space="preserve"> </w:t>
      </w:r>
      <w:r>
        <w:t xml:space="preserve">= .057. The bias-corrected overall effect size estimate did not significantly differ from zero,</w:t>
      </w:r>
      <w:r>
        <w:t xml:space="preserve"> </w:t>
      </w:r>
      <m:oMath>
        <m:r>
          <m:t>g</m:t>
        </m:r>
      </m:oMath>
      <w:r>
        <w:t xml:space="preserve"> </w:t>
      </w:r>
      <w:r>
        <w:t xml:space="preserve">= 0.06, 95% CI [-0.12, 0.23],</w:t>
      </w:r>
      <w:r>
        <w:t xml:space="preserve"> </w:t>
      </w:r>
      <m:oMath>
        <m:r>
          <m:t>p</m:t>
        </m:r>
      </m:oMath>
      <w:r>
        <w:t xml:space="preserve"> </w:t>
      </w:r>
      <w:r>
        <w:t xml:space="preserve">= .535. On the other hand, two-level precision-effect tests with aggregated dependent effect size estimates yielded an opposite pattern: that there was a slight (but not statistically significant) preference for non-significant or hypothesis-inconsistent shifts in participants’ responses,</w:t>
      </w:r>
      <w:r>
        <w:t xml:space="preserve"> </w:t>
      </w:r>
      <m:oMath>
        <m:r>
          <m:t>β</m:t>
        </m:r>
      </m:oMath>
      <w:r>
        <w:t xml:space="preserve"> </w:t>
      </w:r>
      <w:r>
        <w:t xml:space="preserve">= 0.09, 95% CI [-0.81, 1.00],</w:t>
      </w:r>
      <w:r>
        <w:t xml:space="preserve"> </w:t>
      </w:r>
      <m:oMath>
        <m:r>
          <m:t>p</m:t>
        </m:r>
      </m:oMath>
      <w:r>
        <w:t xml:space="preserve"> </w:t>
      </w:r>
      <w:r>
        <w:t xml:space="preserve">= .844. The bias-corrected overall effect size estimate was virtually unchanged,</w:t>
      </w:r>
      <w:r>
        <w:t xml:space="preserve"> </w:t>
      </w:r>
      <m:oMath>
        <m:r>
          <m:t>g</m:t>
        </m:r>
      </m:oMath>
      <w:r>
        <w:t xml:space="preserve"> </w:t>
      </w:r>
      <w:r>
        <w:t xml:space="preserve">= 0.15, 95% CI [-0.03, 0.33],</w:t>
      </w:r>
      <w:r>
        <w:t xml:space="preserve"> </w:t>
      </w:r>
      <m:oMath>
        <m:r>
          <m:t>p</m:t>
        </m:r>
      </m:oMath>
      <w:r>
        <w:t xml:space="preserve"> </w:t>
      </w:r>
      <w:r>
        <w:t xml:space="preserve">= .107. In other words, depending on how dependencies were handled, precision-effect tests yielded opposite conclusions about the direction of publication bias and the significance of the bias-corrected overall effect of demand characteristics.</w:t>
      </w:r>
    </w:p>
    <w:p>
      <w:pPr>
        <w:pStyle w:val="Textkrper"/>
      </w:pPr>
      <w:r>
        <w:t xml:space="preserve">Weight-function modeling suggested that better fit was achieved in a model where publication bias favored non-significant or hypothesis-inconsistent shifts in participants’ responses,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g</m:t>
        </m:r>
      </m:oMath>
      <w:r>
        <w:t xml:space="preserve"> </w:t>
      </w:r>
      <w:r>
        <w:t xml:space="preserve">= 0.41, 95% CI [0.19, 0.62],</w:t>
      </w:r>
      <w:r>
        <w:t xml:space="preserve"> </w:t>
      </w:r>
      <m:oMath>
        <m:r>
          <m:t>p</m:t>
        </m:r>
      </m:oMath>
      <w:r>
        <w:t xml:space="preserve"> </w:t>
      </w:r>
      <w:r>
        <w:t xml:space="preserve">&lt; .001. A comparison of unpublished (</w:t>
      </w:r>
      <m:oMath>
        <m:r>
          <m:t>g</m:t>
        </m:r>
      </m:oMath>
      <w:r>
        <w:t xml:space="preserve"> </w:t>
      </w:r>
      <w:r>
        <w:t xml:space="preserve">= 0.17, 95% CI [-0.17, 0.51],</w:t>
      </w:r>
      <w:r>
        <w:t xml:space="preserve"> </w:t>
      </w:r>
      <m:oMath>
        <m:r>
          <m:t>p</m:t>
        </m:r>
      </m:oMath>
      <w:r>
        <w:t xml:space="preserve"> </w:t>
      </w:r>
      <w:r>
        <w:t xml:space="preserve">= .289) and published (</w:t>
      </w:r>
      <m:oMath>
        <m:r>
          <m:t>g</m:t>
        </m:r>
      </m:oMath>
      <w:r>
        <w:t xml:space="preserve"> </w:t>
      </w:r>
      <w:r>
        <w:t xml:space="preserve">= 0.21, 95% CI [0.11, 0.31],</w:t>
      </w:r>
      <w:r>
        <w:t xml:space="preserve"> </w:t>
      </w:r>
      <m:oMath>
        <m:r>
          <m:t>p</m:t>
        </m:r>
      </m:oMath>
      <w:r>
        <w:t xml:space="preserve"> </w:t>
      </w:r>
      <w:r>
        <w:t xml:space="preserve">= &lt; .001) studies yielded a similar pattern, although the difference was not significant,</w:t>
      </w:r>
      <w:r>
        <w:t xml:space="preserve"> </w:t>
      </w:r>
      <m:oMath>
        <m:r>
          <m:t>F</m:t>
        </m:r>
      </m:oMath>
      <w:r>
        <w:t xml:space="preserve">(1, 14.38) = 0.07,</w:t>
      </w:r>
      <w:r>
        <w:t xml:space="preserve"> </w:t>
      </w:r>
      <m:oMath>
        <m:r>
          <m:t>p</m:t>
        </m:r>
      </m:oMath>
      <w:r>
        <w:t xml:space="preserve"> </w:t>
      </w:r>
      <w:r>
        <w:t xml:space="preserve">= .801.</w:t>
      </w:r>
    </w:p>
    <w:p>
      <w:pPr>
        <w:pStyle w:val="CaptionedFigure"/>
      </w:pPr>
      <w:r>
        <w:drawing>
          <wp:inline>
            <wp:extent cx="5963478" cy="3440468"/>
            <wp:effectExtent b="0" l="0" r="0" t="0"/>
            <wp:docPr descr="Figure 5: Raw (Panel A) or aggregated (Panel B) effect sizes plotted against their corresponding standard errors." title="" id="62" name="Picture"/>
            <a:graphic>
              <a:graphicData uri="http://schemas.openxmlformats.org/drawingml/2006/picture">
                <pic:pic>
                  <pic:nvPicPr>
                    <pic:cNvPr descr="metaware_manuscript_files/figure-docx/funnel-1.png" id="63" name="Picture"/>
                    <pic:cNvPicPr>
                      <a:picLocks noChangeArrowheads="1" noChangeAspect="1"/>
                    </pic:cNvPicPr>
                  </pic:nvPicPr>
                  <pic:blipFill>
                    <a:blip r:embed="rId61"/>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64" w:name="fig:funnel"/>
      <w:bookmarkEnd w:id="64"/>
      <w:r>
        <w:t xml:space="preserve">Figure 5: Raw (Panel A) or aggregated (Panel B) effect sizes plotted against their corresponding standard errors.</w:t>
      </w:r>
    </w:p>
    <w:bookmarkEnd w:id="65"/>
    <w:bookmarkEnd w:id="66"/>
    <w:bookmarkStart w:id="67" w:name="discussion"/>
    <w:p>
      <w:pPr>
        <w:pStyle w:val="berschrift2"/>
      </w:pPr>
      <w:r>
        <w:t xml:space="preserve">Discussion</w:t>
      </w:r>
    </w:p>
    <w:p>
      <w:pPr>
        <w:pStyle w:val="FirstParagraph"/>
      </w:pPr>
      <w:r>
        <w:t xml:space="preserve">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m:t>g</m:t>
        </m:r>
      </m:oMath>
      <w:r>
        <w:t xml:space="preserve"> </w:t>
      </w:r>
      <w:r>
        <w:t xml:space="preserve">&gt; 0.10); 18% produce hypothesis-</w:t>
      </w:r>
      <w:r>
        <w:rPr>
          <w:iCs/>
          <w:i/>
        </w:rPr>
        <w:t xml:space="preserve">in</w:t>
      </w:r>
      <w:r>
        <w:t xml:space="preserve">consistent shifts (</w:t>
      </w:r>
      <m:oMath>
        <m:r>
          <m:t>g</m:t>
        </m:r>
      </m:oMath>
      <w:r>
        <w:t xml:space="preserve"> </w:t>
      </w:r>
      <w:r>
        <w:t xml:space="preserve">&lt; -0.10), and 20% produce negligible shifts in either direction (-0.10 &lt;</w:t>
      </w:r>
      <w:r>
        <w:t xml:space="preserve"> </w:t>
      </w:r>
      <m:oMath>
        <m:r>
          <m:t>g</m:t>
        </m:r>
      </m:oMath>
      <w:r>
        <w:t xml:space="preserve"> </w:t>
      </w:r>
      <w:r>
        <w:t xml:space="preserve">&gt; 0.10). Moderator analyses revealed two study features that were associated with more hypothesis-consistent shifts in responses: (1) sampling student populations, and (2) communicating that the researchers hypothesizes there will be</w:t>
      </w:r>
      <w:r>
        <w:t xml:space="preserve"> </w:t>
      </w:r>
      <w:r>
        <w:rPr>
          <w:iCs/>
          <w:i/>
        </w:rPr>
        <w:t xml:space="preserve">no</w:t>
      </w:r>
      <w:r>
        <w:t xml:space="preserve"> </w:t>
      </w:r>
      <w:r>
        <w:t xml:space="preserve">shift in responses (i.e., using nil demand manipulations).</w:t>
      </w:r>
    </w:p>
    <w:p>
      <w:pPr>
        <w:pStyle w:val="Textkrper"/>
      </w:pPr>
      <w:r>
        <w:t xml:space="preserve">More practically, we estimated that demand characteristics produce small increases in hypothesis-consistent responding in</w:t>
      </w:r>
      <w:r>
        <w:t xml:space="preserve"> </w:t>
      </w:r>
      <w:r>
        <w:t xml:space="preserve">“</w:t>
      </w:r>
      <w:r>
        <w:t xml:space="preserve">classic experimental settings</w:t>
      </w:r>
      <w:r>
        <w:t xml:space="preserve">”</w:t>
      </w:r>
      <w:r>
        <w:t xml:space="preserve">: in-person studies testing positive effects with unpaid student samples. In contrast, when these studies are run online with paid workers – an</w:t>
      </w:r>
      <w:r>
        <w:t xml:space="preserve"> </w:t>
      </w:r>
      <w:r>
        <w:t xml:space="preserve">“</w:t>
      </w:r>
      <w:r>
        <w:t xml:space="preserve">online worker experimental setting</w:t>
      </w:r>
      <w:r>
        <w:t xml:space="preserve">”</w:t>
      </w:r>
      <w:r>
        <w:t xml:space="preserve"> </w:t>
      </w:r>
      <w:r>
        <w:t xml:space="preserve">– we estimated that demand effects are near zero. However, these results are ultimately preliminary given the high heterogeneity and inconsistent evidence of the direction and impact of publication bias.</w:t>
      </w:r>
    </w:p>
    <w:p>
      <w:pPr>
        <w:pStyle w:val="Textkrper"/>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w:t>
      </w:r>
      <w:r>
        <w:t xml:space="preserve"> </w:t>
      </w:r>
      <w:r>
        <w:rPr>
          <w:iCs/>
          <w:i/>
        </w:rPr>
        <w:t xml:space="preserve">believe</w:t>
      </w:r>
      <w:r>
        <w:t xml:space="preserve"> </w:t>
      </w:r>
      <w:r>
        <w:t xml:space="preserve">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bookmarkEnd w:id="67"/>
    <w:bookmarkEnd w:id="68"/>
    <w:bookmarkStart w:id="69" w:name="general-discussion"/>
    <w:p>
      <w:pPr>
        <w:pStyle w:val="berschrift1"/>
      </w:pPr>
      <w:r>
        <w:t xml:space="preserve">General Discussion</w:t>
      </w:r>
    </w:p>
    <w:p>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w:t>
      </w:r>
      <w:r>
        <w:t xml:space="preserve"> </w:t>
      </w:r>
      <w:r>
        <w:rPr>
          <w:iCs/>
          <w:i/>
        </w:rPr>
        <w:t xml:space="preserve">distribution</w:t>
      </w:r>
      <w:r>
        <w:t xml:space="preserve"> </w:t>
      </w:r>
      <w:r>
        <w:t xml:space="preserve">of demand effects. This distribution suggests that approximately 62% of demand characteristic manipulations produce hypothesis-consistent shifts in participants’ responses (</w:t>
      </w:r>
      <m:oMath>
        <m:r>
          <m:t>g</m:t>
        </m:r>
      </m:oMath>
      <w:r>
        <w:t xml:space="preserve"> </w:t>
      </w:r>
      <w:r>
        <w:t xml:space="preserve">&gt; 0.10), 18% produce hypothesis-</w:t>
      </w:r>
      <w:r>
        <w:rPr>
          <w:iCs/>
          <w:i/>
        </w:rPr>
        <w:t xml:space="preserve">in</w:t>
      </w:r>
      <w:r>
        <w:t xml:space="preserve">consistent shifts in participants’ responses (</w:t>
      </w:r>
      <m:oMath>
        <m:r>
          <m:t>g</m:t>
        </m:r>
      </m:oMath>
      <w:r>
        <w:t xml:space="preserve"> </w:t>
      </w:r>
      <w:r>
        <w:t xml:space="preserve">&lt; -0.10), and 20% produce negligible shifts in either direction (-0.10 &lt;</w:t>
      </w:r>
      <w:r>
        <w:t xml:space="preserve"> </w:t>
      </w:r>
      <m:oMath>
        <m:r>
          <m:t>g</m:t>
        </m:r>
      </m:oMath>
      <w:r>
        <w:t xml:space="preserve"> </w:t>
      </w:r>
      <w:r>
        <w:t xml:space="preserve">&gt; 0.10). Most worrisome, the estimated distribution of demand effects ranges from approximately</w:t>
      </w:r>
      <w:r>
        <w:t xml:space="preserve"> </w:t>
      </w:r>
      <m:oMath>
        <m:r>
          <m:t>g</m:t>
        </m:r>
      </m:oMath>
      <w:r>
        <w:t xml:space="preserve"> </w:t>
      </w:r>
      <w:r>
        <w:t xml:space="preserve">= -1.33 to</w:t>
      </w:r>
      <w:r>
        <w:t xml:space="preserve"> </w:t>
      </w:r>
      <m:oMath>
        <m:r>
          <m:t>g</m:t>
        </m:r>
      </m:oMath>
      <w:r>
        <w:t xml:space="preserve"> </w:t>
      </w:r>
      <w:r>
        <w:t xml:space="preserve">= 1.82 – remarkable similar to the distribution of theory-relevant effects in experimental psychology</w:t>
      </w:r>
      <w:r>
        <w:t xml:space="preserve"> </w:t>
      </w:r>
      <w:r>
        <w:t xml:space="preserve">(Lovakov &amp; Agadullina, 2021)</w:t>
      </w:r>
      <w:r>
        <w:t xml:space="preserve">. Thus, to distinguish theory-relevant effects from artifactual demand effects, it is essential that experimental psychologists better understand the latter</w:t>
      </w:r>
      <w:r>
        <w:t xml:space="preserve"> </w:t>
      </w:r>
      <w:r>
        <w:t xml:space="preserve">(Boot, Simons, Stothart, &amp; Stutts, 2013; Corneille &amp; Lush, 2022; Sharpe &amp; Whelton, 2016)</w:t>
      </w:r>
      <w:r>
        <w:t xml:space="preserve">.</w:t>
      </w:r>
    </w:p>
    <w:p>
      <w:pPr>
        <w:pStyle w:val="Textkrper"/>
      </w:pPr>
      <w:r>
        <w:t xml:space="preserve">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pPr>
        <w:pStyle w:val="Textkrper"/>
      </w:pPr>
      <w:r>
        <w:t xml:space="preserve">Although motivation accounts are popular in in the demand characteristics literature</w:t>
      </w:r>
      <w:r>
        <w:t xml:space="preserve"> </w:t>
      </w:r>
      <w:r>
        <w:t xml:space="preserve">(Cook et al., 1970; Orne, 1962; Riecken, 1962; Rosenberg, 1969; Rosnow &amp; Rosenthal, 1997; Sigall et al., 1970)</w:t>
      </w:r>
      <w:r>
        <w:t xml:space="preserve">,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pPr>
        <w:pStyle w:val="Textkrper"/>
      </w:pPr>
      <w:r>
        <w:t xml:space="preserve">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w:t>
      </w:r>
      <w:r>
        <w:t xml:space="preserve"> </w:t>
      </w:r>
      <w:r>
        <w:t xml:space="preserve">(for a review, see Kube &amp; Rozenkrantz, 2021)</w:t>
      </w:r>
      <w:r>
        <w:t xml:space="preserve">, demand characteristics should exert larger effects in contexts where participants have relatively uncertain pre-existing expectations.</w:t>
      </w:r>
    </w:p>
    <w:p>
      <w:pPr>
        <w:pStyle w:val="Textkrper"/>
      </w:pPr>
      <w:r>
        <w:t xml:space="preserve">Expectancy effects can certainly be reduced – but it is not clear if they can be fully avoided</w:t>
      </w:r>
      <w:r>
        <w:t xml:space="preserve"> </w:t>
      </w:r>
      <w:r>
        <w:t xml:space="preserve">(Boot et al., 2013)</w:t>
      </w:r>
      <w:r>
        <w:t xml:space="preserve">. Indeed, participants possess a rich array of pre-existing expectations</w:t>
      </w:r>
      <w:r>
        <w:t xml:space="preserve"> </w:t>
      </w:r>
      <w:r>
        <w:rPr>
          <w:iCs/>
          <w:i/>
        </w:rPr>
        <w:t xml:space="preserve">before</w:t>
      </w:r>
      <w:r>
        <w:t xml:space="preserve"> </w:t>
      </w:r>
      <w:r>
        <w:t xml:space="preserve">they enter our studies</w:t>
      </w:r>
      <w:r>
        <w:t xml:space="preserve"> </w:t>
      </w:r>
      <w:r>
        <w:t xml:space="preserve">(Dweck, 2012)</w:t>
      </w:r>
      <w:r>
        <w:t xml:space="preserve">. For example,</w:t>
      </w:r>
      <w:r>
        <w:t xml:space="preserve"> </w:t>
      </w:r>
      <w:r>
        <w:t xml:space="preserve">Coles et al. (2022)</w:t>
      </w:r>
      <w:r>
        <w:t xml:space="preserve"> </w:t>
      </w:r>
      <w:r>
        <w:t xml:space="preserve">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w:t>
      </w:r>
      <w:r>
        <w:t xml:space="preserve"> </w:t>
      </w:r>
      <w:r>
        <w:t xml:space="preserve">(Boot et al., 2013)</w:t>
      </w:r>
      <w:r>
        <w:t xml:space="preserve">. In other words, deception about the purpose of the study does not guarantee an unbiased estimate of a mechanism-of-interest. In the real world, the mechanisms that psychologists theorize about may be naturalistically confounded with participants’ beliefs.</w:t>
      </w:r>
    </w:p>
    <w:p>
      <w:pPr>
        <w:pStyle w:val="Textkrper"/>
      </w:pPr>
      <w:r>
        <w:t xml:space="preserve">We end on a note of concern. We estimated that experimentally manipulated demand characteristics have a similar distribution of effects as the theory-relevant phenomena that many psychologists study</w:t>
      </w:r>
      <w:r>
        <w:t xml:space="preserve"> </w:t>
      </w:r>
      <w:r>
        <w:t xml:space="preserve">(Lovakov &amp; Agadullina, 2021)</w:t>
      </w:r>
      <w:r>
        <w:t xml:space="preserve">.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w:t>
      </w:r>
      <w:r>
        <w:t xml:space="preserve"> </w:t>
      </w:r>
      <w:r>
        <w:t xml:space="preserve">(Boot et al., 2013; Corneille &amp; Lush, 2022)</w:t>
      </w:r>
      <w:r>
        <w:t xml:space="preserve">.</w:t>
      </w:r>
    </w:p>
    <w:bookmarkEnd w:id="69"/>
    <w:bookmarkStart w:id="138" w:name="references"/>
    <w:p>
      <w:pPr>
        <w:pStyle w:val="berschrift1"/>
      </w:pPr>
      <w:r>
        <w:t xml:space="preserve">References</w:t>
      </w:r>
    </w:p>
    <w:p>
      <w:pPr>
        <w:pStyle w:val="FirstParagraph"/>
      </w:pPr>
      <w:r>
        <w:t xml:space="preserve">References marked with an asterisk indicate studies included in the meta-analysis.</w:t>
      </w:r>
    </w:p>
    <w:bookmarkStart w:id="137" w:name="refs"/>
    <w:bookmarkStart w:id="70"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70"/>
    <w:bookmarkStart w:id="7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71">
        <w:r>
          <w:rPr>
            <w:rStyle w:val="Hyperlink"/>
          </w:rPr>
          <w:t xml:space="preserve">https://github.com/crsh/papaja</w:t>
        </w:r>
      </w:hyperlink>
    </w:p>
    <w:bookmarkEnd w:id="72"/>
    <w:bookmarkStart w:id="73"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73"/>
    <w:bookmarkStart w:id="74" w:name="ref-boot2013pervasive"/>
    <w:p>
      <w:pPr>
        <w:pStyle w:val="Literaturverzeichnis"/>
      </w:pPr>
      <w:r>
        <w:t xml:space="preserve">Boot, W. R., Simons, D. J., Stothart, C., &amp; Stutts, C. (2013). The pervasive problem with placebos in psychology: Why active control groups are not sufficient to rule out placebo effects.</w:t>
      </w:r>
      <w:r>
        <w:t xml:space="preserve"> </w:t>
      </w:r>
      <w:r>
        <w:rPr>
          <w:iCs/>
          <w:i/>
        </w:rPr>
        <w:t xml:space="preserve">Perspectives on Psychological Science</w:t>
      </w:r>
      <w:r>
        <w:t xml:space="preserve">,</w:t>
      </w:r>
      <w:r>
        <w:t xml:space="preserve"> </w:t>
      </w:r>
      <w:r>
        <w:rPr>
          <w:iCs/>
          <w:i/>
        </w:rPr>
        <w:t xml:space="preserve">8</w:t>
      </w:r>
      <w:r>
        <w:t xml:space="preserve">(4), 445–454.</w:t>
      </w:r>
    </w:p>
    <w:bookmarkEnd w:id="74"/>
    <w:bookmarkStart w:id="75"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5"/>
    <w:bookmarkStart w:id="76"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6"/>
    <w:bookmarkStart w:id="77"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77"/>
    <w:bookmarkStart w:id="79"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78">
        <w:r>
          <w:rPr>
            <w:rStyle w:val="Hyperlink"/>
          </w:rPr>
          <w:t xml:space="preserve">https://CRAN.R-project.org/package=weightr</w:t>
        </w:r>
      </w:hyperlink>
    </w:p>
    <w:bookmarkEnd w:id="79"/>
    <w:bookmarkStart w:id="80"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80"/>
    <w:bookmarkStart w:id="81"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81"/>
    <w:bookmarkStart w:id="82"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82"/>
    <w:bookmarkStart w:id="83" w:name="ref-corneille2022sixty"/>
    <w:p>
      <w:pPr>
        <w:pStyle w:val="Literaturverzeichnis"/>
      </w:pPr>
      <w:r>
        <w:t xml:space="preserve">Corneille, O., &amp; Lush, P. (2022).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 81–101.</w:t>
      </w:r>
    </w:p>
    <w:bookmarkEnd w:id="83"/>
    <w:bookmarkStart w:id="84"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84"/>
    <w:bookmarkStart w:id="85"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85"/>
    <w:bookmarkStart w:id="86"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86"/>
    <w:bookmarkStart w:id="87"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7"/>
    <w:bookmarkStart w:id="88"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8"/>
    <w:bookmarkStart w:id="89" w:name="ref-dweck2012implicit"/>
    <w:p>
      <w:pPr>
        <w:pStyle w:val="Literaturverzeichnis"/>
      </w:pPr>
      <w:r>
        <w:t xml:space="preserve">Dweck, C. S. (2012). Implicit theories. In P. A. M. V. Lange, A. W. Kruglanski, &amp; T. Higgins (Eds.),</w:t>
      </w:r>
      <w:r>
        <w:t xml:space="preserve"> </w:t>
      </w:r>
      <w:r>
        <w:rPr>
          <w:iCs/>
          <w:i/>
        </w:rPr>
        <w:t xml:space="preserve">Handbook of theories of social psychology</w:t>
      </w:r>
      <w:r>
        <w:t xml:space="preserve"> </w:t>
      </w:r>
      <w:r>
        <w:t xml:space="preserve">(Vol. 2, pp. 43–61). London: SAGE Publications Ltd.</w:t>
      </w:r>
    </w:p>
    <w:bookmarkEnd w:id="89"/>
    <w:bookmarkStart w:id="90"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90"/>
    <w:bookmarkStart w:id="91"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91"/>
    <w:bookmarkStart w:id="92"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92"/>
    <w:bookmarkStart w:id="93"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93"/>
    <w:bookmarkStart w:id="94"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94"/>
    <w:bookmarkStart w:id="95"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5"/>
    <w:bookmarkStart w:id="96"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6"/>
    <w:bookmarkStart w:id="97"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7"/>
    <w:bookmarkStart w:id="98"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8"/>
    <w:bookmarkStart w:id="99" w:name="ref-kube2021beliefs"/>
    <w:p>
      <w:pPr>
        <w:pStyle w:val="Literaturverzeichnis"/>
      </w:pPr>
      <w:r>
        <w:t xml:space="preserve">Kube, T., &amp; Rozenkrantz, L. (2021). When beliefs face reality: An integrative review of belief updating in mental health and illness.</w:t>
      </w:r>
      <w:r>
        <w:t xml:space="preserve"> </w:t>
      </w:r>
      <w:r>
        <w:rPr>
          <w:iCs/>
          <w:i/>
        </w:rPr>
        <w:t xml:space="preserve">Perspectives on Psychological Science</w:t>
      </w:r>
      <w:r>
        <w:t xml:space="preserve">,</w:t>
      </w:r>
      <w:r>
        <w:t xml:space="preserve"> </w:t>
      </w:r>
      <w:r>
        <w:rPr>
          <w:iCs/>
          <w:i/>
        </w:rPr>
        <w:t xml:space="preserve">16</w:t>
      </w:r>
      <w:r>
        <w:t xml:space="preserve">(2), 247–274.</w:t>
      </w:r>
    </w:p>
    <w:bookmarkEnd w:id="99"/>
    <w:bookmarkStart w:id="100"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100"/>
    <w:bookmarkStart w:id="101"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101"/>
    <w:bookmarkStart w:id="102"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102"/>
    <w:bookmarkStart w:id="103"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3"/>
    <w:bookmarkStart w:id="104"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4"/>
    <w:bookmarkStart w:id="105"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5"/>
    <w:bookmarkStart w:id="106"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06"/>
    <w:bookmarkStart w:id="107"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07"/>
    <w:bookmarkStart w:id="108"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08"/>
    <w:bookmarkStart w:id="109"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09"/>
    <w:bookmarkStart w:id="110"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10"/>
    <w:bookmarkStart w:id="111"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11"/>
    <w:bookmarkStart w:id="112"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2"/>
    <w:bookmarkStart w:id="113"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3"/>
    <w:bookmarkStart w:id="114"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4"/>
    <w:bookmarkStart w:id="116"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5">
        <w:r>
          <w:rPr>
            <w:rStyle w:val="Hyperlink"/>
          </w:rPr>
          <w:t xml:space="preserve">https://www.R-project.org/</w:t>
        </w:r>
      </w:hyperlink>
    </w:p>
    <w:bookmarkEnd w:id="116"/>
    <w:bookmarkStart w:id="11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17"/>
    <w:bookmarkStart w:id="118"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18"/>
    <w:bookmarkStart w:id="119"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19"/>
    <w:bookmarkStart w:id="120"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20"/>
    <w:bookmarkStart w:id="121"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21"/>
    <w:bookmarkStart w:id="122"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2"/>
    <w:bookmarkStart w:id="123"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3"/>
    <w:bookmarkStart w:id="124"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4"/>
    <w:bookmarkStart w:id="125"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25"/>
    <w:bookmarkStart w:id="126"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26"/>
    <w:bookmarkStart w:id="127"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27"/>
    <w:bookmarkStart w:id="128"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28"/>
    <w:bookmarkStart w:id="129"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29"/>
    <w:bookmarkStart w:id="130"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30"/>
    <w:bookmarkStart w:id="131"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1"/>
    <w:bookmarkStart w:id="132"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2"/>
    <w:bookmarkStart w:id="133"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33"/>
    <w:bookmarkStart w:id="134"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34"/>
    <w:bookmarkStart w:id="135"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35"/>
    <w:bookmarkStart w:id="136"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36"/>
    <w:bookmarkEnd w:id="137"/>
    <w:bookmarkEnd w:id="13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5">
    <w:p>
      <w:pPr>
        <w:pStyle w:val="Funotentext"/>
      </w:pPr>
      <w:r>
        <w:rPr>
          <w:rStyle w:val="Funotenzeichen"/>
        </w:rPr>
        <w:footnoteRef/>
      </w:r>
      <w:r>
        <w:t xml:space="preserve"> </w:t>
      </w:r>
      <w:r>
        <w:t xml:space="preserve">After completing the meta-analysis, we learned that one included record by</w:t>
      </w:r>
      <w:r>
        <w:t xml:space="preserve"> </w:t>
      </w:r>
      <w:r>
        <w:t xml:space="preserve">Lana and Menapace (1971)</w:t>
      </w:r>
      <w:r>
        <w:t xml:space="preserve"> </w:t>
      </w:r>
      <w:r>
        <w:t xml:space="preserve">did include a clinical population: patients who suffered pulmonary or cerebrovascular accidents. Excluding their results does not change the general pattern of results.</w:t>
      </w:r>
    </w:p>
  </w:footnote>
  <w:footnote w:id="29">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hyperlink" Id="rId78" Target="https://CRAN.R-project.org/package=weightr" TargetMode="External" /><Relationship Type="http://schemas.openxmlformats.org/officeDocument/2006/relationships/hyperlink" Id="rId71"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package=weightr" TargetMode="External" /><Relationship Type="http://schemas.openxmlformats.org/officeDocument/2006/relationships/hyperlink" Id="rId71"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dcterms:created xsi:type="dcterms:W3CDTF">2024-06-17T17:05:44Z</dcterms:created>
  <dcterms:modified xsi:type="dcterms:W3CDTF">2024-06-17T17:05:44Z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