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5.png" ContentType="image/png"/>
  <Override PartName="/word/media/rId52.png" ContentType="image/png"/>
  <Override PartName="/word/media/rId40.png" ContentType="image/png"/>
  <Override PartName="/word/media/rId45.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increases in hypothesis-</w:t>
      </w:r>
      <w:r>
        <w:rPr>
          <w:iCs/>
          <w:i/>
        </w:rPr>
        <w:t xml:space="preserve">in</w:t>
      </w:r>
      <w:r>
        <w:t xml:space="preserve">consistent responding). This range covers the span of almost every conceivable effect in experimental psychology. Contrary to conventional views, we found little evidence that demand effects were driven by participants’ motivation and opportunity to adjust their responses—i.e., a response bias. Instead, such effects seemed to be more so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massive impact of demand characteristics.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mechanisms underlying this artifact remain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Historically,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follows this historic trend, conceptualizing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 (Figure</w:t>
      </w:r>
      <w:r>
        <w:t xml:space="preserve"> </w:t>
      </w:r>
      <w:r>
        <w:t xml:space="preserve">1</w:t>
      </w:r>
      <w:r>
        <w:t xml:space="preserve">).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focus on scenarios where participants are likely to be highly receptive to cues. Thus, we will pay less attention to receptivity as a moderator (but see the General Discussion for more information).</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investigators sought to understand which subject goal</w:t>
      </w:r>
      <w:r>
        <w:t xml:space="preserve"> </w:t>
      </w:r>
      <w:r>
        <w:rPr>
          <w:iCs/>
          <w:i/>
        </w:rPr>
        <w:t xml:space="preserve">predominately</w:t>
      </w:r>
      <w:r>
        <w:t xml:space="preserve"> </w:t>
      </w:r>
      <w:r>
        <w:t xml:space="preserve">mediated response bias. For example,</w:t>
      </w:r>
      <w:r>
        <w:t xml:space="preserve"> </w:t>
      </w:r>
      <w:r>
        <w:t xml:space="preserve">Sigall et al. (1970)</w:t>
      </w:r>
      <w:r>
        <w:t xml:space="preserve"> </w:t>
      </w:r>
      <w:r>
        <w:t xml:space="preserve">found that participants increased performance on a simple task when the experimenter indicated that this was their expectation. However, participants did</w:t>
      </w:r>
      <w:r>
        <w:t xml:space="preserve"> </w:t>
      </w:r>
      <w:r>
        <w:rPr>
          <w:iCs/>
          <w:i/>
        </w:rPr>
        <w:t xml:space="preserve">not</w:t>
      </w:r>
      <w:r>
        <w:t xml:space="preserve"> </w:t>
      </w:r>
      <w:r>
        <w:t xml:space="preserve">do so when told that increased performance would be indicative of an obsessive-compulsive personality. Based on these results,</w:t>
      </w:r>
      <w:r>
        <w:t xml:space="preserve"> </w:t>
      </w:r>
      <w:r>
        <w:t xml:space="preserve">Sigall et al. (1970)</w:t>
      </w:r>
      <w:r>
        <w:t xml:space="preserve"> </w:t>
      </w:r>
      <w:r>
        <w:t xml:space="preserve">concluded that participants were predominately motivated to secure a positive evaluation—not help the experimenter confirm their hypothesis.</w:t>
      </w:r>
    </w:p>
    <w:p>
      <w:pPr>
        <w:pStyle w:val="Textkrper"/>
      </w:pPr>
      <w:r>
        <w:t xml:space="preserve">By focusing on testing hypotheses about a single predominate participant goal, less attention was initially paid to the notion that participants might have multiple, sometimes competing motivations</w:t>
      </w:r>
      <w:r>
        <w:t xml:space="preserve"> </w:t>
      </w:r>
      <w:r>
        <w:t xml:space="preserve">(Barbuto Jr &amp; Scholl, 1998; Boudreaux &amp; Ozer, 2013)</w:t>
      </w:r>
      <w:r>
        <w:t xml:space="preserve">. Later, though,</w:t>
      </w:r>
      <w:r>
        <w:t xml:space="preserve"> </w:t>
      </w:r>
      <w:r>
        <w:t xml:space="preserve">Rosnow and Rosenthal (1997)</w:t>
      </w:r>
      <w:r>
        <w:t xml:space="preserve"> </w:t>
      </w:r>
      <w:r>
        <w:t xml:space="preserve">demonstrated that people have</w:t>
      </w:r>
      <w:r>
        <w:t xml:space="preserve"> </w:t>
      </w:r>
      <w:r>
        <w:rPr>
          <w:iCs/>
          <w:i/>
        </w:rPr>
        <w:t xml:space="preserve">multiple</w:t>
      </w:r>
      <w:r>
        <w:t xml:space="preserve"> </w:t>
      </w:r>
      <w:r>
        <w:t xml:space="preserve">goals in mind when they conceptualize their role as research participants. Participants describe their role as being similar to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in the</w:t>
      </w:r>
      <w:r>
        <w:t xml:space="preserve"> </w:t>
      </w:r>
      <w:r>
        <w:t xml:space="preserve">Sigall et al. (1970)</w:t>
      </w:r>
      <w:r>
        <w:t xml:space="preserve"> </w:t>
      </w:r>
      <w:r>
        <w:t xml:space="preserve">experiment, participants may have been motivated to both (a) secure a positive evaluation, and (b) [presumably to a smaller degree] help the experimenter confirm their hypothesis. The brilliance of Rosnow and Rosenthal’s proposal is that it acknowledged that all previous researchers were [at least somewhat] correct; participants are altruistic, apprehensive, negativistic,</w:t>
      </w:r>
      <w:r>
        <w:t xml:space="preserve"> </w:t>
      </w:r>
      <w:r>
        <w:rPr>
          <w:iCs/>
          <w:i/>
        </w:rPr>
        <w:t xml:space="preserve">and</w:t>
      </w:r>
      <w:r>
        <w:t xml:space="preserve"> </w:t>
      </w:r>
      <w:r>
        <w:t xml:space="preserve">faithful. This effectively ended debates about which motivational force predominately drove response biases.</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generally been conceptually divorced from placebo effects</w:t>
      </w:r>
      <w:r>
        <w:t xml:space="preserve"> </w:t>
      </w:r>
      <w:r>
        <w:t xml:space="preserve">(e.g., Orne, 1969)</w:t>
      </w:r>
      <w:r>
        <w:t xml:space="preserve">. Indeed, in the classic book describing artifacts and behavioral research</w:t>
      </w:r>
      <w:r>
        <w:t xml:space="preserve"> </w:t>
      </w:r>
      <w:r>
        <w:t xml:space="preserve">(Rosnow &amp; Rosenthal, 1997)</w:t>
      </w:r>
      <w:r>
        <w:t xml:space="preserve">, placebo effects are acknowledged as a historical precursor to research on methodological artifacts but not discussed in the context of demand characteristics. This conceptual separation,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2, we review a small replication study that re-examines the extent to which demand effects are driven by response biases and placebo effects. In this replication study, we manipulated demand characteristics in an experimental investigation of the proposed effects of facial poses on emotional experience</w:t>
      </w:r>
      <w:r>
        <w:t xml:space="preserve"> </w:t>
      </w:r>
      <w:r>
        <w:t xml:space="preserve">(Coles, Larsen, &amp; Lench, 2019; 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1"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their direction, magnitude, and consistency.</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unambiguoursly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reported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participants were told that the intervention should be mood dampening, an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w:t>
      </w:r>
      <w:r>
        <w:t xml:space="preserve"> </w:t>
      </w:r>
      <w:r>
        <w:rPr>
          <w:iCs/>
          <w:i/>
        </w:rPr>
        <w:t xml:space="preserve">two</w:t>
      </w:r>
      <w:r>
        <w:t xml:space="preserve"> </w:t>
      </w:r>
      <w:r>
        <w:t xml:space="preserve">demand characteristic conditions (e.g., positive demand vs. negative demand). If demand characteristics can be additive, their effects should be larger when two demand characteristic conditions are compared (as opposed to one condition being compared to a control group).</w:t>
      </w:r>
    </w:p>
    <w:p>
      <w:pPr>
        <w:pStyle w:val="Textkrper"/>
      </w:pPr>
      <w:r>
        <w:t xml:space="preserve">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7"/>
    <w:bookmarkEnd w:id="38"/>
    <w:bookmarkEnd w:id="39"/>
    <w:bookmarkStart w:id="49" w:name="results"/>
    <w:p>
      <w:pPr>
        <w:pStyle w:val="berschrift2"/>
      </w:pPr>
      <w:r>
        <w:t xml:space="preserve">Results</w:t>
      </w:r>
    </w:p>
    <w:p>
      <w:pPr>
        <w:pStyle w:val="FirstParagraph"/>
      </w:pPr>
      <w:r>
        <w:t xml:space="preserve">Results indicated that, 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demand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most often produce hypothesis-consistent shifts (63%), but sometimes produce negligible shifts (18%) or shifts in the opposite direction of the communicated hypothesis (19%)</w:t>
      </w:r>
    </w:p>
    <w:p>
      <w:pPr>
        <w:pStyle w:val="Textkrper"/>
      </w:pPr>
      <w:r>
        <w:t xml:space="preserve">the estimated distribution of effects suggests that demand characteristics (a) sometimes produce negligible shifts in responding and (b) other times cause participants’ responses to shift in the</w:t>
      </w:r>
      <w:r>
        <w:t xml:space="preserve"> </w:t>
      </w:r>
      <w:r>
        <w:rPr>
          <w:iCs/>
          <w:i/>
        </w:rPr>
        <w:t xml:space="preserve">opposite</w:t>
      </w:r>
      <w:r>
        <w:t xml:space="preserve"> </w:t>
      </w:r>
      <w:r>
        <w:t xml:space="preserve">direction of the communicated hypothesis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63 % of demand characteristics manipulations produce hypothesis-consistent shifts in responding, 19 % produce hypothesis-inconsistent shifts, and 18% produce negligible shifts in either direction.</w:t>
      </w:r>
    </w:p>
    <w:bookmarkStart w:id="44"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 ,</w:t>
      </w:r>
      <w:r>
        <w:t xml:space="preserve"> </w:t>
      </w:r>
      <m:oMath>
        <m:r>
          <m:t>p</m:t>
        </m:r>
      </m:oMath>
      <w:r>
        <w:t xml:space="preserve"> </w:t>
      </w:r>
      <w:r>
        <w:t xml:space="preserve">&lt; .001. This suggests the existence of moderators.</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The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positive and extremely small in studies with a mix of students and non-students (</w:t>
      </w:r>
      <m:oMath>
        <m:r>
          <m:t>d</m:t>
        </m:r>
      </m:oMath>
      <w:r>
        <w:t xml:space="preserve"> </w:t>
      </w:r>
      <w:r>
        <w:t xml:space="preserve">= 0.04, 95% CI [-0.38, 0.47],</w:t>
      </w:r>
      <w:r>
        <w:t xml:space="preserve"> </w:t>
      </w:r>
      <m:oMath>
        <m:r>
          <m:t>p</m:t>
        </m:r>
      </m:oMath>
      <w:r>
        <w:t xml:space="preserve"> </w:t>
      </w:r>
      <w:r>
        <w:t xml:space="preserve">= .838), and near-zero in studies with non-students (</w:t>
      </w:r>
      <m:oMath>
        <m:r>
          <m:t>d</m:t>
        </m:r>
      </m:oMath>
      <w:r>
        <w:t xml:space="preserve"> </w:t>
      </w:r>
      <w:r>
        <w:t xml:space="preserve">= 0.00, 95% CI [-0.20, 0.20],</w:t>
      </w:r>
      <w:r>
        <w:t xml:space="preserve"> </w:t>
      </w:r>
      <m:oMath>
        <m:r>
          <m:t>p</m:t>
        </m:r>
      </m:oMath>
      <w:r>
        <w:t xml:space="preserve"> </w:t>
      </w:r>
      <w:r>
        <w:t xml:space="preserve">= .993).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although this did not meet conventional thresholds of statistical significance,</w:t>
      </w:r>
      <w:r>
        <w:t xml:space="preserve"> </w:t>
      </w:r>
      <m:oMath>
        <m:r>
          <m:t>F</m:t>
        </m:r>
      </m:oMath>
      <w:r>
        <w:t xml:space="preserve">(1, 189) = 3.61,</w:t>
      </w:r>
      <w:r>
        <w:t xml:space="preserve"> </w:t>
      </w:r>
      <m:oMath>
        <m:r>
          <m:t>p</m:t>
        </m:r>
      </m:oMath>
      <w:r>
        <w:t xml:space="preserve"> </w:t>
      </w:r>
      <w:r>
        <w:t xml:space="preserve">= .059.</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w:t>
      </w:r>
    </w:p>
    <w:bookmarkStart w:id="43" w:name="X597a8c3497739e509d542e56e9f07a16ad86ba7"/>
    <w:p>
      <w:pPr>
        <w:pStyle w:val="berschrift4"/>
      </w:pPr>
      <w:r>
        <w:t xml:space="preserve">Exploratory attempt to reduce confounding (tmp).</w:t>
      </w:r>
    </w:p>
    <w:p>
      <w:pPr>
        <w:pStyle w:val="FirstParagraph"/>
      </w:pPr>
      <w:r>
        <w:t xml:space="preserve">The above moderator analyses indicated that demand effects tend to be positive in studies with student populations, in-person procedures, and no compensation. However, an exploratory inspection of the data revealed that these variables may be confounded. For example, students were more likely to be participants in in-person (61% student samples) vs. online (14% student samples) studies. Students were also more likely to be participants in unpaid (65% student samples) vs. paid (11% student samples) studies. In hindsight, this confounding seems obvious—but it was not anticipated when we pre-registered our analysis plan.</w:t>
      </w:r>
    </w:p>
    <w:p>
      <w:pPr>
        <w:pStyle w:val="Textkrper"/>
      </w:pPr>
      <w:r>
        <w:t xml:space="preserve">As an exploratory analysis, we fit a three-level meta-analysis with student status, data collection medium, and payment status entered as effect-coded factors. The results should be interpreted with some skepticism because the model may be overfit. Nonetheless, this exploratory analysis indicated that student status—but not data collection medium or payment status—was a significant moderator of demand effects. In other words, only student status is robustly associated with differences in demand effects.</w:t>
      </w:r>
    </w:p>
    <w:bookmarkEnd w:id="43"/>
    <w:bookmarkEnd w:id="44"/>
    <w:bookmarkStart w:id="48"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fit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slightly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statistically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3.  Raw (A) or aggregated (B) effect sizes ploted against their corresponding standard errors." title="" id="46" name="Picture"/>
            <a:graphic>
              <a:graphicData uri="http://schemas.openxmlformats.org/drawingml/2006/picture">
                <pic:pic>
                  <pic:nvPicPr>
                    <pic:cNvPr descr="metaware_manuscript_files/figure-docx/funnel-1.png" id="47" name="Picture"/>
                    <pic:cNvPicPr>
                      <a:picLocks noChangeArrowheads="1" noChangeAspect="1"/>
                    </pic:cNvPicPr>
                  </pic:nvPicPr>
                  <pic:blipFill>
                    <a:blip r:embed="rId45"/>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Raw (A) or aggregated (B) effect sizes ploted against their corresponding standard errors.</w:t>
      </w:r>
    </w:p>
    <w:bookmarkEnd w:id="48"/>
    <w:bookmarkEnd w:id="49"/>
    <w:bookmarkStart w:id="50" w:name="discussion"/>
    <w:p>
      <w:pPr>
        <w:pStyle w:val="berschrift2"/>
      </w:pPr>
      <w:r>
        <w:t xml:space="preserve">Discussion</w:t>
      </w:r>
    </w:p>
    <w:p>
      <w:pPr>
        <w:pStyle w:val="FirstParagraph"/>
      </w:pPr>
      <w:r>
        <w:t xml:space="preserve">Study 1a provides the first quantitative synthesis of strict experimental tests of demand characteristics.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are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We also found non-significant evidence of increases in hypothesis-consistent responding when participants were paid. However, attempts to unconfound these moderator analyses failed to provide robust evidence of moderation by in-person and payment status. Furthermore, publication bias analyses yielded opposite conclusions about the direction and impact of publication bias. Consequently, these results are non-definitive.</w:t>
      </w:r>
    </w:p>
    <w:p>
      <w:pPr>
        <w:pStyle w:val="Textkrper"/>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bookmarkEnd w:id="50"/>
    <w:bookmarkEnd w:id="51"/>
    <w:bookmarkStart w:id="66" w:name="study-1b"/>
    <w:p>
      <w:pPr>
        <w:pStyle w:val="berschrift1"/>
      </w:pPr>
      <w:r>
        <w:t xml:space="preserve">Study 1b</w:t>
      </w:r>
    </w:p>
    <w:p>
      <w:pPr>
        <w:pStyle w:val="FirstParagraph"/>
      </w:pPr>
      <w:r>
        <w:t xml:space="preserve">Study 1b was designed to examine whether the meta-analytic effect size variability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Thus, we (a)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0"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4</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4.  Vignettes for Standing et al. (2008), which described the key details for each demand characteristic condition (bolded and underlined) and dependent variable (bolded and italicized) combination." title="" id="53" name="Picture"/>
            <a:graphic>
              <a:graphicData uri="http://schemas.openxmlformats.org/drawingml/2006/picture">
                <pic:pic>
                  <pic:nvPicPr>
                    <pic:cNvPr descr="images/metaware_vigs.png" id="54" name="Picture"/>
                    <pic:cNvPicPr>
                      <a:picLocks noChangeArrowheads="1" noChangeAspect="1"/>
                    </pic:cNvPicPr>
                  </pic:nvPicPr>
                  <pic:blipFill>
                    <a:blip r:embed="rId52"/>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Ratings were removed in instances where the rater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56" name="Picture"/>
            <a:graphic>
              <a:graphicData uri="http://schemas.openxmlformats.org/drawingml/2006/picture">
                <pic:pic>
                  <pic:nvPicPr>
                    <pic:cNvPr descr="images/metaware_mods.png" id="57" name="Picture"/>
                    <pic:cNvPicPr>
                      <a:picLocks noChangeArrowheads="1" noChangeAspect="1"/>
                    </pic:cNvPicPr>
                  </pic:nvPicPr>
                  <pic:blipFill>
                    <a:blip r:embed="rId55"/>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58"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5</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5</w:t>
      </w:r>
      <w:r>
        <w:t xml:space="preserve">, Panel A, Column 2). Summing motivation scores allowed us to accommodate this possibility, and we used the same approach for belief (Figure</w:t>
      </w:r>
      <w:r>
        <w:t xml:space="preserve"> </w:t>
      </w:r>
      <w:r>
        <w:t xml:space="preserve">5</w:t>
      </w:r>
      <w:r>
        <w:t xml:space="preserve">, Panel B) and opportunity ratings (Figure</w:t>
      </w:r>
      <w:r>
        <w:t xml:space="preserve"> </w:t>
      </w:r>
      <w:r>
        <w:t xml:space="preserve">5</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58"/>
    <w:bookmarkStart w:id="59"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 Orne suggested that one group that may be particularly good at predicting these effects is participants themselves</w:t>
      </w:r>
      <w:r>
        <w:t xml:space="preserve"> </w:t>
      </w:r>
      <w:r>
        <w:t xml:space="preserve">(1969)</w:t>
      </w:r>
      <w:r>
        <w:t xml:space="preserve">.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59"/>
    <w:bookmarkEnd w:id="60"/>
    <w:bookmarkStart w:id="64" w:name="results-1"/>
    <w:p>
      <w:pPr>
        <w:pStyle w:val="berschrift2"/>
      </w:pPr>
      <w:r>
        <w:t xml:space="preserve">Results</w:t>
      </w:r>
    </w:p>
    <w:p>
      <w:pPr>
        <w:pStyle w:val="CaptionedFigure"/>
      </w:pPr>
      <w:r>
        <w:drawing>
          <wp:inline>
            <wp:extent cx="5963478" cy="4128561"/>
            <wp:effectExtent b="0" l="0" r="0" t="0"/>
            <wp:docPr descr="Figure 6.  The effects of demand characteristics on participants’ responses were not significantly moderated by motivation (Panel A) or opportunity (Panel B) ratings. They were, however, significantly moderated by belief (Panel C) and prediction (Panel D) ratings." title="" id="62" name="Picture"/>
            <a:graphic>
              <a:graphicData uri="http://schemas.openxmlformats.org/drawingml/2006/picture">
                <pic:pic>
                  <pic:nvPicPr>
                    <pic:cNvPr descr="metaware_manuscript_files/figure-docx/modfig-1.png" id="63" name="Picture"/>
                    <pic:cNvPicPr>
                      <a:picLocks noChangeArrowheads="1" noChangeAspect="1"/>
                    </pic:cNvPicPr>
                  </pic:nvPicPr>
                  <pic:blipFill>
                    <a:blip r:embed="rId61"/>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The effects 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 @</w:t>
      </w:r>
      <w:r>
        <w:t xml:space="preserve">(fig:modfig),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6</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6</w:t>
      </w:r>
      <w:r>
        <w:t xml:space="preserve">, Panel D).</w:t>
      </w:r>
    </w:p>
    <w:bookmarkEnd w:id="64"/>
    <w:bookmarkStart w:id="65" w:name="discussion-1"/>
    <w:p>
      <w:pPr>
        <w:pStyle w:val="berschrift2"/>
      </w:pPr>
      <w:r>
        <w:t xml:space="preserve">Discussion</w:t>
      </w:r>
    </w:p>
    <w:p>
      <w:pPr>
        <w:pStyle w:val="FirstParagraph"/>
      </w:pPr>
      <w:r>
        <w:t xml:space="preserve">Contrary to classic conceptualizations of the impact of demand characteristics and comprehensive frameworks proposed by</w:t>
      </w:r>
      <w:r>
        <w:t xml:space="preserve"> </w:t>
      </w:r>
      <w:r>
        <w:t xml:space="preserve">Rosnow and Rosenthal (1997)</w:t>
      </w:r>
      <w:r>
        <w:t xml:space="preserve"> </w:t>
      </w:r>
      <w:r>
        <w:t xml:space="preserve">and</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 that was initially proposed as an</w:t>
      </w:r>
      <w:r>
        <w:t xml:space="preserve"> </w:t>
      </w:r>
      <w:r>
        <w:rPr>
          <w:iCs/>
          <w:i/>
        </w:rPr>
        <w:t xml:space="preserve">extension</w:t>
      </w:r>
      <w:r>
        <w:t xml:space="preserve"> </w:t>
      </w:r>
      <w:r>
        <w:t xml:space="preserve">of classic demand characteristic frameworks.</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people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w:t>
      </w:r>
      <w:r>
        <w:t xml:space="preserve"> </w:t>
      </w:r>
      <w:r>
        <w:rPr>
          <w:iCs/>
          <w:i/>
        </w:rPr>
        <w:t xml:space="preserve">past decade</w:t>
      </w:r>
      <w:r>
        <w:t xml:space="preserve">. Doing so helped minimize differences between the participants who completed the original studies and our rating task. The pattern of results in this sensitive analysis, however, was largely the same as those from the full dataset.</w:t>
      </w:r>
    </w:p>
    <w:p>
      <w:pPr>
        <w:pStyle w:val="Textkrper"/>
      </w:pPr>
      <w:r>
        <w:t xml:space="preserve">To address these two major limitations, we re-examined the moderators in a small exploratory replication of an experiment in the demand characteristics literature.</w:t>
      </w:r>
    </w:p>
    <w:bookmarkEnd w:id="65"/>
    <w:bookmarkEnd w:id="66"/>
    <w:bookmarkStart w:id="69" w:name="study-2"/>
    <w:p>
      <w:pPr>
        <w:pStyle w:val="berschrift1"/>
      </w:pPr>
      <w:r>
        <w:t xml:space="preserve">Study 2</w:t>
      </w:r>
    </w:p>
    <w:p>
      <w:pPr>
        <w:pStyle w:val="FirstParagraph"/>
      </w:pPr>
      <w:r>
        <w:t xml:space="preserve">After Study 1b participants completed the vignette ratings task, we had them complete an exploratory close replication of</w:t>
      </w:r>
      <w:r>
        <w:t xml:space="preserve"> </w:t>
      </w:r>
      <w:r>
        <w:t xml:space="preserve">Coles, Gaertner, et al. (2022)</w:t>
      </w:r>
      <w:r>
        <w:t xml:space="preserve">.</w:t>
      </w:r>
    </w:p>
    <w:bookmarkStart w:id="67" w:name="methodology-2"/>
    <w:p>
      <w:pPr>
        <w:pStyle w:val="berschrift2"/>
      </w:pPr>
      <w:r>
        <w:t xml:space="preserve">Methodology</w:t>
      </w:r>
    </w:p>
    <w:p>
      <w:pPr>
        <w:pStyle w:val="FirstParagraph"/>
      </w:pPr>
      <w:r>
        <w:t xml:space="preserve">After completing the Study 1b ratings, 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 Participants also completed several attention check items that instructed them to a choose a specific response option (e.g.,</w:t>
      </w:r>
      <w:r>
        <w:t xml:space="preserve"> </w:t>
      </w:r>
      <w:r>
        <w:t xml:space="preserve">“</w:t>
      </w:r>
      <w:r>
        <w:t xml:space="preserve">please choose</w:t>
      </w:r>
      <w:r>
        <w:t xml:space="preserve"> </w:t>
      </w:r>
      <w:r>
        <w:t xml:space="preserve">‘</w:t>
      </w:r>
      <w:r>
        <w:t xml:space="preserve">slightly</w:t>
      </w:r>
      <w:r>
        <w:t xml:space="preserve">’</w:t>
      </w:r>
      <w:r>
        <w:t xml:space="preserve"> </w:t>
      </w:r>
      <w:r>
        <w:t xml:space="preserve">as your response to this question</w:t>
      </w:r>
      <w:r>
        <w:t xml:space="preserve">”</w:t>
      </w:r>
      <w:r>
        <w:t xml:space="preserve">). Following</w:t>
      </w:r>
      <w:r>
        <w:t xml:space="preserve"> </w:t>
      </w:r>
      <w:r>
        <w:t xml:space="preserve">Coles, Gaertner, et al. (2022)</w:t>
      </w:r>
      <w:r>
        <w:t xml:space="preserve">, we excluded participants who failed an attention check (final n = 146). We report the two instances where this exclusion rule impacted our results.</w:t>
      </w:r>
    </w:p>
    <w:p>
      <w:pPr>
        <w:pStyle w:val="Textkrper"/>
      </w:pPr>
      <w:r>
        <w:t xml:space="preserve">Using similar items as Study 1b, participants at the end of the study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bookmarkEnd w:id="67"/>
    <w:bookmarkStart w:id="68"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0.36,</w:t>
      </w:r>
      <w:r>
        <w:t xml:space="preserve"> </w:t>
      </w:r>
      <w:r>
        <w:rPr>
          <w:iCs/>
          <w:i/>
        </w:rPr>
        <w:t xml:space="preserve">F</w:t>
      </w:r>
      <w:r>
        <w:t xml:space="preserve">(1, 428.20) = 158.77,</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0.90) vs. nil (</w:t>
      </w:r>
      <w:r>
        <w:rPr>
          <w:iCs/>
          <w:i/>
        </w:rPr>
        <w:t xml:space="preserve">M</w:t>
      </w:r>
      <w:r>
        <w:rPr>
          <w:vertAlign w:val="subscript"/>
          <w:iCs/>
          <w:i/>
        </w:rPr>
        <w:t xml:space="preserve">diff</w:t>
      </w:r>
      <w:r>
        <w:t xml:space="preserve"> </w:t>
      </w:r>
      <w:r>
        <w:t xml:space="preserve">= 0.56) demand conditions,</w:t>
      </w:r>
      <w:r>
        <w:t xml:space="preserve"> </w:t>
      </w:r>
      <w:r>
        <w:rPr>
          <w:iCs/>
          <w:i/>
        </w:rPr>
        <w:t xml:space="preserve">F</w:t>
      </w:r>
      <w:r>
        <w:t xml:space="preserve">(1, 428.20) = 9.06,</w:t>
      </w:r>
      <w:r>
        <w:t xml:space="preserve"> </w:t>
      </w:r>
      <w:r>
        <w:rPr>
          <w:iCs/>
          <w:i/>
        </w:rPr>
        <w:t xml:space="preserve">p =</w:t>
      </w:r>
      <w:r>
        <w:t xml:space="preserve"> </w:t>
      </w:r>
      <w:r>
        <w:t xml:space="preserve">.003.</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The effect of facial poses on happiness tended to be larger amount participants who reported being more motivated to confirm the hypothesis, (</w:t>
      </w:r>
      <m:oMath>
        <m:r>
          <m:t>β</m:t>
        </m:r>
      </m:oMath>
      <w:r>
        <w:t xml:space="preserve"> </w:t>
      </w:r>
      <w:r>
        <w:t xml:space="preserve">= 0.10,</w:t>
      </w:r>
      <w:r>
        <w:t xml:space="preserve"> </w:t>
      </w:r>
      <w:r>
        <w:rPr>
          <w:iCs/>
          <w:i/>
        </w:rPr>
        <w:t xml:space="preserve">t</w:t>
      </w:r>
      <w:r>
        <w:t xml:space="preserve">(431.38) = 3.95,</w:t>
      </w:r>
      <w:r>
        <w:t xml:space="preserve"> </w:t>
      </w:r>
      <w:r>
        <w:rPr>
          <w:iCs/>
          <w:i/>
        </w:rPr>
        <w:t xml:space="preserve">p =</w:t>
      </w:r>
      <w:r>
        <w:t xml:space="preserve"> </w:t>
      </w:r>
      <w:r>
        <w:t xml:space="preserve">&lt; .001. However, this finding was not robust when including participants who failed an attention check, (</w:t>
      </w:r>
      <m:oMath>
        <m:r>
          <m:t>β</m:t>
        </m:r>
      </m:oMath>
      <w:r>
        <w:t xml:space="preserve"> </w:t>
      </w:r>
      <w:r>
        <w:t xml:space="preserve">= 0.10,</w:t>
      </w:r>
      <w:r>
        <w:t xml:space="preserve"> </w:t>
      </w:r>
      <w:r>
        <w:rPr>
          <w:iCs/>
          <w:i/>
        </w:rPr>
        <w:t xml:space="preserve">t</w:t>
      </w:r>
      <w:r>
        <w:t xml:space="preserve">(431.38) = 3.95,</w:t>
      </w:r>
      <w:r>
        <w:t xml:space="preserve"> </w:t>
      </w:r>
      <w:r>
        <w:rPr>
          <w:iCs/>
          <w:i/>
        </w:rPr>
        <w:t xml:space="preserve">p =</w:t>
      </w:r>
      <w:r>
        <w:t xml:space="preserve"> </w:t>
      </w:r>
      <w:r>
        <w:t xml:space="preserve">&lt; .001. Further, we did not find evidence that the effect of facial poses on happiness was moderated by ratings of the perceived opportunity to adjust responses (</w:t>
      </w:r>
      <m:oMath>
        <m:r>
          <m:t>β</m:t>
        </m:r>
      </m:oMath>
      <w:r>
        <w:t xml:space="preserve"> </w:t>
      </w:r>
      <w:r>
        <w:t xml:space="preserve">= 0.03,</w:t>
      </w:r>
      <w:r>
        <w:t xml:space="preserve"> </w:t>
      </w:r>
      <w:r>
        <w:rPr>
          <w:iCs/>
          <w:i/>
        </w:rPr>
        <w:t xml:space="preserve">t</w:t>
      </w:r>
      <w:r>
        <w:t xml:space="preserve">(431.16) = 1.32,</w:t>
      </w:r>
      <w:r>
        <w:t xml:space="preserve"> </w:t>
      </w:r>
      <w:r>
        <w:rPr>
          <w:iCs/>
          <w:i/>
        </w:rPr>
        <w:t xml:space="preserve">p =</w:t>
      </w:r>
      <w:r>
        <w:t xml:space="preserve"> </w:t>
      </w:r>
      <w:r>
        <w:t xml:space="preserve">.187.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 ((</w:t>
      </w:r>
      <m:oMath>
        <m:r>
          <m:t>β</m:t>
        </m:r>
      </m:oMath>
      <w:r>
        <w:t xml:space="preserve"> </w:t>
      </w:r>
      <w:r>
        <w:t xml:space="preserve">= 0.05,</w:t>
      </w:r>
      <w:r>
        <w:t xml:space="preserve"> </w:t>
      </w:r>
      <w:r>
        <w:rPr>
          <w:iCs/>
          <w:i/>
        </w:rPr>
        <w:t xml:space="preserve">t</w:t>
      </w:r>
      <w:r>
        <w:t xml:space="preserve">(431.20) = 2.94,</w:t>
      </w:r>
      <w:r>
        <w:t xml:space="preserve"> </w:t>
      </w:r>
      <w:r>
        <w:rPr>
          <w:iCs/>
          <w:i/>
        </w:rPr>
        <w:t xml:space="preserve">p =</w:t>
      </w:r>
      <w:r>
        <w:t xml:space="preserve"> </w:t>
      </w:r>
      <w:r>
        <w:t xml:space="preserve">.003</w:t>
      </w:r>
    </w:p>
    <w:p>
      <w:pPr>
        <w:pStyle w:val="Textkrper"/>
      </w:pPr>
      <w:r>
        <w:t xml:space="preserve">The previous analyses indicate that participants’ beliefs—and potentially also their motivation to provide hypothesis consistent responses—may moderate facial feedback effects. They do not, however, indicate whether the these factors moderate the effects of</w:t>
      </w:r>
      <w:r>
        <w:t xml:space="preserve"> </w:t>
      </w:r>
      <w:r>
        <w:rPr>
          <w:iCs/>
          <w:i/>
        </w:rPr>
        <w:t xml:space="preserve">demand characteristics</w:t>
      </w:r>
      <w:r>
        <w:t xml:space="preserve">—i.e., whether there is a three way interaction between (1) facial poses, (2) demand characteristics, and (3) ratings of motivation, opportunity, and/or belief. For each of those ratings, we fit separate mixed-effect regressions containing (a) facial pose and demand characteristics as effect-coded factors, (b) the rating entered mean-centered as a continuous variable, (c) all higher-order interactions, and (d) random intercepts for participants. Results indicated that that there a three-way interaction between facial poses, demand characteristics, and participants’ self-reported motivation to provide hypothesis-consistent responses. Specifically, the interaction between facial poses and demand characteristics (</w:t>
      </w:r>
      <m:oMath>
        <m:r>
          <m:t>β</m:t>
        </m:r>
      </m:oMath>
      <w:r>
        <w:t xml:space="preserve"> </w:t>
      </w:r>
      <w:r>
        <w:t xml:space="preserve">= 0.05,</w:t>
      </w:r>
      <w:r>
        <w:t xml:space="preserve"> </w:t>
      </w:r>
      <w:r>
        <w:rPr>
          <w:iCs/>
          <w:i/>
        </w:rPr>
        <w:t xml:space="preserve">t</w:t>
      </w:r>
      <w:r>
        <w:t xml:space="preserve">(430.06) = 1.50,</w:t>
      </w:r>
      <w:r>
        <w:t xml:space="preserve"> </w:t>
      </w:r>
      <w:r>
        <w:rPr>
          <w:iCs/>
          <w:i/>
        </w:rPr>
        <w:t xml:space="preserve">p =</w:t>
      </w:r>
      <w:r>
        <w:t xml:space="preserve"> </w:t>
      </w:r>
      <w:r>
        <w:t xml:space="preserve">.133) tended to be larger among participants who provided higher motivation ratings,</w:t>
      </w:r>
      <w:r>
        <w:t xml:space="preserve"> </w:t>
      </w:r>
      <m:oMath>
        <m:r>
          <m:t>β</m:t>
        </m:r>
      </m:oMath>
      <w:r>
        <w:t xml:space="preserve"> </w:t>
      </w:r>
      <w:r>
        <w:t xml:space="preserve">= 0.07,</w:t>
      </w:r>
      <w:r>
        <w:t xml:space="preserve"> </w:t>
      </w:r>
      <w:r>
        <w:rPr>
          <w:iCs/>
          <w:i/>
        </w:rPr>
        <w:t xml:space="preserve">t</w:t>
      </w:r>
      <w:r>
        <w:t xml:space="preserve">(430.21) = 2.57,</w:t>
      </w:r>
      <w:r>
        <w:t xml:space="preserve"> </w:t>
      </w:r>
      <w:r>
        <w:rPr>
          <w:iCs/>
          <w:i/>
        </w:rPr>
        <w:t xml:space="preserve">p =</w:t>
      </w:r>
      <w:r>
        <w:t xml:space="preserve"> </w:t>
      </w:r>
      <w:r>
        <w:t xml:space="preserve">.010. This three-way interaction, however, was not robust when including participants who failed attention checks,</w:t>
      </w:r>
      <w:r>
        <w:t xml:space="preserve"> </w:t>
      </w:r>
      <m:oMath>
        <m:r>
          <m:t>β</m:t>
        </m:r>
      </m:oMath>
      <w:r>
        <w:t xml:space="preserve"> </w:t>
      </w:r>
      <w:r>
        <w:t xml:space="preserve">= 0.04,</w:t>
      </w:r>
      <w:r>
        <w:t xml:space="preserve"> </w:t>
      </w:r>
      <w:r>
        <w:rPr>
          <w:iCs/>
          <w:i/>
        </w:rPr>
        <w:t xml:space="preserve">t</w:t>
      </w:r>
      <w:r>
        <w:t xml:space="preserve">(584.31) = 1.81,</w:t>
      </w:r>
      <w:r>
        <w:t xml:space="preserve"> </w:t>
      </w:r>
      <w:r>
        <w:rPr>
          <w:iCs/>
          <w:i/>
        </w:rPr>
        <w:t xml:space="preserve">p =</w:t>
      </w:r>
      <w:r>
        <w:t xml:space="preserve"> </w:t>
      </w:r>
      <w:r>
        <w:t xml:space="preserve">.071.</w:t>
      </w:r>
    </w:p>
    <w:p>
      <w:pPr>
        <w:pStyle w:val="Textkrper"/>
      </w:pPr>
      <w:r>
        <w:t xml:space="preserve">We did not find evidence a three-way interaction between facial poses, demand characteristics, and opportunity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(430.13) = -0.09,</w:t>
      </w:r>
      <w:r>
        <w:t xml:space="preserve"> </w:t>
      </w:r>
      <w:r>
        <w:rPr>
          <w:iCs/>
          <w:i/>
        </w:rPr>
        <w:t xml:space="preserve">p =</w:t>
      </w:r>
      <w:r>
        <w:t xml:space="preserve"> </w:t>
      </w:r>
      <w:r>
        <w:t xml:space="preserve">.926.We did, however, find robust evidence of a three-way interaction between facial poses, demand characteristics, and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(430.15) = 2.69,</w:t>
      </w:r>
      <w:r>
        <w:t xml:space="preserve"> </w:t>
      </w:r>
      <w:r>
        <w:rPr>
          <w:iCs/>
          <w:i/>
        </w:rPr>
        <w:t xml:space="preserve">p =</w:t>
      </w:r>
      <w:r>
        <w:t xml:space="preserve"> </w:t>
      </w:r>
      <w:r>
        <w:t xml:space="preserve">.007) tended to be larger among participants with higher belief ratings,</w:t>
      </w:r>
      <w:r>
        <w:t xml:space="preserve"> </w:t>
      </w:r>
      <m:oMath>
        <m:r>
          <m:t>β</m:t>
        </m:r>
      </m:oMath>
      <w:r>
        <w:t xml:space="preserve"> </w:t>
      </w:r>
      <w:r>
        <w:t xml:space="preserve">= 0.07,</w:t>
      </w:r>
      <w:r>
        <w:t xml:space="preserve"> </w:t>
      </w:r>
      <w:r>
        <w:rPr>
          <w:iCs/>
          <w:i/>
        </w:rPr>
        <w:t xml:space="preserve">t</w:t>
      </w:r>
      <w:r>
        <w:t xml:space="preserve">(430.16) = 3.59,</w:t>
      </w:r>
      <w:r>
        <w:t xml:space="preserve"> </w:t>
      </w:r>
      <w:r>
        <w:rPr>
          <w:iCs/>
          <w:i/>
        </w:rPr>
        <w:t xml:space="preserve">p =</w:t>
      </w:r>
      <w:r>
        <w:t xml:space="preserve"> </w:t>
      </w:r>
      <w:r>
        <w:t xml:space="preserve">&lt; .001.</w:t>
      </w:r>
    </w:p>
    <w:p>
      <w:pPr>
        <w:pStyle w:val="Textkrper"/>
      </w:pPr>
      <w:r>
        <w:t xml:space="preserve">To summarize, Study 2 provided mixed evidence of a response bias. We found some evidence that facial feedback and demand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68"/>
    <w:bookmarkEnd w:id="69"/>
    <w:bookmarkStart w:id="72"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-1.48 to</w:t>
      </w:r>
      <w:r>
        <w:t xml:space="preserve"> </w:t>
      </w:r>
      <m:oMath>
        <m:r>
          <m:t>d</m:t>
        </m:r>
      </m:oMath>
      <w:r>
        <w:t xml:space="preserve"> </w:t>
      </w:r>
      <w:r>
        <w:t xml:space="preserve">= 1.93. This range covers the magnitude of almost every conceivable effect in experimental psychology. Thus, in order to distinguish theory-relevant effects from artifactual demand effects, it is essential that experimental psychologists better understand how the latter work.</w:t>
      </w:r>
    </w:p>
    <w:p>
      <w:pPr>
        <w:pStyle w:val="Textkrper"/>
      </w:pPr>
      <w:r>
        <w:t xml:space="preserve">An examination of the evidence we were able to synthesize provides a surprising clue about how demand characteristics bias participant responses. Contrary to virtually every pre-existing theoretical framework, we did not find evidence that demand effects are driven by response bias. More specifically, we did not find that two factors 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evidence that demand characteristics can produce placebo-related shifts in participants’ responses, it would be premature to dismiss other potential mediators (e.g., ones that produce response biases).</w:t>
      </w:r>
    </w:p>
    <w:p>
      <w:pPr>
        <w:pStyle w:val="Textkrper"/>
      </w:pPr>
      <w:r>
        <w:t xml:space="preserve">Additional moderator analyses indicated that some methodological decisions—such as sampling students, running studies in-person, and not offering payment—are associated with increases in hypothesis-consistent responding. However, student status is the only one of those moderators that was robust in sensitivity analyses. We also found that demand characteristics tended to be more impactful when a nil (as opposed to negative or positive) hypothesis is communicated. Surprisingly, we found that participants had little-to-no ability to predict how demand characteristics would impact other participants, although that it is possible that their performance would improve with more information.</w:t>
      </w:r>
    </w:p>
    <w:bookmarkStart w:id="70"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limitations—do not suggest that this is a prominent participant goal. Indeed,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tended to report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m:t>r</m:t>
        </m:r>
      </m:oMath>
      <w:r>
        <w:t xml:space="preserve"> </w:t>
      </w:r>
      <w:r>
        <w:t xml:space="preserve">= 0.52). These results are consistent with a placebo-based account of demand characteristics.</w:t>
      </w:r>
    </w:p>
    <w:p>
      <w:pPr>
        <w:pStyle w:val="Textkrper"/>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Our results are most consistent with a placebo account that has been proposed as an extension—not a replacement—to frameworks that suggests demand characteristics produce response biases. Nonetheless, it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w:t>
      </w:r>
      <w:r>
        <w:t xml:space="preserve"> </w:t>
      </w:r>
      <w:r>
        <w:t xml:space="preserve">(Sedikides &amp; Gebauer, 2010; Vesely &amp; Klöckner, 2020; but see Lanz, Thielmann, &amp; Gerpott, 2022)</w:t>
      </w:r>
      <w:r>
        <w:t xml:space="preserve">. Conversely, there may be some contexts where participants are motivated to help the experimenter confirm their hypothesis—even if they don’t believe the hypothesis or think their response will impact how they’re evaluated. Although our meta-analysis does not provide robust evidence for these mechanisms, we caution against preemptively dismissing their potential impact.</w:t>
      </w:r>
    </w:p>
    <w:bookmarkEnd w:id="70"/>
    <w:bookmarkStart w:id="71"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Indeed, we found very few direct tests of the mechanisms believed to underlie demand effects. Furthermore, our attempts to test these mechanisms through external ratings and a small replication study largely failed to support pre-existing demand characteristic frameworks.</w:t>
      </w:r>
    </w:p>
    <w:p>
      <w:pPr>
        <w:pStyle w:val="Textkrper"/>
      </w:pPr>
      <w:r>
        <w:t xml:space="preserve">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 our meta-analysis and replication study most strongly support</w:t>
      </w:r>
      <w:r>
        <w:t xml:space="preserve"> </w:t>
      </w:r>
      <w:r>
        <w:rPr>
          <w:iCs/>
          <w:i/>
        </w:rPr>
        <w:t xml:space="preserve">participants’</w:t>
      </w:r>
      <w:r>
        <w:t xml:space="preserve"> </w:t>
      </w:r>
      <w:r>
        <w:rPr>
          <w:iCs/>
          <w:i/>
        </w:rPr>
        <w:t xml:space="preserve">beliefs</w:t>
      </w:r>
      <w:r>
        <w:t xml:space="preserve"> </w:t>
      </w:r>
      <w:r>
        <w:t xml:space="preserve">as a driver of demand effects</w:t>
      </w:r>
      <w:r>
        <w:t xml:space="preserve"> </w:t>
      </w:r>
      <w:r>
        <w:t xml:space="preserve">(Coles, Gaertner, et al., 2022; Corneille &amp; Lush, 2022)</w:t>
      </w:r>
      <w:r>
        <w:t xml:space="preserve">.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smaller effects in contexts where participants’ are relatively certain of their pre-existing beliefs.</w:t>
      </w:r>
    </w:p>
    <w:p>
      <w:pPr>
        <w:pStyle w:val="Textkrper"/>
      </w:pPr>
      <w:r>
        <w:t xml:space="preserve">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 Records of unpublished or</w:t>
      </w:r>
      <w:r>
        <w:t xml:space="preserve"> </w:t>
      </w:r>
      <w:r>
        <w:t xml:space="preserve">“</w:t>
      </w:r>
      <w:r>
        <w:t xml:space="preserve">file-drawered</w:t>
      </w:r>
      <w:r>
        <w:t xml:space="preserve">”</w:t>
      </w:r>
      <w:r>
        <w:t xml:space="preserve"> </w:t>
      </w:r>
      <w:r>
        <w:t xml:space="preserve">studies would help our conflicting evidence regarding the existence and impact of publication bias. . Access to open materials would better enable researchers to resolve discrepancies between previous studies through replication efforts</w:t>
      </w:r>
      <w:r>
        <w:t xml:space="preserve"> </w:t>
      </w:r>
      <w:r>
        <w:t xml:space="preserve">(Coles, Tiokhin, Scheel, Isager, &amp; Lakens, 2018; Zwaan, Etz, Lucas, &amp; Donnellan, 2018)</w:t>
      </w:r>
      <w:r>
        <w:t xml:space="preserve">. Last, open data and code would better allow researchers to verify published results, reproduce analytic workflows, and explore new questions through secondary analyses.</w:t>
      </w:r>
    </w:p>
    <w:bookmarkEnd w:id="71"/>
    <w:bookmarkEnd w:id="72"/>
    <w:bookmarkStart w:id="73"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have somewhat unclear mechanisms of action. Contrary to conventional beliefs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measures of potential underlying mechanisms</w:t>
      </w:r>
      <w:r>
        <w:t xml:space="preserve"> </w:t>
      </w:r>
      <w:r>
        <w:t xml:space="preserve">(Flake &amp; Fried, 2020)</w:t>
      </w:r>
      <w:r>
        <w:t xml:space="preserve">.</w:t>
      </w:r>
    </w:p>
    <w:p>
      <w:pPr>
        <w:pStyle w:val="Textkrper"/>
      </w:pPr>
      <w:r>
        <w:t xml:space="preserve">The estimated range of demand effects covers the span of almost every conceivable effect in experimental psychology. After taking stock of what we know about demand characteristics, we think it is</w:t>
      </w:r>
      <w:r>
        <w:t xml:space="preserve"> </w:t>
      </w:r>
      <w:r>
        <w:rPr>
          <w:iCs/>
          <w:i/>
        </w:rPr>
        <w:t xml:space="preserve">reasonable</w:t>
      </w:r>
      <w:r>
        <w:t xml:space="preserve"> </w:t>
      </w:r>
      <w:r>
        <w:t xml:space="preserve">to question whether the potentially valid methods of experimental psychology are distinguishable from the clearly invalid methods of Crankology. Despite our own crankiness, we remain somewhat optimistic—if, that is, researchers will continue to work</w:t>
      </w:r>
    </w:p>
    <w:bookmarkEnd w:id="73"/>
    <w:bookmarkStart w:id="74" w:name="to-do"/>
    <w:p>
      <w:pPr>
        <w:pStyle w:val="berschrift1"/>
      </w:pPr>
      <w:r>
        <w:t xml:space="preserve">To-do</w:t>
      </w:r>
    </w:p>
    <w:p>
      <w:pPr>
        <w:pStyle w:val="FirstParagraph"/>
      </w:pPr>
      <w:r>
        <w:t xml:space="preserve">[] Double check prediction scores.</w:t>
      </w:r>
    </w:p>
    <w:p>
      <w:pPr>
        <w:pStyle w:val="Textkrper"/>
      </w:pPr>
      <w:r>
        <w:t xml:space="preserve">[] Rosnow and Rosenthal were right that there can be counter and regular acquiesence.</w:t>
      </w:r>
    </w:p>
    <w:p>
      <w:pPr>
        <w:pStyle w:val="Textkrper"/>
      </w:pPr>
      <w:r>
        <w:t xml:space="preserve">[] can placebo account for superiority of nil demand manips?</w:t>
      </w:r>
    </w:p>
    <w:p>
      <w:pPr>
        <w:pStyle w:val="Textkrper"/>
      </w:pPr>
      <w:r>
        <w:t xml:space="preserve">[] You need to put parameter estimates into Study 2 and make it clear that it’s very possible that more evidence would have been found with a larger sample</w:t>
      </w:r>
    </w:p>
    <w:p>
      <w:pPr>
        <w:pStyle w:val="Textkrper"/>
      </w:pPr>
      <w:r>
        <w:t xml:space="preserve">[] You need to enable Type 3 SS for Study 2 onward. Also, to correctly interpret the interaction, I’m pretty sure you need to center the continuous variable</w:t>
      </w:r>
    </w:p>
    <w:p>
      <w:pPr>
        <w:pStyle w:val="Textkrper"/>
      </w:pPr>
      <w:r>
        <w:t xml:space="preserve">[] Fix bug that is causing figures to not correctly display</w:t>
      </w:r>
    </w:p>
    <w:p>
      <w:pPr>
        <w:pStyle w:val="Textkrper"/>
      </w:pPr>
      <w:r>
        <w:t xml:space="preserve">[] Look at whether motivation and belief are linked in S2. If not, mention that in the discussion</w:t>
      </w:r>
    </w:p>
    <w:p>
      <w:pPr>
        <w:pStyle w:val="Textkrper"/>
      </w:pPr>
      <w:r>
        <w:t xml:space="preserve">---</w:t>
      </w:r>
    </w:p>
    <w:p>
      <w:pPr>
        <w:pStyle w:val="Textkrper"/>
      </w:pPr>
      <w:r>
        <w:t xml:space="preserve">[] F-value looks off here</w:t>
      </w:r>
      <w:r>
        <w:t xml:space="preserve"> </w:t>
      </w:r>
      <w:r>
        <w:t xml:space="preserve">“</w:t>
      </w:r>
      <w:r>
        <w:t xml:space="preserve">Instances where a demand characteristic condition was compared to a control group allowed us to additional test whether participants respond more strongly to positive, nil, or negative demand characteristics.</w:t>
      </w:r>
      <w:r>
        <w:t xml:space="preserve">”</w:t>
      </w:r>
    </w:p>
    <w:p>
      <w:pPr>
        <w:pStyle w:val="Textkrper"/>
      </w:pPr>
      <w:r>
        <w:t xml:space="preserve">---</w:t>
      </w:r>
    </w:p>
    <w:p>
      <w:pPr>
        <w:pStyle w:val="Textkrper"/>
      </w:pPr>
      <w:r>
        <w:t xml:space="preserve">[] Clean up folder structure</w:t>
      </w:r>
    </w:p>
    <w:p>
      <w:pPr>
        <w:pStyle w:val="Textkrper"/>
      </w:pPr>
      <w:r>
        <w:t xml:space="preserve">[] Codebooks</w:t>
      </w:r>
    </w:p>
    <w:bookmarkEnd w:id="74"/>
    <w:bookmarkStart w:id="123" w:name="references"/>
    <w:p>
      <w:pPr>
        <w:pStyle w:val="berschrift1"/>
      </w:pPr>
      <w:r>
        <w:t xml:space="preserve">References</w:t>
      </w:r>
    </w:p>
    <w:bookmarkStart w:id="122" w:name="refs"/>
    <w:bookmarkStart w:id="75"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5"/>
    <w:bookmarkStart w:id="76"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76"/>
    <w:bookmarkStart w:id="77"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77"/>
    <w:bookmarkStart w:id="78"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78"/>
    <w:bookmarkStart w:id="79"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79"/>
    <w:bookmarkStart w:id="80"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0"/>
    <w:bookmarkStart w:id="81"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1"/>
    <w:bookmarkStart w:id="82"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2"/>
    <w:bookmarkStart w:id="83"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3"/>
    <w:bookmarkStart w:id="84"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4"/>
    <w:bookmarkStart w:id="85"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85"/>
    <w:bookmarkStart w:id="86"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6"/>
    <w:bookmarkStart w:id="87"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87"/>
    <w:bookmarkStart w:id="88"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88"/>
    <w:bookmarkStart w:id="89"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89"/>
    <w:bookmarkStart w:id="90" w:name="ref-flake2020measurement"/>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p>
    <w:bookmarkEnd w:id="90"/>
    <w:bookmarkStart w:id="91"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1"/>
    <w:bookmarkStart w:id="92"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2"/>
    <w:bookmarkStart w:id="93"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3"/>
    <w:bookmarkStart w:id="94"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94"/>
    <w:bookmarkStart w:id="95"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95"/>
    <w:bookmarkStart w:id="96"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96"/>
    <w:bookmarkStart w:id="97"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97"/>
    <w:bookmarkStart w:id="98"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98"/>
    <w:bookmarkStart w:id="99"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99"/>
    <w:bookmarkStart w:id="100"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0"/>
    <w:bookmarkStart w:id="101"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1"/>
    <w:bookmarkStart w:id="102"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2"/>
    <w:bookmarkStart w:id="103"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3"/>
    <w:bookmarkStart w:id="104"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04"/>
    <w:bookmarkStart w:id="105"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05"/>
    <w:bookmarkStart w:id="106"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06"/>
    <w:bookmarkStart w:id="107"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07"/>
    <w:bookmarkStart w:id="108"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08"/>
    <w:bookmarkStart w:id="109"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09"/>
    <w:bookmarkStart w:id="110"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10"/>
    <w:bookmarkStart w:id="111"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1"/>
    <w:bookmarkStart w:id="112"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2"/>
    <w:bookmarkStart w:id="113"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13"/>
    <w:bookmarkStart w:id="114"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14"/>
    <w:bookmarkStart w:id="115"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15"/>
    <w:bookmarkStart w:id="116"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16"/>
    <w:bookmarkStart w:id="117"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17"/>
    <w:bookmarkStart w:id="118"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18"/>
    <w:bookmarkStart w:id="119"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19"/>
    <w:bookmarkStart w:id="120"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0"/>
    <w:bookmarkStart w:id="121"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1"/>
    <w:bookmarkEnd w:id="122"/>
    <w:bookmarkEnd w:id="12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2023-02-20T20:43:42Z</dcterms:created>
  <dcterms:modified xsi:type="dcterms:W3CDTF">2023-02-20T20:43:42Z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