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6.png" ContentType="image/png"/>
  <Override PartName="/word/media/rId69.png" ContentType="image/png"/>
  <Override PartName="/word/media/rId65.png" ContentType="image/png"/>
  <Override PartName="/word/media/rId42.png" ContentType="image/png"/>
  <Override PartName="/word/media/rId56.png" ContentType="image/png"/>
  <Override PartName="/word/media/rId77.png" ContentType="image/png"/>
  <Override PartName="/word/media/rId46.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Public significance statement: A fundamental methodological concern in research with human participants is that their responses are biased by their beliefs about the researcher’s hypothesis (i.e., demand characteristics). In a meta-analysis, we combined evidence from 40 studies that experimentally tested this concern by manipulating the hypothesis communicated to participants. Results suggested that information about the researcher’s hypothesis can produce biases in participants’ responses that can be potentially large – but are troublingly unreliable and difficult to explain.</w:t>
      </w:r>
    </w:p>
    <w:p>
      <w:pPr>
        <w:pStyle w:val="authornote"/>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w:t>
      </w:r>
    </w:p>
    <w:p>
      <w:pPr>
        <w:pStyle w:val="authornote"/>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authornote"/>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experimental tests of demand effects by manipulating the hypothesis communicated to participants. Results indicated that demand characteristics tend to produce small overall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0.31;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1.98 (a massive increase in hypothesis-consistent responding) to</w:t>
      </w:r>
      <w:r>
        <w:t xml:space="preserve"> </w:t>
      </w:r>
      <w:r>
        <w:rPr>
          <w:iCs/>
          <w:i/>
        </w:rPr>
        <w:t xml:space="preserve">d</w:t>
      </w:r>
      <w:r>
        <w:t xml:space="preserve"> </w:t>
      </w:r>
      <w:r>
        <w:t xml:space="preserve">= -1.44 (a massive increase in hypothesis-</w:t>
      </w:r>
      <w:r>
        <w:rPr>
          <w:iCs/>
          <w:i/>
        </w:rPr>
        <w:t xml:space="preserve">in</w:t>
      </w:r>
      <w:r>
        <w:t xml:space="preserve">consistent responding). Contrary to conventional motivation accounts, we did not find evidence that demand effects were driven by participants’ motivation or opportunity to adjust their responses. We did, however, find robust evidence for accounts that emphasize the role of participants’ expectancies about the hypothesized effects. Similar findings emerged in a direct replication of one recent study included in the meta-analysis. Taken together, results underscore the importance – and challenges – of understanding and controlling for demand characteristics in experimental design.</w:t>
      </w:r>
    </w:p>
    <w:p>
      <w:pPr>
        <w:pStyle w:val="Textkrper"/>
      </w:pPr>
      <w:r>
        <w:rPr>
          <w:iCs/>
          <w:i/>
        </w:rPr>
        <w:t xml:space="preserve">Keywords:</w:t>
      </w:r>
      <w:r>
        <w:t xml:space="preserve"> </w:t>
      </w:r>
      <w:r>
        <w:t xml:space="preserve">demand characteristics, expectancies, placebo, confounds,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focused on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direct manipulations of demand characteristics consistently failed to impact participants’ responses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effects are a literal textbook methodological concern in experimental psychology</w:t>
      </w:r>
      <w:r>
        <w:t xml:space="preserve"> </w:t>
      </w:r>
      <w:r>
        <w:t xml:space="preserve">(Sharpe &amp; Whelton, 2016)</w:t>
      </w:r>
      <w:r>
        <w:t xml:space="preserve">, but their magnitude, direction, and consistency remain unclear. In the present paper, we use meta-analysis and replication to take stock of what we know about demand characteristics. We begin by briefly reviewing mechanisms commonly theorized to underlie their effects.</w:t>
      </w:r>
    </w:p>
    <w:bookmarkStart w:id="22"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 A detailed review of such disagreements is outside the scope of our quantitative review</w:t>
      </w:r>
      <w:r>
        <w:t xml:space="preserve"> </w:t>
      </w:r>
      <w:r>
        <w:t xml:space="preserve">(but see Corneille &amp; Lush, 2022 for a comprehensive survey)</w:t>
      </w:r>
      <w:r>
        <w:t xml:space="preserve">. We focus instead on two broad classes of commonly discussed mechanisms: motivations and expectancies.</w:t>
      </w:r>
    </w:p>
    <w:bookmarkEnd w:id="22"/>
    <w:bookmarkStart w:id="24" w:name="motivation-accounts"/>
    <w:p>
      <w:pPr>
        <w:pStyle w:val="berschrift2"/>
      </w:pPr>
      <w:r>
        <w:t xml:space="preserve">Motivation accounts</w:t>
      </w:r>
    </w:p>
    <w:p>
      <w:pPr>
        <w:pStyle w:val="FirstParagraph"/>
      </w:pPr>
      <w:r>
        <w:t xml:space="preserve">Broadly speaking,</w:t>
      </w:r>
      <w:r>
        <w:t xml:space="preserve"> </w:t>
      </w:r>
      <w:r>
        <w:rPr>
          <w:iCs/>
          <w:i/>
        </w:rPr>
        <w:t xml:space="preserve">motivation accounts</w:t>
      </w:r>
      <w:r>
        <w:t xml:space="preserve"> </w:t>
      </w:r>
      <w:r>
        <w:t xml:space="preserve">posit that demand effects are mediated by participants’ motivation (or lack thereof) to provide hypothesis-consistent responses</w:t>
      </w:r>
      <w:r>
        <w:t xml:space="preserve"> </w:t>
      </w:r>
      <w:r>
        <w:t xml:space="preserve">(Rosnow &amp; Aiken, 1973; Strohmetz, 2008)</w:t>
      </w:r>
      <w:r>
        <w:t xml:space="preserve">. One of the most influential motivation accounts of demand characteristics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 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pPr>
        <w:pStyle w:val="Textkrper"/>
      </w:pPr>
      <w:r>
        <w:t xml:space="preserve">If and when participants noticed demand characteristics,</w:t>
      </w:r>
      <w:r>
        <w:t xml:space="preserve"> </w:t>
      </w:r>
      <w:r>
        <w:t xml:space="preserve">Rosnow and Rosenthal (1997)</w:t>
      </w:r>
      <w:r>
        <w:t xml:space="preserve"> </w:t>
      </w:r>
      <w:r>
        <w:t xml:space="preserve">theorized that subsequent changes in participants’ responses would then be driven by their motivation (or lack thereof) to provide hypothesis-consistent responses. Early work on demand characteristics was marked by diebates about whether participants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w:t>
      </w:r>
      <w:r>
        <w:t xml:space="preserve"> </w:t>
      </w:r>
      <w:r>
        <w:t xml:space="preserve">Rosnow and Rosenthal (1997)</w:t>
      </w:r>
      <w:r>
        <w:t xml:space="preserve">, however, advanced these ideas by demonstrating that participants have</w:t>
      </w:r>
      <w:r>
        <w:t xml:space="preserve"> </w:t>
      </w:r>
      <w:r>
        <w:rPr>
          <w:iCs/>
          <w:i/>
        </w:rPr>
        <w:t xml:space="preserve">multiple</w:t>
      </w:r>
      <w:r>
        <w:t xml:space="preserve"> </w:t>
      </w:r>
      <w:r>
        <w:t xml:space="preserve">shifting motivations in mind when they conceptualize their roles as subjects</w:t>
      </w:r>
      <w:r>
        <w:t xml:space="preserve"> </w:t>
      </w:r>
      <w:r>
        <w:t xml:space="preserve">(Rosnow &amp; Rosenthal, 1997)</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w:t>
      </w:r>
      <w:r>
        <w:t xml:space="preserve"> </w:t>
      </w:r>
      <w:r>
        <w:t xml:space="preserve">Rosnow and Rosenthal (1997)</w:t>
      </w:r>
      <w:r>
        <w:t xml:space="preserve">,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If participants are motivated to adjust their response,</w:t>
      </w:r>
      <w:r>
        <w:t xml:space="preserve"> </w:t>
      </w:r>
      <w:r>
        <w:t xml:space="preserve">Rosnow and Rosenthal (1997)</w:t>
      </w:r>
      <w:r>
        <w:t xml:space="preserve"> </w:t>
      </w:r>
      <w:r>
        <w:t xml:space="preserve">theorized that subsequent changes in participants’ responses would then be driven by their ability to alter the outcome of interest. For example, participants can more readily alter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r>
        <w:rPr>
          <w:rStyle w:val="Funotenzeichen"/>
        </w:rPr>
        <w:footnoteReference w:id="23"/>
      </w:r>
      <w:r>
        <w:t xml:space="preserve"> </w:t>
      </w:r>
      <w:r>
        <w:t xml:space="preserve">This influential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expectancies.</w:t>
      </w:r>
    </w:p>
    <w:bookmarkEnd w:id="24"/>
    <w:bookmarkStart w:id="25" w:name="expectancy-accounts"/>
    <w:p>
      <w:pPr>
        <w:pStyle w:val="berschrift2"/>
      </w:pPr>
      <w:r>
        <w:t xml:space="preserve">Expectancy accounts</w:t>
      </w:r>
    </w:p>
    <w:p>
      <w:pPr>
        <w:pStyle w:val="FirstParagraph"/>
      </w:pPr>
      <w:r>
        <w:t xml:space="preserve">Whereas motivation accounts emphasize the role of participants’ motivation to provide hypothesis-consistent responses,</w:t>
      </w:r>
      <w:r>
        <w:t xml:space="preserve"> </w:t>
      </w:r>
      <w:r>
        <w:rPr>
          <w:iCs/>
          <w:i/>
        </w:rPr>
        <w:t xml:space="preserve">expectancy accounts</w:t>
      </w:r>
      <w:r>
        <w:t xml:space="preserve"> </w:t>
      </w:r>
      <w:r>
        <w:t xml:space="preserve">developed in related work on placebo</w:t>
      </w:r>
      <w:r>
        <w:t xml:space="preserve"> </w:t>
      </w:r>
      <w:r>
        <w:t xml:space="preserve">(Stewart-Williams &amp; Podd, 2004)</w:t>
      </w:r>
      <w:r>
        <w:t xml:space="preserve"> </w:t>
      </w:r>
      <w:r>
        <w:t xml:space="preserve">and mindset</w:t>
      </w:r>
      <w:r>
        <w:t xml:space="preserve"> </w:t>
      </w:r>
      <w:r>
        <w:t xml:space="preserve">(Zion &amp; Crum, 2018)</w:t>
      </w:r>
      <w:r>
        <w:t xml:space="preserve"> </w:t>
      </w:r>
      <w:r>
        <w:t xml:space="preserve">effects raise a different possibility: demand effects may be mediated by the extent to which participants expect the hypothesized effect to emerge. As an example of this distinction, imagine that a participant knows that a researcher expects an intervention to boost mood. On one hand, a motivation account might predict that participants will intentionally adjust their mood reports because they are motivated to help the experimenter confirm their hypothesis (an idea sometimes referred to as a</w:t>
      </w:r>
      <w:r>
        <w:t xml:space="preserve"> </w:t>
      </w:r>
      <w:r>
        <w:t xml:space="preserve">“</w:t>
      </w:r>
      <w:r>
        <w:t xml:space="preserve">good subject effect</w:t>
      </w:r>
      <w:r>
        <w:t xml:space="preserve">”</w:t>
      </w:r>
      <w:r>
        <w:t xml:space="preserve">). On the other hand, an expectancy account might predict that participants will unintentionally experience a change in mood due to the activation and/or shaping of expectancies.</w:t>
      </w:r>
    </w:p>
    <w:p>
      <w:pPr>
        <w:pStyle w:val="Textkrper"/>
      </w:pPr>
      <w:r>
        <w:t xml:space="preserve">In a review on placebo effects,</w:t>
      </w:r>
      <w:r>
        <w:t xml:space="preserve"> </w:t>
      </w:r>
      <w:r>
        <w:t xml:space="preserve">Stewart-Williams and Podd (2004)</w:t>
      </w:r>
      <w:r>
        <w:t xml:space="preserve"> </w:t>
      </w:r>
      <w:r>
        <w:t xml:space="preserve">provided a framework that can be extended to demand effects. In this framework, they suggested that placebo effects can be driven both by previously-learned associations (e.g., via classical conditioning) and newly presented information (e.g., demand characteristics). Although</w:t>
      </w:r>
      <w:r>
        <w:t xml:space="preserve"> </w:t>
      </w:r>
      <w:r>
        <w:t xml:space="preserve">Stewart-Williams and Podd (2004)</w:t>
      </w:r>
      <w:r>
        <w:t xml:space="preserve"> </w:t>
      </w:r>
      <w:r>
        <w:t xml:space="preserve">never mentioned demand characteristics, demand effects are conceptually similar to what they describe as</w:t>
      </w:r>
      <w:r>
        <w:t xml:space="preserve"> </w:t>
      </w:r>
      <w:r>
        <w:t xml:space="preserve">“</w:t>
      </w:r>
      <w:r>
        <w:t xml:space="preserve">nonpharmacological placebo effects in humans,</w:t>
      </w:r>
      <w:r>
        <w:t xml:space="preserve">”</w:t>
      </w:r>
      <w:r>
        <w:t xml:space="preserve"> </w:t>
      </w:r>
      <w:r>
        <w:t xml:space="preserve">which they hypothesized are</w:t>
      </w:r>
      <w:r>
        <w:t xml:space="preserve"> </w:t>
      </w:r>
      <w:r>
        <w:t xml:space="preserve">“</w:t>
      </w:r>
      <w:r>
        <w:t xml:space="preserve">mediated entirely by expectancies</w:t>
      </w:r>
      <w:r>
        <w:t xml:space="preserve">”</w:t>
      </w:r>
      <w:r>
        <w:t xml:space="preserve"> </w:t>
      </w:r>
      <w:r>
        <w:t xml:space="preserve">(p. 338).</w:t>
      </w:r>
    </w:p>
    <w:bookmarkEnd w:id="25"/>
    <w:bookmarkStart w:id="30" w:name="hybrid-accounts"/>
    <w:p>
      <w:pPr>
        <w:pStyle w:val="berschrift2"/>
      </w:pPr>
      <w:r>
        <w:t xml:space="preserve">Hybrid accounts</w:t>
      </w:r>
    </w:p>
    <w:p>
      <w:pPr>
        <w:pStyle w:val="FirstParagraph"/>
      </w:pPr>
      <w:r>
        <w:t xml:space="preserve">A third possibility recently discussed by</w:t>
      </w:r>
      <w:r>
        <w:t xml:space="preserve"> </w:t>
      </w:r>
      <w:r>
        <w:t xml:space="preserve">Coles, Gaertner, et al. (2022)</w:t>
      </w:r>
      <w:r>
        <w:t xml:space="preserve"> </w:t>
      </w:r>
      <w:r>
        <w:t xml:space="preserve">is that demand effects are mediated by</w:t>
      </w:r>
      <w:r>
        <w:t xml:space="preserve"> </w:t>
      </w:r>
      <w:r>
        <w:rPr>
          <w:iCs/>
          <w:i/>
        </w:rPr>
        <w:t xml:space="preserve">both</w:t>
      </w:r>
      <w:r>
        <w:t xml:space="preserve"> </w:t>
      </w:r>
      <w:r>
        <w:t xml:space="preserve">motivation- and expectancy-based mechanisms. Consistent with this reasoning,</w:t>
      </w:r>
      <w:r>
        <w:t xml:space="preserve"> </w:t>
      </w:r>
      <w:r>
        <w:t xml:space="preserve">Coles, Gaertner, et al. (2022)</w:t>
      </w:r>
      <w:r>
        <w:t xml:space="preserve"> </w:t>
      </w:r>
      <w:r>
        <w:t xml:space="preserve">found that participants’ expectations about facial feedback effects did not always match the hypothesis communicated in the demand characteristics manipulation; Some participants, for example, said they believed facial feedback effects were real despite being told that the researcher hypothesized the opposite. Furthermore, both the communicated hypothesis and measures of participants’ expectations moderated the effects of posed expressions on emotion. This finding bolsters claims that demand characteristics can impact participants responses via both motivation- and expectancy-based mechanisms, the latter which may operate even when participants have neither the motivation nor the opportunity to adjust their responses.</w:t>
      </w:r>
    </w:p>
    <w:p>
      <w:pPr>
        <w:pStyle w:val="CaptionedFigure"/>
      </w:pPr>
      <w:r>
        <w:drawing>
          <wp:inline>
            <wp:extent cx="5969000" cy="4353858"/>
            <wp:effectExtent b="0" l="0" r="0" t="0"/>
            <wp:docPr descr="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 title="" id="27" name="Picture"/>
            <a:graphic>
              <a:graphicData uri="http://schemas.openxmlformats.org/drawingml/2006/picture">
                <pic:pic>
                  <pic:nvPicPr>
                    <pic:cNvPr descr="images/metaware_framework.png" id="28" name="Picture"/>
                    <pic:cNvPicPr>
                      <a:picLocks noChangeArrowheads="1" noChangeAspect="1"/>
                    </pic:cNvPicPr>
                  </pic:nvPicPr>
                  <pic:blipFill>
                    <a:blip r:embed="rId26"/>
                    <a:stretch>
                      <a:fillRect/>
                    </a:stretch>
                  </pic:blipFill>
                  <pic:spPr bwMode="auto">
                    <a:xfrm>
                      <a:off x="0" y="0"/>
                      <a:ext cx="5969000" cy="4353858"/>
                    </a:xfrm>
                    <a:prstGeom prst="rect">
                      <a:avLst/>
                    </a:prstGeom>
                    <a:noFill/>
                    <a:ln w="9525">
                      <a:noFill/>
                      <a:headEnd/>
                      <a:tailEnd/>
                    </a:ln>
                  </pic:spPr>
                </pic:pic>
              </a:graphicData>
            </a:graphic>
          </wp:inline>
        </w:drawing>
      </w:r>
    </w:p>
    <w:p>
      <w:pPr>
        <w:pStyle w:val="ImageCaption"/>
      </w:pPr>
      <w:bookmarkStart w:id="29" w:name="fig:framework"/>
      <w:bookmarkEnd w:id="29"/>
      <w:r>
        <w:t xml:space="preserve">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w:t>
      </w:r>
    </w:p>
    <w:bookmarkEnd w:id="30"/>
    <w:bookmarkStart w:id="31" w:name="the-current-paper"/>
    <w:p>
      <w:pPr>
        <w:pStyle w:val="berschrift2"/>
      </w:pPr>
      <w:r>
        <w:t xml:space="preserve">The current paper</w:t>
      </w:r>
    </w:p>
    <w:p>
      <w:pPr>
        <w:pStyle w:val="FirstParagraph"/>
      </w:pPr>
      <w:r>
        <w:t xml:space="preserve">The goal of the current paper is to take stock of the literature on demand characteristics: what is the overall expected effect, how reliable is the effect, and what types of study features and psychological processes moderate the effect? In Study 1, we report a meta-analysis of strict experimental tests of the effects of demand characteristics. We then examine several study features (e.g., whether participants are paid) that may moderate these effects. In Study 2, we report an extension of the meta-analysis that examines whether observed effect size variability can be explained by factors commonly discussed in motivation accounts (i.e., motivation and opportunity to adjust responses) and expectancy accounts (i.e., expectations about the hypothesized effect).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pPr>
        <w:pStyle w:val="Textkrper"/>
      </w:pPr>
      <w:r>
        <w:t xml:space="preserve">Although meta-analysis allows us to bring a large body of data to bear on questions about demand characteristics, heterogeneity and an inability to directly measure motivation and expectations in the existing literature limit any conclusions</w:t>
      </w:r>
      <w:r>
        <w:t xml:space="preserve"> </w:t>
      </w:r>
      <w:r>
        <w:t xml:space="preserve">(Simonsohn, Simmons, &amp; Nelson, 2022)</w:t>
      </w:r>
      <w:r>
        <w:t xml:space="preserve">. Thus, in Study 3, we report a replication experiment that re-examines motivation and expectancy accounts. In this replication, we manipulated demand characteristics in an experiment on the effects of facial poses on emotional experience</w:t>
      </w:r>
      <w:r>
        <w:t xml:space="preserve"> </w:t>
      </w:r>
      <w:r>
        <w:t xml:space="preserve">(Coles, Larsen, &amp; Lench, 2019; Coles, March, et al., 2022)</w:t>
      </w:r>
      <w:r>
        <w:t xml:space="preserve">. We then examined the extent to which the effect was moderated by motivation to adjust responses, opportunity to adjust responses, and expectations about the hypothesized effect – allowing us to gather measurements directly related to motivation and expectancy accounts of demand effects.</w:t>
      </w:r>
    </w:p>
    <w:bookmarkEnd w:id="31"/>
    <w:bookmarkStart w:id="63" w:name="study-1"/>
    <w:p>
      <w:pPr>
        <w:pStyle w:val="berschrift1"/>
      </w:pPr>
      <w:r>
        <w:t xml:space="preserve">Study 1</w:t>
      </w:r>
    </w:p>
    <w:p>
      <w:pPr>
        <w:pStyle w:val="FirstParagraph"/>
      </w:pPr>
      <w:r>
        <w:t xml:space="preserve">Study 1 was designed to provide a quantitative synthesis of demand effects via meta-analysis.</w:t>
      </w:r>
    </w:p>
    <w:bookmarkStart w:id="41"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mechanisms (motivation accounts) most</w:t>
      </w:r>
      <w:r>
        <w:t xml:space="preserve"> </w:t>
      </w:r>
      <w:r>
        <w:rPr>
          <w:iCs/>
          <w:i/>
        </w:rPr>
        <w:t xml:space="preserve">conventionally</w:t>
      </w:r>
      <w:r>
        <w:t xml:space="preserve"> </w:t>
      </w:r>
      <w:r>
        <w:t xml:space="preserve">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32"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851 records. We also released a call for unpublished studies on the Society for Personality and Social Psychology Open Forum; Twitter; the Facebook Psychological Methods Discussion group; and the Facebook PsychMAP group. This call yielded 3 additional records. In total, 97 of the records were unpublished.</w:t>
      </w:r>
    </w:p>
    <w:bookmarkEnd w:id="32"/>
    <w:bookmarkStart w:id="34"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criterion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these conditions were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33"/>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34"/>
    <w:bookmarkStart w:id="35"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 In other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5"/>
    <w:bookmarkStart w:id="36"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Participant pool.</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6"/>
    <w:bookmarkStart w:id="39"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with effect sizes weighted based on their inverse-variance. To estimate the overall effect size, we fit an intercept-only 3LMA model. Unless otherwise specified, we conducted moderator analyses by separately entering dummy-coded categorical factors into a new model. Doing so allowed us to avoid issues of collinearity. To test the significance of each moderators, we used model comparison</w:t>
      </w:r>
      <w:r>
        <w:t xml:space="preserve"> </w:t>
      </w:r>
      <w:r>
        <w:rPr>
          <w:iCs/>
          <w:i/>
        </w:rPr>
        <w:t xml:space="preserve">F</w:t>
      </w:r>
      <w:r>
        <w:t xml:space="preserve">-tests. To estimate effect sizes within each subgroup of the moderator, we used model-derived estimates.</w:t>
      </w:r>
    </w:p>
    <w:bookmarkStart w:id="38"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7"/>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moderator allowed us to estimate the difference in the magnitude of published vs. unpublished effects.</w:t>
      </w:r>
    </w:p>
    <w:bookmarkEnd w:id="38"/>
    <w:bookmarkEnd w:id="39"/>
    <w:bookmarkStart w:id="40"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the pre-registration plan and documented amendments. Sample size was determined by the availability of relevant records. All code (including the script used to generate a computationally reproducible manuscript) has been checked for reproducibility. Ethics approval was not requested because no new data were collected.</w:t>
      </w:r>
    </w:p>
    <w:bookmarkEnd w:id="40"/>
    <w:bookmarkEnd w:id="41"/>
    <w:bookmarkStart w:id="61" w:name="results"/>
    <w:p>
      <w:pPr>
        <w:pStyle w:val="berschrift2"/>
      </w:pPr>
      <w:r>
        <w:t xml:space="preserve">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3.89,</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 title="" id="43" name="Picture"/>
            <a:graphic>
              <a:graphicData uri="http://schemas.openxmlformats.org/drawingml/2006/picture">
                <pic:pic>
                  <pic:nvPicPr>
                    <pic:cNvPr descr="metaware_manuscript_files/figure-docx/forest-1.png" id="44" name="Picture"/>
                    <pic:cNvPicPr>
                      <a:picLocks noChangeArrowheads="1" noChangeAspect="1"/>
                    </pic:cNvPicPr>
                  </pic:nvPicPr>
                  <pic:blipFill>
                    <a:blip r:embed="rId42"/>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bookmarkStart w:id="45" w:name="fig:forest"/>
      <w:bookmarkEnd w:id="45"/>
      <w:r>
        <w:t xml:space="preserve">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3LMA assumes that there are</w:t>
      </w:r>
      <w:r>
        <w:t xml:space="preserve"> </w:t>
      </w:r>
      <w:r>
        <w:rPr>
          <w:iCs/>
          <w:i/>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0.31; within-study</w:t>
      </w:r>
      <w:r>
        <w:t xml:space="preserve"> </w:t>
      </w:r>
      <m:oMath>
        <m:r>
          <m:t>σ</m:t>
        </m:r>
      </m:oMath>
      <w:r>
        <w:t xml:space="preserve"> </w:t>
      </w:r>
      <w:r>
        <w:t xml:space="preserve">= 0.20;</w:t>
      </w:r>
      <w:r>
        <w:t xml:space="preserve"> </w:t>
      </w:r>
      <m:oMath>
        <m:r>
          <m:t>Q</m:t>
        </m:r>
      </m:oMath>
      <w:r>
        <w:t xml:space="preserve">(195) = 904.45,</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1.98 — covering the range of most conceivable effects in psychology. As a heuristic, we arbitrarily classified any effect size less than 0.10 standard deviation in either direction as</w:t>
      </w:r>
      <w:r>
        <w:t xml:space="preserve"> </w:t>
      </w:r>
      <w:r>
        <w:t xml:space="preserve">“</w:t>
      </w:r>
      <w:r>
        <w:t xml:space="preserve">negligible</w:t>
      </w:r>
      <w:r>
        <w:t xml:space="preserve">”</w:t>
      </w:r>
      <w:r>
        <w:t xml:space="preserve">. Based on this classification, the recreated distribution suggested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50" w:name="moderator-analyses"/>
    <w:p>
      <w:pPr>
        <w:pStyle w:val="berschrift3"/>
      </w:pPr>
      <w:r>
        <w:t xml:space="preserve">Moderator analyses.</w:t>
      </w:r>
    </w:p>
    <w:p>
      <w:pPr>
        <w:pStyle w:val="CaptionedFigure"/>
      </w:pPr>
      <w:r>
        <w:drawing>
          <wp:inline>
            <wp:extent cx="5963478" cy="3440468"/>
            <wp:effectExtent b="0" l="0" r="0" t="0"/>
            <wp:docPr descr="Figure 3: For each moderator, we fit a separate 3LMA and subsequently derived subgroup mean effect sizes (dots) and their 95% confidence intervals (error bars)." title="" id="47" name="Picture"/>
            <a:graphic>
              <a:graphicData uri="http://schemas.openxmlformats.org/drawingml/2006/picture">
                <pic:pic>
                  <pic:nvPicPr>
                    <pic:cNvPr descr="metaware_manuscript_files/figure-docx/modforest-1.png" id="48" name="Picture"/>
                    <pic:cNvPicPr>
                      <a:picLocks noChangeArrowheads="1" noChangeAspect="1"/>
                    </pic:cNvPicPr>
                  </pic:nvPicPr>
                  <pic:blipFill>
                    <a:blip r:embed="rId46"/>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bookmarkStart w:id="49" w:name="fig:modforest"/>
      <w:bookmarkEnd w:id="49"/>
      <w:r>
        <w:t xml:space="preserve">Figure 3: For each moderator, we fit a separate 3LMA and subsequently derived subgroup mean effect sizes (dots) and their 95% confidence intervals (error bars).</w:t>
      </w:r>
    </w:p>
    <w:p>
      <w:pPr>
        <w:pStyle w:val="Textkrper"/>
      </w:pPr>
      <w:r>
        <w:t xml:space="preserve">When variability in effect sizes exceeds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183) = 3.04,</w:t>
      </w:r>
      <w:r>
        <w:t xml:space="preserve"> </w:t>
      </w:r>
      <m:oMath>
        <m:r>
          <m:t>p</m:t>
        </m:r>
      </m:oMath>
      <w:r>
        <w:t xml:space="preserve"> </w:t>
      </w:r>
      <w:r>
        <w:t xml:space="preserve">= .050. As shown in Figure</w:t>
      </w:r>
      <w:r>
        <w:t xml:space="preserve"> </w:t>
      </w:r>
      <w:r>
        <w:t xml:space="preserve">3</w:t>
      </w:r>
      <w:r>
        <w:t xml:space="preserve">, effects were generally positive and medium-to-large in studies with students (</w:t>
      </w:r>
      <m:oMath>
        <m:r>
          <m:t>d</m:t>
        </m:r>
      </m:oMath>
      <w:r>
        <w:t xml:space="preserve"> </w:t>
      </w:r>
      <w:r>
        <w:t xml:space="preserve">= 0.31, 95% CI [0.18, 0.44],</w:t>
      </w:r>
      <w:r>
        <w:t xml:space="preserve"> </w:t>
      </w:r>
      <m:oMath>
        <m:r>
          <m:t>p</m:t>
        </m:r>
      </m:oMath>
      <w:r>
        <w:t xml:space="preserve"> </w:t>
      </w:r>
      <w:r>
        <w:t xml:space="preserve">&lt; .001), and near-zero in studies with non-students (</w:t>
      </w:r>
      <m:oMath>
        <m:r>
          <m:t>d</m:t>
        </m:r>
      </m:oMath>
      <w:r>
        <w:t xml:space="preserve"> </w:t>
      </w:r>
      <w:r>
        <w:t xml:space="preserve">= 0.04, 95% CI [-0.15, 0.23],</w:t>
      </w:r>
      <w:r>
        <w:t xml:space="preserve"> </w:t>
      </w:r>
      <m:oMath>
        <m:r>
          <m:t>p</m:t>
        </m:r>
      </m:oMath>
      <w:r>
        <w:t xml:space="preserve"> </w:t>
      </w:r>
      <w:r>
        <w:t xml:space="preserve">= .689) or a mix of students and non-students (</w:t>
      </w:r>
      <m:oMath>
        <m:r>
          <m:t>d</m:t>
        </m:r>
      </m:oMath>
      <w:r>
        <w:t xml:space="preserve"> </w:t>
      </w:r>
      <w:r>
        <w:t xml:space="preserve">= 0.04, 95% CI [-0.38, 0.47],</w:t>
      </w:r>
      <w:r>
        <w:t xml:space="preserve"> </w:t>
      </w:r>
      <m:oMath>
        <m:r>
          <m:t>p</m:t>
        </m:r>
      </m:oMath>
      <w:r>
        <w:t xml:space="preserve"> </w:t>
      </w:r>
      <w:r>
        <w:t xml:space="preserve">= .837). The effects of demand characteristics also tended to be slightly more positive for in-person (</w:t>
      </w:r>
      <m:oMath>
        <m:r>
          <m:t>d</m:t>
        </m:r>
      </m:oMath>
      <w:r>
        <w:t xml:space="preserve"> </w:t>
      </w:r>
      <w:r>
        <w:t xml:space="preserve">= 0.29, 95% CI [0.16, 0.42],</w:t>
      </w:r>
      <w:r>
        <w:t xml:space="preserve"> </w:t>
      </w:r>
      <m:oMath>
        <m:r>
          <m:t>p</m:t>
        </m:r>
      </m:oMath>
      <w:r>
        <w:t xml:space="preserve"> </w:t>
      </w:r>
      <w:r>
        <w:t xml:space="preserve">&lt; .001) vs. online (</w:t>
      </w:r>
      <m:oMath>
        <m:r>
          <m:t>d</m:t>
        </m:r>
      </m:oMath>
      <w:r>
        <w:t xml:space="preserve"> </w:t>
      </w:r>
      <w:r>
        <w:t xml:space="preserve">= 0.12, 95% CI [-0.07, 0.31],</w:t>
      </w:r>
      <w:r>
        <w:t xml:space="preserve"> </w:t>
      </w:r>
      <m:oMath>
        <m:r>
          <m:t>p</m:t>
        </m:r>
      </m:oMath>
      <w:r>
        <w:t xml:space="preserve"> </w:t>
      </w:r>
      <w:r>
        <w:t xml:space="preserve">= .211) studies; however, this difference was not significant,</w:t>
      </w:r>
      <w:r>
        <w:t xml:space="preserve"> </w:t>
      </w:r>
      <m:oMath>
        <m:r>
          <m:t>F</m:t>
        </m:r>
      </m:oMath>
      <w:r>
        <w:t xml:space="preserve">(1, 190) = 2.22,</w:t>
      </w:r>
      <w:r>
        <w:t xml:space="preserve"> </w:t>
      </w:r>
      <m:oMath>
        <m:r>
          <m:t>p</m:t>
        </m:r>
      </m:oMath>
      <w:r>
        <w:t xml:space="preserve"> </w:t>
      </w:r>
      <w:r>
        <w:t xml:space="preserve">= .138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0.27],</w:t>
      </w:r>
      <w:r>
        <w:t xml:space="preserve"> </w:t>
      </w:r>
      <m:oMath>
        <m:r>
          <m:t>p</m:t>
        </m:r>
      </m:oMath>
      <w:r>
        <w:t xml:space="preserve"> </w:t>
      </w:r>
      <w:r>
        <w:t xml:space="preserve">= .010),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194) = 19.80,</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132) = 5.52,</w:t>
      </w:r>
      <w:r>
        <w:t xml:space="preserve"> </w:t>
      </w:r>
      <m:oMath>
        <m:r>
          <m:t>p</m:t>
        </m:r>
      </m:oMath>
      <w:r>
        <w:t xml:space="preserve"> </w:t>
      </w:r>
      <w:r>
        <w:t xml:space="preserve">= .005.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0.15, 95% CI [0.01, 0.30],</w:t>
      </w:r>
      <w:r>
        <w:t xml:space="preserve"> </w:t>
      </w:r>
      <m:oMath>
        <m:r>
          <m:t>p</m:t>
        </m:r>
      </m:oMath>
      <w:r>
        <w:t xml:space="preserve"> </w:t>
      </w:r>
      <w:r>
        <w:t xml:space="preserve">= .041). In other words, participants’ responses most strongly shift when researchers communicate that they hypothesize</w:t>
      </w:r>
      <w:r>
        <w:t xml:space="preserve"> </w:t>
      </w:r>
      <w:r>
        <w:rPr>
          <w:iCs/>
          <w:i/>
        </w:rPr>
        <w:t xml:space="preserve">no</w:t>
      </w:r>
      <w:r>
        <w:t xml:space="preserve"> </w:t>
      </w:r>
      <w:r>
        <w:t xml:space="preserve">change in response</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.435),</w:t>
      </w:r>
      <w:r>
        <w:t xml:space="preserve"> </w:t>
      </w:r>
      <m:oMath>
        <m:r>
          <m:t>F</m:t>
        </m:r>
      </m:oMath>
      <w:r>
        <w:t xml:space="preserve">(1, 194)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depending on whether participants were unpaid (</w:t>
      </w:r>
      <m:oMath>
        <m:r>
          <m:t>d</m:t>
        </m:r>
      </m:oMath>
      <w:r>
        <w:t xml:space="preserve"> </w:t>
      </w:r>
      <w:r>
        <w:t xml:space="preserve">= 0.22, 95% CI [0.10, 0.34],</w:t>
      </w:r>
      <w:r>
        <w:t xml:space="preserve"> </w:t>
      </w:r>
      <m:oMath>
        <m:r>
          <m:t>p</m:t>
        </m:r>
      </m:oMath>
      <w:r>
        <w:t xml:space="preserve"> </w:t>
      </w:r>
      <w:r>
        <w:t xml:space="preserve">&lt; .001) vs. paid (</w:t>
      </w:r>
      <m:oMath>
        <m:r>
          <m:t>d</m:t>
        </m:r>
      </m:oMath>
      <w:r>
        <w:t xml:space="preserve"> </w:t>
      </w:r>
      <w:r>
        <w:t xml:space="preserve">= 0.16, 95% CI [-0.02, 0.33],</w:t>
      </w:r>
      <w:r>
        <w:t xml:space="preserve"> </w:t>
      </w:r>
      <m:oMath>
        <m:r>
          <m:t>p</m:t>
        </m:r>
      </m:oMath>
      <w:r>
        <w:t xml:space="preserve"> </w:t>
      </w:r>
      <w:r>
        <w:t xml:space="preserve">= .085),</w:t>
      </w:r>
      <w:r>
        <w:t xml:space="preserve"> </w:t>
      </w:r>
      <m:oMath>
        <m:r>
          <m:t>F</m:t>
        </m:r>
      </m:oMath>
      <w:r>
        <w:t xml:space="preserve">(1, 193) = 0.33,</w:t>
      </w:r>
      <w:r>
        <w:t xml:space="preserve"> </w:t>
      </w:r>
      <m:oMath>
        <m:r>
          <m:t>p</m:t>
        </m:r>
      </m:oMath>
      <w:r>
        <w:t xml:space="preserve"> </w:t>
      </w:r>
      <w:r>
        <w:t xml:space="preserve">= .565 (Figure</w:t>
      </w:r>
      <w:r>
        <w:t xml:space="preserve"> </w:t>
      </w:r>
      <w:r>
        <w:t xml:space="preserve">3</w:t>
      </w:r>
      <w:r>
        <w:t xml:space="preserve">).</w:t>
      </w:r>
    </w:p>
    <w:bookmarkEnd w:id="50"/>
    <w:bookmarkStart w:id="55"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52" name="Picture"/>
            <a:graphic>
              <a:graphicData uri="http://schemas.openxmlformats.org/drawingml/2006/picture">
                <pic:pic>
                  <pic:nvPicPr>
                    <pic:cNvPr descr="metaware_manuscript_files/figure-docx/predplot-1.png" id="53" name="Picture"/>
                    <pic:cNvPicPr>
                      <a:picLocks noChangeArrowheads="1" noChangeAspect="1"/>
                    </pic:cNvPicPr>
                  </pic:nvPicPr>
                  <pic:blipFill>
                    <a:blip r:embed="rId51"/>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bookmarkStart w:id="54" w:name="fig:predplot"/>
      <w:bookmarkEnd w:id="54"/>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openly-available data allow researchers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produce, on average, a small increase in hypothesis-consistent responding,</w:t>
      </w:r>
      <w:r>
        <w:t xml:space="preserve"> </w:t>
      </w:r>
      <m:oMath>
        <m:r>
          <m:t>d</m:t>
        </m:r>
      </m:oMath>
      <w:r>
        <w:t xml:space="preserve"> </w:t>
      </w:r>
      <w:r>
        <w:t xml:space="preserve">= 0.19, 95% CI [0.05, 0.33,</w:t>
      </w:r>
      <w:r>
        <w:t xml:space="preserve"> </w:t>
      </w:r>
      <m:oMath>
        <m:r>
          <m:t>p</m:t>
        </m:r>
      </m:oMath>
      <w:r>
        <w:t xml:space="preserve"> </w:t>
      </w:r>
      <w:r>
        <w:t xml:space="preserve">= .008]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0.03, 95% CI [-0.14, 0.20],</w:t>
      </w:r>
      <w:r>
        <w:t xml:space="preserve"> </w:t>
      </w:r>
      <m:oMath>
        <m:r>
          <m:t>p</m:t>
        </m:r>
      </m:oMath>
      <w:r>
        <w:t xml:space="preserve"> </w:t>
      </w:r>
      <w:r>
        <w:t xml:space="preserve">= 0.71 (Figure</w:t>
      </w:r>
      <w:r>
        <w:t xml:space="preserve"> </w:t>
      </w:r>
      <w:r>
        <w:t xml:space="preserve">4</w:t>
      </w:r>
      <w:r>
        <w:t xml:space="preserve">).</w:t>
      </w:r>
    </w:p>
    <w:bookmarkEnd w:id="55"/>
    <w:bookmarkStart w:id="60"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w:t>
      </w:r>
      <w:r>
        <w:t xml:space="preserve"> </w:t>
      </w:r>
      <m:oMath>
        <m:r>
          <m:t>β</m:t>
        </m:r>
      </m:oMath>
      <w:r>
        <w:t xml:space="preserve"> </w:t>
      </w:r>
      <w:r>
        <w:t xml:space="preserve">= 0.53, 95% CI [-0.20, 1.26],</w:t>
      </w:r>
      <w:r>
        <w:t xml:space="preserve"> </w:t>
      </w:r>
      <m:oMath>
        <m:r>
          <m:t>p</m:t>
        </m:r>
      </m:oMath>
      <w:r>
        <w:t xml:space="preserve"> </w:t>
      </w:r>
      <w:r>
        <w:t xml:space="preserve">= .153. The bias-corrected overall effect size estimate did not significantly differ from zero,</w:t>
      </w:r>
      <w:r>
        <w:t xml:space="preserve"> </w:t>
      </w:r>
      <m:oMath>
        <m:r>
          <m:t>d</m:t>
        </m:r>
      </m:oMath>
      <w:r>
        <w:t xml:space="preserve"> </w:t>
      </w:r>
      <w:r>
        <w:t xml:space="preserve">= 0.09, 95% CI [-0.12, 0.30],</w:t>
      </w:r>
      <w:r>
        <w:t xml:space="preserve"> </w:t>
      </w:r>
      <m:oMath>
        <m:r>
          <m:t>p</m:t>
        </m:r>
      </m:oMath>
      <w:r>
        <w:t xml:space="preserve"> </w:t>
      </w:r>
      <w:r>
        <w:t xml:space="preserve">= .385.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-0.35, 95% CI [-1.39, 0.69],</w:t>
      </w:r>
      <w:r>
        <w:t xml:space="preserve"> </w:t>
      </w:r>
      <m:oMath>
        <m:r>
          <m:t>p</m:t>
        </m:r>
      </m:oMath>
      <w:r>
        <w:t xml:space="preserve"> </w:t>
      </w:r>
      <w:r>
        <w:t xml:space="preserve">= .506. The bias-corrected overall effect size estimate was virtually unchanged,</w:t>
      </w:r>
      <w:r>
        <w:t xml:space="preserve"> </w:t>
      </w:r>
      <m:oMath>
        <m:r>
          <m:t>d</m:t>
        </m:r>
      </m:oMath>
      <w:r>
        <w:t xml:space="preserve"> </w:t>
      </w:r>
      <w:r>
        <w:t xml:space="preserve">= 0.23, 95% CI [0.02, 0.45],</w:t>
      </w:r>
      <w:r>
        <w:t xml:space="preserve"> </w:t>
      </w:r>
      <m:oMath>
        <m:r>
          <m:t>p</m:t>
        </m:r>
      </m:oMath>
      <w:r>
        <w:t xml:space="preserve"> </w:t>
      </w:r>
      <w:r>
        <w:t xml:space="preserve">= .035. In other words, depending on how dependencies were handled, precision-effect tests yielded opposite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.051) and published (</w:t>
      </w:r>
      <m:oMath>
        <m:r>
          <m:t>d</m:t>
        </m:r>
      </m:oMath>
      <w:r>
        <w:t xml:space="preserve"> </w:t>
      </w:r>
      <w:r>
        <w:t xml:space="preserve">= 0.21, 95% CI [0.09, 0.32],</w:t>
      </w:r>
      <w:r>
        <w:t xml:space="preserve"> </w:t>
      </w:r>
      <m:oMath>
        <m:r>
          <m:t>p</m:t>
        </m:r>
      </m:oMath>
      <w:r>
        <w:t xml:space="preserve"> </w:t>
      </w:r>
      <w:r>
        <w:t xml:space="preserve">= &lt; .001) studies yielded a similar pattern, although the difference was not significant,</w:t>
      </w:r>
      <w:r>
        <w:t xml:space="preserve"> </w:t>
      </w:r>
      <m:oMath>
        <m:r>
          <m:t>F</m:t>
        </m:r>
      </m:oMath>
      <w:r>
        <w:t xml:space="preserve">(1, 194) = 1.08,</w:t>
      </w:r>
      <w:r>
        <w:t xml:space="preserve"> </w:t>
      </w:r>
      <m:oMath>
        <m:r>
          <m:t>p</m:t>
        </m:r>
      </m:oMath>
      <w:r>
        <w:t xml:space="preserve"> </w:t>
      </w:r>
      <w:r>
        <w:t xml:space="preserve">= .299.</w:t>
      </w:r>
    </w:p>
    <w:p>
      <w:pPr>
        <w:pStyle w:val="CaptionedFigure"/>
      </w:pPr>
      <w:r>
        <w:drawing>
          <wp:inline>
            <wp:extent cx="5963478" cy="3440468"/>
            <wp:effectExtent b="0" l="0" r="0" t="0"/>
            <wp:docPr descr="Figure 5: Raw (Panel A) or aggregated (Panel B) effect sizes plotted against their corresponding standard errors." title="" id="57" name="Picture"/>
            <a:graphic>
              <a:graphicData uri="http://schemas.openxmlformats.org/drawingml/2006/picture">
                <pic:pic>
                  <pic:nvPicPr>
                    <pic:cNvPr descr="metaware_manuscript_files/figure-docx/funnel-1.png" id="58" name="Picture"/>
                    <pic:cNvPicPr>
                      <a:picLocks noChangeArrowheads="1" noChangeAspect="1"/>
                    </pic:cNvPicPr>
                  </pic:nvPicPr>
                  <pic:blipFill>
                    <a:blip r:embed="rId56"/>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bookmarkStart w:id="59" w:name="fig:funnel"/>
      <w:bookmarkEnd w:id="59"/>
      <w:r>
        <w:t xml:space="preserve">Figure 5: Raw (Panel A) or aggregated (Panel B) effect sizes plotted against their corresponding standard errors.</w:t>
      </w:r>
    </w:p>
    <w:bookmarkEnd w:id="60"/>
    <w:bookmarkEnd w:id="61"/>
    <w:bookmarkStart w:id="62"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the true distribution of demand effects, which suggested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two study features that were associated with more hypothesis-consistent shifts in responses: (1) sampling student populations, and (2) communicating that the researchers hypothesizes there will be</w:t>
      </w:r>
      <w:r>
        <w:t xml:space="preserve"> </w:t>
      </w:r>
      <w:r>
        <w:rPr>
          <w:iCs/>
          <w:i/>
        </w:rPr>
        <w:t xml:space="preserve">no</w:t>
      </w:r>
      <w:r>
        <w:t xml:space="preserve"> </w:t>
      </w:r>
      <w:r>
        <w:t xml:space="preserve">shift in responses (i.e., using nil demand manipulations).</w:t>
      </w:r>
    </w:p>
    <w:p>
      <w:pPr>
        <w:pStyle w:val="Textkrper"/>
      </w:pPr>
      <w:r>
        <w:t xml:space="preserve">More practically,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examine mechanisms often discussed in motivation and expectancy accounts of demand characteristics. For example, consider our finding that demand characteristics tend to produce more hypothesis-consistent shifts in responses when students (vs. workers) are sampled. If this is true, it may occur because students are more motivated to help the experimenter confirm their hypothesis (motivation account). Alternatively, it may occur because students are more likely to</w:t>
      </w:r>
      <w:r>
        <w:t xml:space="preserve"> </w:t>
      </w:r>
      <w:r>
        <w:rPr>
          <w:iCs/>
          <w:i/>
        </w:rPr>
        <w:t xml:space="preserve">believe</w:t>
      </w:r>
      <w:r>
        <w:t xml:space="preserve"> </w:t>
      </w:r>
      <w:r>
        <w:t xml:space="preserve">the communicated hypothesis (expectancy account).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62"/>
    <w:bookmarkEnd w:id="63"/>
    <w:bookmarkStart w:id="84" w:name="study-2"/>
    <w:p>
      <w:pPr>
        <w:pStyle w:val="berschrift1"/>
      </w:pPr>
      <w:r>
        <w:t xml:space="preserve">Study 2</w:t>
      </w:r>
    </w:p>
    <w:p>
      <w:pPr>
        <w:pStyle w:val="FirstParagraph"/>
      </w:pPr>
      <w:r>
        <w:t xml:space="preserve">Study 2 was designed to examine whether observed variability in effect sizes can be explained by mechanisms often discussed in motivation accounts (i.e., motivation and opportunity to adjust responses) and expectancy accounts (i.e., expectations about the hypothesized effect;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them separately into new meta-regression models. Also through meta-regression, we examined whether this new set of raters could retroactively predict the effects of the demand characteristic manipulations in the Study 1 meta-analysis.</w:t>
      </w:r>
    </w:p>
    <w:bookmarkStart w:id="76" w:name="methodology-1"/>
    <w:p>
      <w:pPr>
        <w:pStyle w:val="berschrift2"/>
      </w:pPr>
      <w:r>
        <w:t xml:space="preserve">Methodology</w:t>
      </w:r>
    </w:p>
    <w:p>
      <w:pPr>
        <w:pStyle w:val="FirstParagraph"/>
      </w:pPr>
      <w:r>
        <w:t xml:space="preserve">For each study in the meta-analysis</w:t>
      </w:r>
      <w:r>
        <w:rPr>
          <w:rStyle w:val="Funotenzeichen"/>
        </w:rPr>
        <w:footnoteReference w:id="64"/>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66" name="Picture"/>
            <a:graphic>
              <a:graphicData uri="http://schemas.openxmlformats.org/drawingml/2006/picture">
                <pic:pic>
                  <pic:nvPicPr>
                    <pic:cNvPr descr="images/metaware_vigs.png" id="67" name="Picture"/>
                    <pic:cNvPicPr>
                      <a:picLocks noChangeArrowheads="1" noChangeAspect="1"/>
                    </pic:cNvPicPr>
                  </pic:nvPicPr>
                  <pic:blipFill>
                    <a:blip r:embed="rId65"/>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bookmarkStart w:id="68" w:name="fig:vig"/>
      <w:bookmarkEnd w:id="68"/>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expect the hypothesized effect to occur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bookmarkStart w:id="73"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Column 2). Summing motivation scores allowed us to accommodate this possibility, and we used the same approach for opportunity and expectation ratings.</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p>
      <w:pPr>
        <w:pStyle w:val="CaptionedFigure"/>
      </w:pPr>
      <w:r>
        <w:drawing>
          <wp:inline>
            <wp:extent cx="2649239" cy="2025888"/>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Separate examples are provided for scenarios where motivation is invariant (Column 1) and variant (Column 2) across demand characteristic manipulations." title="" id="70" name="Picture"/>
            <a:graphic>
              <a:graphicData uri="http://schemas.openxmlformats.org/drawingml/2006/picture">
                <pic:pic>
                  <pic:nvPicPr>
                    <pic:cNvPr descr="images/metaware_mods.png" id="71" name="Picture"/>
                    <pic:cNvPicPr>
                      <a:picLocks noChangeArrowheads="1" noChangeAspect="1"/>
                    </pic:cNvPicPr>
                  </pic:nvPicPr>
                  <pic:blipFill>
                    <a:blip r:embed="rId69"/>
                    <a:stretch>
                      <a:fillRect/>
                    </a:stretch>
                  </pic:blipFill>
                  <pic:spPr bwMode="auto">
                    <a:xfrm>
                      <a:off x="0" y="0"/>
                      <a:ext cx="2649239" cy="2025888"/>
                    </a:xfrm>
                    <a:prstGeom prst="rect">
                      <a:avLst/>
                    </a:prstGeom>
                    <a:noFill/>
                    <a:ln w="9525">
                      <a:noFill/>
                      <a:headEnd/>
                      <a:tailEnd/>
                    </a:ln>
                  </pic:spPr>
                </pic:pic>
              </a:graphicData>
            </a:graphic>
          </wp:inline>
        </w:drawing>
      </w:r>
    </w:p>
    <w:p>
      <w:pPr>
        <w:pStyle w:val="ImageCaption"/>
      </w:pPr>
      <w:bookmarkStart w:id="72" w:name="fig:mods"/>
      <w:bookmarkEnd w:id="72"/>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Separate examples are provided for scenarios where motivation is invariant (Column 1) and variant (Column 2) across demand characteristic manipulations.</w:t>
      </w:r>
    </w:p>
    <w:bookmarkEnd w:id="73"/>
    <w:bookmarkStart w:id="74"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74"/>
    <w:bookmarkStart w:id="75"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5"/>
    <w:bookmarkEnd w:id="76"/>
    <w:bookmarkStart w:id="82"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 title="" id="78" name="Picture"/>
            <a:graphic>
              <a:graphicData uri="http://schemas.openxmlformats.org/drawingml/2006/picture">
                <pic:pic>
                  <pic:nvPicPr>
                    <pic:cNvPr descr="metaware_manuscript_files/figure-docx/modfig-1.png" id="79" name="Picture"/>
                    <pic:cNvPicPr>
                      <a:picLocks noChangeArrowheads="1" noChangeAspect="1"/>
                    </pic:cNvPicPr>
                  </pic:nvPicPr>
                  <pic:blipFill>
                    <a:blip r:embed="rId77"/>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bookmarkStart w:id="80" w:name="fig:modfig"/>
      <w:bookmarkEnd w:id="80"/>
      <w:r>
        <w:t xml:space="preserve">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We did not find that raters’ predictions were significantly associated with observed demand effects,</w:t>
      </w:r>
      <w:r>
        <w:t xml:space="preserve"> </w:t>
      </w:r>
      <m:oMath>
        <m:r>
          <m:t>β</m:t>
        </m:r>
      </m:oMath>
      <w:r>
        <w:t xml:space="preserve"> </w:t>
      </w:r>
      <w:r>
        <w:t xml:space="preserve">= 0.08, 95% CI [-0.02, 0.18],</w:t>
      </w:r>
      <w:r>
        <w:t xml:space="preserve"> </w:t>
      </w:r>
      <m:oMath>
        <m:r>
          <m:t>t</m:t>
        </m:r>
      </m:oMath>
      <w:r>
        <w:t xml:space="preserve">(151) = 1.54,</w:t>
      </w:r>
      <w:r>
        <w:t xml:space="preserve"> </w:t>
      </w:r>
      <m:oMath>
        <m:r>
          <m:t>p</m:t>
        </m:r>
      </m:oMath>
      <w:r>
        <w:t xml:space="preserve"> </w:t>
      </w:r>
      <w:r>
        <w:t xml:space="preserve">= .125 (Figure</w:t>
      </w:r>
      <w:r>
        <w:t xml:space="preserve"> </w:t>
      </w:r>
      <w:r>
        <w:t xml:space="preserve">8</w:t>
      </w:r>
      <w:r>
        <w:t xml:space="preserve">, Panel D). In other words, in the absence of theory, it is challenging to predict the impact of demand characteristics. Thus, we next turned our attention to the motivation and expectancy accounts.</w:t>
      </w:r>
    </w:p>
    <w:p>
      <w:pPr>
        <w:pStyle w:val="Textkrper"/>
      </w:pPr>
      <w:r>
        <w:t xml:space="preserve">Inconsistent with motivation accounts, we did not find that demand effects were moderated by ratings of motivation,</w:t>
      </w:r>
      <w:r>
        <w:t xml:space="preserve"> </w:t>
      </w:r>
      <m:oMath>
        <m:r>
          <m:t>β</m:t>
        </m:r>
      </m:oMath>
      <w:r>
        <w:t xml:space="preserve"> </w:t>
      </w:r>
      <w:r>
        <w:t xml:space="preserve">= 0.03, 95% CI [-0.08, 0.14],</w:t>
      </w:r>
      <w:r>
        <w:t xml:space="preserve"> </w:t>
      </w:r>
      <m:oMath>
        <m:r>
          <m:t>t</m:t>
        </m:r>
      </m:oMath>
      <w:r>
        <w:t xml:space="preserve">(151) = 0.54,</w:t>
      </w:r>
      <w:r>
        <w:t xml:space="preserve"> </w:t>
      </w:r>
      <m:oMath>
        <m:r>
          <m:t>p</m:t>
        </m:r>
      </m:oMath>
      <w:r>
        <w:t xml:space="preserve"> </w:t>
      </w:r>
      <w:r>
        <w:t xml:space="preserve">= .589, or opportunity to adjust responses,</w:t>
      </w:r>
      <w:r>
        <w:t xml:space="preserve"> </w:t>
      </w:r>
      <m:oMath>
        <m:r>
          <m:t>β</m:t>
        </m:r>
      </m:oMath>
      <w:r>
        <w:t xml:space="preserve"> </w:t>
      </w:r>
      <w:r>
        <w:t xml:space="preserve">= 0.02, 95% CI [-0.04, 0.09],</w:t>
      </w:r>
      <w:r>
        <w:t xml:space="preserve"> </w:t>
      </w:r>
      <m:oMath>
        <m:r>
          <m:t>t</m:t>
        </m:r>
      </m:oMath>
      <w:r>
        <w:t xml:space="preserve">(151) = 0.76,</w:t>
      </w:r>
      <w:r>
        <w:t xml:space="preserve"> </w:t>
      </w:r>
      <m:oMath>
        <m:r>
          <m:t>p</m:t>
        </m:r>
      </m:oMath>
      <w:r>
        <w:t xml:space="preserve"> </w:t>
      </w:r>
      <w:r>
        <w:t xml:space="preserve">= .451 (Figure</w:t>
      </w:r>
      <w:r>
        <w:t xml:space="preserve"> </w:t>
      </w:r>
      <w:r>
        <w:t xml:space="preserve">8</w:t>
      </w:r>
      <w:r>
        <w:t xml:space="preserve">, Panels A and B). However, consistent with expectancy accounts, demand effects were positively associated with expectations about whether the hypothesized effect will occur,</w:t>
      </w:r>
      <w:r>
        <w:t xml:space="preserve"> </w:t>
      </w:r>
      <m:oMath>
        <m:r>
          <m:t>β</m:t>
        </m:r>
      </m:oMath>
      <w:r>
        <w:t xml:space="preserve"> </w:t>
      </w:r>
      <w:r>
        <w:t xml:space="preserve">= 0.12, 95% CI [0.03, 0.21],</w:t>
      </w:r>
      <w:r>
        <w:t xml:space="preserve"> </w:t>
      </w:r>
      <m:oMath>
        <m:r>
          <m:t>t</m:t>
        </m:r>
      </m:oMath>
      <w:r>
        <w:t xml:space="preserve">(151) = 2.52,</w:t>
      </w:r>
      <w:r>
        <w:t xml:space="preserve"> </w:t>
      </w:r>
      <m:oMath>
        <m:r>
          <m:t>p</m:t>
        </m:r>
      </m:oMath>
      <w:r>
        <w:t xml:space="preserve"> </w:t>
      </w:r>
      <w:r>
        <w:t xml:space="preserve">= .013 (Figure</w:t>
      </w:r>
      <w:r>
        <w:t xml:space="preserve"> </w:t>
      </w:r>
      <w:r>
        <w:t xml:space="preserve">8</w:t>
      </w:r>
      <w:r>
        <w:t xml:space="preserve">, Panel C).</w:t>
      </w:r>
    </w:p>
    <w:p>
      <w:pPr>
        <w:pStyle w:val="Textkrper"/>
      </w:pPr>
      <w:r>
        <w:t xml:space="preserve">The above results provide evidence of an association between demand effects and expectancies – but fails to provide evidence of an association with motivation. However, follow-up exploratory analyses did not indicate that expectancies are a significantly</w:t>
      </w:r>
      <w:r>
        <w:t xml:space="preserve"> </w:t>
      </w:r>
      <w:r>
        <w:rPr>
          <w:iCs/>
          <w:i/>
        </w:rPr>
        <w:t xml:space="preserve">stronger</w:t>
      </w:r>
      <w:r>
        <w:t xml:space="preserve"> </w:t>
      </w:r>
      <w:r>
        <w:t xml:space="preserve">predictor of demand effects. To examine this, we fit a 3LMA with (1) the type of mechanism (i.e., motivation or belief) entered as a factor, (2) the value of the mechanism (e.g., motivation or belief ratings), and (3) their higher-order interaction. Results did not indicate that the two-way interaction was significant,</w:t>
      </w:r>
      <w:r>
        <w:t xml:space="preserve"> </w:t>
      </w:r>
      <w:r>
        <w:rPr>
          <w:iCs/>
          <w:i/>
        </w:rPr>
        <w:t xml:space="preserve">t</w:t>
      </w:r>
      <w:r>
        <w:t xml:space="preserve">(302) = -0.26,</w:t>
      </w:r>
      <w:r>
        <w:t xml:space="preserve"> </w:t>
      </w:r>
      <m:oMath>
        <m:r>
          <m:t>p</m:t>
        </m:r>
      </m:oMath>
      <w:r>
        <w:t xml:space="preserve"> </w:t>
      </w:r>
      <w:r>
        <w:t xml:space="preserve">= .798. In other words, the difference in significance was not itself statistically significant</w:t>
      </w:r>
      <w:r>
        <w:t xml:space="preserve"> </w:t>
      </w:r>
      <w:r>
        <w:t xml:space="preserve">(Gelman &amp; Stern, 2006)</w:t>
      </w:r>
      <w:r>
        <w:t xml:space="preserve">.</w:t>
      </w:r>
    </w:p>
    <w:bookmarkStart w:id="81" w:name="residual-variability"/>
    <w:p>
      <w:pPr>
        <w:pStyle w:val="berschrift3"/>
      </w:pPr>
      <w:r>
        <w:t xml:space="preserve">Residual variability.</w:t>
      </w:r>
    </w:p>
    <w:p>
      <w:pPr>
        <w:pStyle w:val="FirstParagraph"/>
      </w:pPr>
      <w:r>
        <w:t xml:space="preserve">To evaluate how much variability in demand effects is currently accounted for by the moderators examined in Studies 1 and 2,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(1) a model containing Study 1 moderators (type of demand characteristics manipulation, participant pool, setting, study design, and payment), (2) a model containing Study 2 moderators (motivation, opportunity, and expectations), and (3) a model containing both Study 1 and 2 moderators. To ensure comparability, all models included the same set of observations (e.g., any incomplete observations were removed). Results indicated that the Study 1 and 2 moderators respectively accounted for 29.60% and 6.98% of observed variability in demand effects. This might suggest that study features are more powerful predictors of demand effects than the theorized underlying psychological mechanisms; however, we caution against such interpretations given the imperfect ad-hoc measurement of motivations and expectations.</w:t>
      </w:r>
    </w:p>
    <w:p>
      <w:pPr>
        <w:pStyle w:val="Textkrper"/>
      </w:pPr>
      <w:r>
        <w:t xml:space="preserve">Including all moderators increased the pseudo-</w:t>
      </w:r>
      <m:oMath>
        <m:sSup>
          <m:e>
            <m:r>
              <m:t>R</m:t>
            </m:r>
          </m:e>
          <m:sup>
            <m:r>
              <m:t>2</m:t>
            </m:r>
          </m:sup>
        </m:sSup>
      </m:oMath>
      <w:r>
        <w:t xml:space="preserve"> </w:t>
      </w:r>
      <w:r>
        <w:t xml:space="preserve">to 34.99%, indicating that the majority of observed variability in demand effects is still unaccounted.</w:t>
      </w:r>
    </w:p>
    <w:bookmarkEnd w:id="81"/>
    <w:bookmarkEnd w:id="82"/>
    <w:bookmarkStart w:id="83" w:name="discussion-1"/>
    <w:p>
      <w:pPr>
        <w:pStyle w:val="berschrift2"/>
      </w:pPr>
      <w:r>
        <w:t xml:space="preserve">Discussion</w:t>
      </w:r>
    </w:p>
    <w:p>
      <w:pPr>
        <w:pStyle w:val="FirstParagraph"/>
      </w:pPr>
      <w:r>
        <w:t xml:space="preserve">Contrary to a motivation account of demand characteristics</w:t>
      </w:r>
      <w:r>
        <w:t xml:space="preserve"> </w:t>
      </w:r>
      <w:r>
        <w:t xml:space="preserve">(e.g., Rosnow &amp; Rosenthal, 1997)</w:t>
      </w:r>
      <w:r>
        <w:t xml:space="preserve">, we did not find evidence that demand effects are moderated by ratings of participants’ motivation and opportunity to adjust responses. However, consistent with an expectancy account, we did find that such effects are moderated by participants’ expectations about the hypothesized effect. The difference in significance was not itself statistically significant, bt hte pattern of results was subsequently replicated in Study 3 (described below).</w:t>
      </w:r>
    </w:p>
    <w:p>
      <w:pPr>
        <w:pStyle w:val="Textkrper"/>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expectation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 two aforementioned limitations via a different strategy, we re-examined the mechanisms underlying demand effects in a small exploratory replication of an experiment in the meta-analysis.</w:t>
      </w:r>
    </w:p>
    <w:bookmarkEnd w:id="83"/>
    <w:bookmarkEnd w:id="84"/>
    <w:bookmarkStart w:id="88"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was randomized.</w:t>
      </w:r>
    </w:p>
    <w:bookmarkStart w:id="86"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expected facial feedback effects to emerge.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85"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85"/>
    <w:bookmarkEnd w:id="86"/>
    <w:bookmarkStart w:id="87"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Also replicating</w:t>
      </w:r>
      <w:r>
        <w:t xml:space="preserve"> </w:t>
      </w:r>
      <w:r>
        <w:t xml:space="preserve">Coles, Gaertner, et al. (2022)</w:t>
      </w:r>
      <w:r>
        <w:t xml:space="preserv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&lt; .001.</w:t>
      </w:r>
    </w:p>
    <w:p>
      <w:pPr>
        <w:pStyle w:val="Textkrper"/>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estimated moderating relationship was not statistically significant,</w:t>
      </w:r>
      <w:r>
        <w:t xml:space="preserve"> </w:t>
      </w:r>
      <w:r>
        <w:rPr>
          <w:iCs/>
          <w:i/>
        </w:rPr>
        <w:t xml:space="preserve">t</w:t>
      </w:r>
      <w:r>
        <w:t xml:space="preserve">(472.40) = 1.86,</w:t>
      </w:r>
      <w:r>
        <w:t xml:space="preserve"> </w:t>
      </w:r>
      <w:r>
        <w:rPr>
          <w:iCs/>
          <w:i/>
        </w:rPr>
        <w:t xml:space="preserve">p</w:t>
      </w:r>
      <w:r>
        <w:t xml:space="preserve"> </w:t>
      </w:r>
      <w:r>
        <w:t xml:space="preserve">= .063, and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expectancy effects in facial feedback research</w:t>
      </w:r>
      <w:r>
        <w:t xml:space="preserve"> </w:t>
      </w:r>
      <w:r>
        <w:t xml:space="preserve">(Coles, Gaertner, et al., 2022; Coles, March, et al., 2022)</w:t>
      </w:r>
      <w:r>
        <w:t xml:space="preserve">, the effect of facial poses tended to be larger among participants who expected the effect to emerge,</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evidence of a three-way interaction involving expectations about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who expected facial feedback effects to occur,</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support for a motivation account of demand effects.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support for an expectancy account: facial feedback and demand effects were moderated by expectations about the communicated hypothesis.</w:t>
      </w:r>
    </w:p>
    <w:bookmarkEnd w:id="87"/>
    <w:bookmarkEnd w:id="88"/>
    <w:bookmarkStart w:id="89" w:name="general-discussion"/>
    <w:p>
      <w:pPr>
        <w:pStyle w:val="berschrift1"/>
      </w:pPr>
      <w:r>
        <w:t xml:space="preserve">General Discussion</w:t>
      </w:r>
    </w:p>
    <w:p>
      <w:pPr>
        <w:pStyle w:val="FirstParagraph"/>
      </w:pPr>
      <w:r>
        <w:t xml:space="preserve">Demand characteristics are a puzzling methodological artifact in experimental psychology. Using meta-analysis and a replication of a recent study, we sought to consolidate knowledge about the magnitude, reliability, and mechanisms underlying these effects. The meta-analysis revealed that demand characteristics typically led participants to slightly shift their responses in the direction of the communicated hypothesis. However, publication bias analyses were inconclusive, and the estimated effects were heterogeneous. This heterogeneity led us to estimate the true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estimated distribution of demand effects ranges from approximately</w:t>
      </w:r>
      <w:r>
        <w:t xml:space="preserve"> </w:t>
      </w:r>
      <m:oMath>
        <m:r>
          <m:t>d</m:t>
        </m:r>
      </m:oMath>
      <w:r>
        <w:t xml:space="preserve"> </w:t>
      </w:r>
      <w:r>
        <w:t xml:space="preserve">= -1.44 to</w:t>
      </w:r>
      <w:r>
        <w:t xml:space="preserve"> </w:t>
      </w:r>
      <m:oMath>
        <m:r>
          <m:t>d</m:t>
        </m:r>
      </m:oMath>
      <w:r>
        <w:t xml:space="preserve"> </w:t>
      </w:r>
      <w:r>
        <w:t xml:space="preserve">= 1.98 – remarkable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w:t>
      </w:r>
      <w:r>
        <w:t xml:space="preserve"> </w:t>
      </w:r>
      <w:r>
        <w:t xml:space="preserve">(Boot, Simons, Stothart, &amp; Stutts, 2013; Corneille &amp; Lush, 2022; Sharpe &amp; Whelton, 2016)</w:t>
      </w:r>
      <w:r>
        <w:t xml:space="preserve">.</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factors – such as student samples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motivation accounts are popular in in the demand characteristics literature</w:t>
      </w:r>
      <w:r>
        <w:t xml:space="preserve"> </w:t>
      </w:r>
      <w:r>
        <w:t xml:space="preserve">(Cook et al., 1970; Orne, 1962; Riecken, 1962; Rosenberg, 1969; Rosnow &amp; Rosenthal, 1997; Sigall et al., 1970)</w:t>
      </w:r>
      <w:r>
        <w:t xml:space="preserve">, we found little support for this view. In the Study 2 meta-analysis, we did not find that external ratings of two factors oft-discussed in motivation accounts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expectancy accounts,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expectations.</w:t>
      </w:r>
    </w:p>
    <w:p>
      <w:pPr>
        <w:pStyle w:val="Textkrper"/>
      </w:pPr>
      <w:r>
        <w:t xml:space="preserve">Expectancy effects can certainly be reduced – but it is not clear if they can be fully avoided</w:t>
      </w:r>
      <w:r>
        <w:t xml:space="preserve"> </w:t>
      </w:r>
      <w:r>
        <w:t xml:space="preserve">(Boot et al., 2013)</w:t>
      </w:r>
      <w:r>
        <w:t xml:space="preserve">. Indeed, participants possess a rich array of pre-existing expectations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Similar observations have been made elsewhere, for example in literature examining the effects of videogame training on cognitive tasks</w:t>
      </w:r>
      <w:r>
        <w:t xml:space="preserve"> </w:t>
      </w:r>
      <w:r>
        <w:t xml:space="preserve">(Boot et al., 2013)</w:t>
      </w:r>
      <w:r>
        <w:t xml:space="preserve">.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many psychologists study</w:t>
      </w:r>
      <w:r>
        <w:t xml:space="preserve"> </w:t>
      </w:r>
      <w:r>
        <w:t xml:space="preserve">(Lovakov &amp; Agadullina, 2021)</w:t>
      </w:r>
      <w:r>
        <w:t xml:space="preserve">. These demand effects appear to be most reliably predicted by participant expectations about the hypothesized effects (i.e., expectancy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artifacts</w:t>
      </w:r>
      <w:r>
        <w:t xml:space="preserve"> </w:t>
      </w:r>
      <w:r>
        <w:t xml:space="preserve">(Boot et al., 2013; Corneille &amp; Lush, 2022)</w:t>
      </w:r>
      <w:r>
        <w:t xml:space="preserve">.</w:t>
      </w:r>
    </w:p>
    <w:bookmarkEnd w:id="89"/>
    <w:bookmarkStart w:id="142" w:name="references"/>
    <w:p>
      <w:pPr>
        <w:pStyle w:val="berschrift1"/>
      </w:pPr>
      <w:r>
        <w:t xml:space="preserve">References</w:t>
      </w:r>
    </w:p>
    <w:bookmarkStart w:id="141" w:name="refs"/>
    <w:bookmarkStart w:id="90"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90"/>
    <w:bookmarkStart w:id="91"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p>
    <w:bookmarkEnd w:id="91"/>
    <w:bookmarkStart w:id="92"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92"/>
    <w:bookmarkStart w:id="93"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93"/>
    <w:bookmarkStart w:id="94"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94"/>
    <w:bookmarkStart w:id="96"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95">
        <w:r>
          <w:rPr>
            <w:rStyle w:val="Hyperlink"/>
          </w:rPr>
          <w:t xml:space="preserve">https://CRAN.R-project.org/package=weightr</w:t>
        </w:r>
      </w:hyperlink>
    </w:p>
    <w:bookmarkEnd w:id="96"/>
    <w:bookmarkStart w:id="97"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97"/>
    <w:bookmarkStart w:id="98"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98"/>
    <w:bookmarkStart w:id="99"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99"/>
    <w:bookmarkStart w:id="100"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100"/>
    <w:bookmarkStart w:id="101"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101"/>
    <w:bookmarkStart w:id="102"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102"/>
    <w:bookmarkStart w:id="103"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103"/>
    <w:bookmarkStart w:id="104"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104"/>
    <w:bookmarkStart w:id="105"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105"/>
    <w:bookmarkStart w:id="106"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106"/>
    <w:bookmarkStart w:id="107" w:name="ref-gelman2006difference"/>
    <w:p>
      <w:pPr>
        <w:pStyle w:val="Literaturverzeichnis"/>
      </w:pPr>
      <w:r>
        <w:t xml:space="preserve">Gelman, A., &amp; Stern, H. (2006). The difference between" significant" and" not significant" is not itself statistically significant.</w:t>
      </w:r>
      <w:r>
        <w:t xml:space="preserve"> </w:t>
      </w:r>
      <w:r>
        <w:rPr>
          <w:iCs/>
          <w:i/>
        </w:rPr>
        <w:t xml:space="preserve">The American Statistician</w:t>
      </w:r>
      <w:r>
        <w:t xml:space="preserve">, 328–331.</w:t>
      </w:r>
    </w:p>
    <w:bookmarkEnd w:id="107"/>
    <w:bookmarkStart w:id="108"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108"/>
    <w:bookmarkStart w:id="109"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109"/>
    <w:bookmarkStart w:id="110"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110"/>
    <w:bookmarkStart w:id="111"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11"/>
    <w:bookmarkStart w:id="112"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12"/>
    <w:bookmarkStart w:id="113" w:name="ref-larsen2011further"/>
    <w:p>
      <w:pPr>
        <w:pStyle w:val="Literaturverzeichnis"/>
      </w:pPr>
      <w:r>
        <w:t xml:space="preserve">Larsen, J. T., &amp; McGraw, A. P. (2011). Further evidence for mixed emotions.</w:t>
      </w:r>
      <w:r>
        <w:t xml:space="preserve"> </w:t>
      </w:r>
      <w:r>
        <w:rPr>
          <w:iCs/>
          <w:i/>
        </w:rPr>
        <w:t xml:space="preserve">Journal of Personality and Social Psychology</w:t>
      </w:r>
      <w:r>
        <w:t xml:space="preserve">,</w:t>
      </w:r>
      <w:r>
        <w:t xml:space="preserve"> </w:t>
      </w:r>
      <w:r>
        <w:rPr>
          <w:iCs/>
          <w:i/>
        </w:rPr>
        <w:t xml:space="preserve">100</w:t>
      </w:r>
      <w:r>
        <w:t xml:space="preserve">(6), 1095–1110.</w:t>
      </w:r>
    </w:p>
    <w:bookmarkEnd w:id="113"/>
    <w:bookmarkStart w:id="115"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14">
        <w:r>
          <w:rPr>
            <w:rStyle w:val="Hyperlink"/>
          </w:rPr>
          <w:t xml:space="preserve">https://CRAN.R-project.org/package=emmeans</w:t>
        </w:r>
      </w:hyperlink>
    </w:p>
    <w:bookmarkEnd w:id="115"/>
    <w:bookmarkStart w:id="116"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16"/>
    <w:bookmarkStart w:id="117"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17"/>
    <w:bookmarkStart w:id="118"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18"/>
    <w:bookmarkStart w:id="119"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19"/>
    <w:bookmarkStart w:id="120"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20"/>
    <w:bookmarkStart w:id="121"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21"/>
    <w:bookmarkStart w:id="123"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22">
        <w:r>
          <w:rPr>
            <w:rStyle w:val="Hyperlink"/>
          </w:rPr>
          <w:t xml:space="preserve">https://www.R-project.org/</w:t>
        </w:r>
      </w:hyperlink>
    </w:p>
    <w:bookmarkEnd w:id="123"/>
    <w:bookmarkStart w:id="124"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24"/>
    <w:bookmarkStart w:id="125"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25"/>
    <w:bookmarkStart w:id="126"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26"/>
    <w:bookmarkStart w:id="127"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27"/>
    <w:bookmarkStart w:id="128"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28"/>
    <w:bookmarkStart w:id="129"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29"/>
    <w:bookmarkStart w:id="130"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30"/>
    <w:bookmarkStart w:id="131"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31"/>
    <w:bookmarkStart w:id="132" w:name="ref-simonsohn2022above"/>
    <w:p>
      <w:pPr>
        <w:pStyle w:val="Literaturverzeichnis"/>
      </w:pPr>
      <w:r>
        <w:t xml:space="preserve">Simonsohn, U., Simmons, J., &amp; Nelson, L. D. (2022). Above averaging in literature reviews.</w:t>
      </w:r>
      <w:r>
        <w:t xml:space="preserve"> </w:t>
      </w:r>
      <w:r>
        <w:rPr>
          <w:iCs/>
          <w:i/>
        </w:rPr>
        <w:t xml:space="preserve">Nature Reviews Psychology</w:t>
      </w:r>
      <w:r>
        <w:t xml:space="preserve">,</w:t>
      </w:r>
      <w:r>
        <w:t xml:space="preserve"> </w:t>
      </w:r>
      <w:r>
        <w:rPr>
          <w:iCs/>
          <w:i/>
        </w:rPr>
        <w:t xml:space="preserve">1</w:t>
      </w:r>
      <w:r>
        <w:t xml:space="preserve">(10), 551–552.</w:t>
      </w:r>
    </w:p>
    <w:bookmarkEnd w:id="132"/>
    <w:bookmarkStart w:id="133"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33"/>
    <w:bookmarkStart w:id="134"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34"/>
    <w:bookmarkStart w:id="135"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35"/>
    <w:bookmarkStart w:id="136"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36"/>
    <w:bookmarkStart w:id="137"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37"/>
    <w:bookmarkStart w:id="138"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w:t>
      </w:r>
    </w:p>
    <w:bookmarkEnd w:id="138"/>
    <w:bookmarkStart w:id="139"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39"/>
    <w:bookmarkStart w:id="140"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40"/>
    <w:bookmarkEnd w:id="141"/>
    <w:bookmarkEnd w:id="142"/>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unotentext"/>
      </w:pPr>
      <w:r>
        <w:rPr>
          <w:rStyle w:val="Funotenzeichen"/>
        </w:rPr>
        <w:footnoteRef/>
      </w:r>
      <w:r>
        <w:t xml:space="preserve"> </w:t>
      </w:r>
      <w:r>
        <w:t xml:space="preserve">Although outside the scope of our review, it is worth noting that some theorists believe that motivation-based mechanisms can produce demand effects even when participants do not have the opportunity to adjust their responses. For example,</w:t>
      </w:r>
      <w:r>
        <w:t xml:space="preserve"> </w:t>
      </w:r>
      <w:r>
        <w:t xml:space="preserve">Corneille and Lush (2022)</w:t>
      </w:r>
      <w:r>
        <w:t xml:space="preserve"> </w:t>
      </w:r>
      <w:r>
        <w:t xml:space="preserve">suggested that motivated participants can exhibit motivation-driven changes in responses by imagining the hypothesized effect. They also raise the possibility that participants can sometimes be unaware that they produced the effect via imagination, an idea referred to as phenomenological control.</w:t>
      </w:r>
    </w:p>
  </w:footnote>
  <w:footnote w:id="33">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7">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 w:id="64">
    <w:p>
      <w:pPr>
        <w:pStyle w:val="Funotentext"/>
      </w:pPr>
      <w:r>
        <w:rPr>
          <w:rStyle w:val="Funotenzeichen"/>
        </w:rPr>
        <w:footnoteRef/>
      </w:r>
      <w:r>
        <w:t xml:space="preserve"> </w:t>
      </w:r>
      <w:r>
        <w:t xml:space="preserve">For Study 2, we did not create a vignette for</w:t>
      </w:r>
      <w:r>
        <w:t xml:space="preserve"> </w:t>
      </w:r>
      <w:r>
        <w:t xml:space="preserve">Larsen and McGraw (2011)</w:t>
      </w:r>
      <w:r>
        <w:t xml:space="preserve"> </w:t>
      </w:r>
      <w:r>
        <w:t xml:space="preserve">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DEMAND CHARACTERISTICS QUANTITATIVE REVIEW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DEMAND CHARACTERISTICS QUANTITATIVE REVIEW</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6" Target="media/rId26.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114" Target="https://CRAN.R-project.org/package=emmeans" TargetMode="External" /><Relationship Type="http://schemas.openxmlformats.org/officeDocument/2006/relationships/hyperlink" Id="rId95" Target="https://CRAN.R-project.org/package=weightr" TargetMode="External" /><Relationship Type="http://schemas.openxmlformats.org/officeDocument/2006/relationships/hyperlink" Id="rId20" Target="https://osf.io/3hkre/" TargetMode="External" /><Relationship Type="http://schemas.openxmlformats.org/officeDocument/2006/relationships/hyperlink" Id="rId122"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14" Target="https://CRAN.R-project.org/package=emmeans" TargetMode="External" /><Relationship Type="http://schemas.openxmlformats.org/officeDocument/2006/relationships/hyperlink" Id="rId95" Target="https://CRAN.R-project.org/package=weightr" TargetMode="External" /><Relationship Type="http://schemas.openxmlformats.org/officeDocument/2006/relationships/hyperlink" Id="rId20" Target="https://osf.io/3hkre/" TargetMode="External" /><Relationship Type="http://schemas.openxmlformats.org/officeDocument/2006/relationships/hyperlink" Id="rId122"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2024-01-19T17:44:08Z</dcterms:created>
  <dcterms:modified xsi:type="dcterms:W3CDTF">2024-01-19T17:44:08Z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Public significance statement: A fundamental methodological concern in research with human participants is that their responses are biased by their beliefs about the researcher’s hypothesis (i.e., demand characteristics). In a meta-analysis, we combined evidence from 40 studies that experimentally tested this concern by manipulating the hypothesis communicated to participants. Results suggested that information about the researcher’s hypothesis can produce biases in participants’ responses that can be potentially large – but are troublingly unreliable and difficult to explain.All materials, data, code, and pre-registrations (for Studies 1 and 2) are openly available at https://osf.io/3hkre/.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