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60.png" ContentType="image/png"/>
  <Override PartName="/word/media/rId57.png" ContentType="image/png"/>
  <Override PartName="/word/media/rId38.png" ContentType="image/png"/>
  <Override PartName="/word/media/rId50.png" ContentType="image/png"/>
  <Override PartName="/word/media/rId67.png" ContentType="image/png"/>
  <Override PartName="/word/media/rId41.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2</w:t>
      </w:r>
    </w:p>
    <w:p>
      <w:pPr>
        <w:pStyle w:val="Author"/>
      </w:pPr>
      <w:r>
        <w:rPr>
          <w:vertAlign w:val="superscript"/>
        </w:rPr>
        <w:t xml:space="preserve">1</w:t>
      </w:r>
      <w:r>
        <w:t xml:space="preserve"> </w:t>
      </w:r>
      <w:r>
        <w:t xml:space="preserve">Center for the Study of Language and Information, Stanford University</w:t>
      </w:r>
    </w:p>
    <w:p>
      <w:pPr>
        <w:pStyle w:val="Author"/>
      </w:pPr>
      <w:r>
        <w:rPr>
          <w:vertAlign w:val="superscript"/>
        </w:rPr>
        <w:t xml:space="preserve">2</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code, and pre-registrations (for Studies 1 and 2) are available at</w:t>
      </w:r>
      <w:r>
        <w:t xml:space="preserve"> </w:t>
      </w:r>
      <w:hyperlink r:id="rId20">
        <w:r>
          <w:rPr>
            <w:rStyle w:val="Hyperlink"/>
          </w:rPr>
          <w:t xml:space="preserve">http://github.com/ColesNicholas/metaware</w:t>
        </w:r>
      </w:hyperlink>
      <w:r>
        <w:t xml:space="preserve">. We thank Morgan H. Wyatt for his assistance on the project. This work was supported by the John Templeton Foundation (grant # 62295). The funder had no role in the preparation of the manuscript or decision to publish.</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Demand characteristics tended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1.91 (a large increase in hypothesis-consistent responding) to</w:t>
      </w:r>
      <w:r>
        <w:t xml:space="preserve"> </w:t>
      </w:r>
      <w:r>
        <w:rPr>
          <w:iCs/>
          <w:i/>
        </w:rPr>
        <w:t xml:space="preserve">d</w:t>
      </w:r>
      <w:r>
        <w:t xml:space="preserve"> </w:t>
      </w:r>
      <w:r>
        <w:t xml:space="preserve">= -1.67 (a large increase in hypothesis-</w:t>
      </w:r>
      <w:r>
        <w:rPr>
          <w:iCs/>
          <w:i/>
        </w:rPr>
        <w:t xml:space="preserve">in</w:t>
      </w:r>
      <w:r>
        <w:t xml:space="preserve">consistent responding). Contra prior predictions, we did not find evidence that demand effects were driven participants’ motivation and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in experimental work.</w:t>
      </w:r>
    </w:p>
    <w:p>
      <w:pPr>
        <w:pStyle w:val="Textkrper"/>
      </w:pPr>
      <w:r>
        <w:rPr>
          <w:iCs/>
          <w:i/>
        </w:rPr>
        <w:t xml:space="preserve">Keywords:</w:t>
      </w:r>
      <w:r>
        <w:t xml:space="preserve"> </w:t>
      </w:r>
      <w:r>
        <w:t xml:space="preserve">demand characteristics, hypothesis awareness, placebo effect, research methods, meta-analysis</w:t>
      </w:r>
    </w:p>
    <w:p>
      <w:pPr>
        <w:pStyle w:val="h1-pagebreak"/>
      </w:pPr>
      <w:r>
        <w:t xml:space="preserve">A quantitative review of demand characteristics and their underlying mechanisms</w:t>
      </w:r>
    </w:p>
    <w:p>
      <w:pPr>
        <w:pStyle w:val="Textkrper"/>
      </w:pPr>
      <w:r>
        <w:t xml:space="preserve">Imagine that a mysterious person approaches you and begins telling you about a new method for understanding humans. They explain that this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but they don’t understand how it works. Sometimes the artifact seems to matter, other times it doesn’t – and its underlying mechanisms are poorly understood. If this scenario were real, it seems like this concern would call the whole method into question. However, perhaps experimental psychologists should not be so quick to judge because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not</w:t>
      </w:r>
      <w:r>
        <w:t xml:space="preserve"> </w:t>
      </w:r>
      <w:r>
        <w:t xml:space="preserve">passive responders to the experimental context (a common assumption in the early history of experimental psychology). Instead, he suggested that participants are perceptive to demand characteristics –</w:t>
      </w:r>
      <w:r>
        <w:t xml:space="preserve"> </w:t>
      </w:r>
      <w:r>
        <w:t xml:space="preserve">“</w:t>
      </w:r>
      <w:r>
        <w:t xml:space="preserve">cues which convey an experimental hypothesis</w:t>
      </w:r>
      <w:r>
        <w:t xml:space="preserve">”</w:t>
      </w:r>
      <w:r>
        <w:t xml:space="preserve"> </w:t>
      </w:r>
      <w:r>
        <w:t xml:space="preserve">– 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have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 – such as patients exhibiting sham symptoms of hypnosis</w:t>
      </w:r>
      <w:r>
        <w:t xml:space="preserve"> </w:t>
      </w:r>
      <w:r>
        <w:t xml:space="preserve">(Orne, 1959)</w:t>
      </w:r>
      <w:r>
        <w:t xml:space="preserve">. But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However, demand characteristics do not always matter. For example, manipulations of the communicated hypothesis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above. They are a fundamental methodological concern, but their magnitude, direction, and consistency remain unclear. In the present paper, we use meta-analysis and replication to try and shed light on these issues. We begin by reviewing literature on the mechanisms theorized to underlie the effects of demand characteristics.</w:t>
      </w:r>
    </w:p>
    <w:bookmarkStart w:id="25" w:name="Xa0d64ece604650f58e403bddeb4af76aa562f5e"/>
    <w:p>
      <w:pPr>
        <w:pStyle w:val="berschrift2"/>
      </w:pPr>
      <w:r>
        <w:t xml:space="preserve">How do demand characteristics alter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pPr>
        <w:pStyle w:val="Textkrper"/>
      </w:pPr>
      <w:r>
        <w:t xml:space="preserve">We begin by discussing an influential model of response bias</w:t>
      </w:r>
      <w:r>
        <w:t xml:space="preserve"> </w:t>
      </w:r>
      <w:r>
        <w:t xml:space="preserve">(Rosnow &amp; Rosenthal, 1997)</w:t>
      </w:r>
      <w:r>
        <w:t xml:space="preserve">, and we then review recent proposals to include placebo effects as secondary mechanisms</w:t>
      </w:r>
      <w:r>
        <w:t xml:space="preserve"> </w:t>
      </w:r>
      <w:r>
        <w:t xml:space="preserve">Corneille &amp; Lush (2022)</w:t>
      </w:r>
      <w:r>
        <w:t xml:space="preserve">. A comprehensive framework containing both sets of mechanisms is shown in Figure</w:t>
      </w:r>
      <w:r>
        <w:t xml:space="preserve"> </w:t>
      </w:r>
      <w:r>
        <w:t xml:space="preserve">1</w:t>
      </w:r>
      <w:r>
        <w:t xml:space="preserve">.</w:t>
      </w:r>
    </w:p>
    <w:p>
      <w:pPr>
        <w:pStyle w:val="Textkrper"/>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pPr>
        <w:pStyle w:val="Textkrper"/>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Response biases are theorized to be driven by participants’ motivation (or lack thereof) to provide hypothesis-consistent responses. Early research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attempt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affect which of these goals are most salient. For example, participants increase performance on simple tasks when told that this is the experimenter’s expectation but not in contexts where the experimenter indicates that increased performance will be indicate of an obsessive-compulsive personality</w:t>
      </w:r>
      <w:r>
        <w:t xml:space="preserve"> </w:t>
      </w:r>
      <w:r>
        <w:t xml:space="preserve">(Sigall et al., 1970)</w:t>
      </w:r>
      <w:r>
        <w:t xml:space="preserve">.</w:t>
      </w:r>
    </w:p>
    <w:p>
      <w:pPr>
        <w:pStyle w:val="Textkrper"/>
      </w:pPr>
      <w:r>
        <w:t xml:space="preserve">Synthesizing the above observations and reasoning,</w:t>
      </w:r>
      <w:r>
        <w:t xml:space="preserve"> </w:t>
      </w:r>
      <w:r>
        <w:t xml:space="preserve">Rosnow and Rosenthal (1997)</w:t>
      </w:r>
      <w:r>
        <w:t xml:space="preserve"> </w:t>
      </w:r>
      <w:r>
        <w:t xml:space="preserve">suggested that, depending on the context,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p>
    <w:p>
      <w:pPr>
        <w:pStyle w:val="Textkrper"/>
      </w:pPr>
      <w:r>
        <w:t xml:space="preserve">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pPr>
        <w:pStyle w:val="Textkrper"/>
      </w:pPr>
      <w:r>
        <w:t xml:space="preserve">Over the past half century, demand characteristics have generally been conceptually divorced from placebo effects</w:t>
      </w:r>
      <w:r>
        <w:t xml:space="preserve"> </w:t>
      </w:r>
      <w:r>
        <w:t xml:space="preserve">Rosnow &amp; Rosenthal (1997)</w:t>
      </w:r>
      <w:r>
        <w:t xml:space="preserve">. However, demand characteristics may produce both response biases and</w:t>
      </w:r>
      <w:r>
        <w:t xml:space="preserve"> </w:t>
      </w:r>
      <w:r>
        <w:rPr>
          <w:iCs/>
          <w:i/>
        </w:rPr>
        <w:t xml:space="preserve">placebo effects</w:t>
      </w:r>
      <w:r>
        <w:t xml:space="preserve"> </w:t>
      </w:r>
      <w:r>
        <w:t xml:space="preserve">mediated by the relatively automatic activation of beliefs and/or conditioned responses</w:t>
      </w:r>
      <w:r>
        <w:t xml:space="preserve"> </w:t>
      </w:r>
      <w:r>
        <w:t xml:space="preserve">Corneille &amp; Lush (2022)</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evidence that demand characteristics can produce both response biases and placebo effects, meaning that demand characteristics can still bias responses when participants have neither the motivation nor the opportunity to adjust their responses.</w:t>
      </w:r>
    </w:p>
    <w:bookmarkEnd w:id="25"/>
    <w:bookmarkStart w:id="26"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pPr>
        <w:pStyle w:val="Textkrper"/>
      </w:pPr>
      <w:r>
        <w:t xml:space="preserve">In Study 3, we report a replication experiment that re-examines the extent to which demand effects are driven by response biases and placebo effects. In this replication study,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6"/>
    <w:bookmarkStart w:id="56" w:name="study-1"/>
    <w:p>
      <w:pPr>
        <w:pStyle w:val="berschrift1"/>
      </w:pPr>
      <w:r>
        <w:t xml:space="preserve">Study 1</w:t>
      </w:r>
    </w:p>
    <w:p>
      <w:pPr>
        <w:pStyle w:val="FirstParagraph"/>
      </w:pPr>
      <w:r>
        <w:t xml:space="preserve">Study 1 was designed to provide a quantitative synthesis of demand effects via meta-analysis.</w:t>
      </w:r>
    </w:p>
    <w:bookmarkStart w:id="37"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7"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On January 12, 2022, we searched APA PsycInfo (coverage years: 1840 - present)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7"/>
    <w:bookmarkStart w:id="29"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28"/>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29"/>
    <w:bookmarkStart w:id="30"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0"/>
    <w:bookmarkStart w:id="31"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allowed us to additionally test whether participants responses shift more when the researcher hypothesizes an increase in the dependent variable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1"/>
    <w:bookmarkStart w:id="34"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R package (citation). To estimate the overall effect size, we fit an intercept-only 3LMA model. Unless otherwise specified, we conducted moderator analyses by separately entering dummy-coded categorical factors, which were used to estimate the moderating relationship and the effect size within each subgroup of the moderator. All models used inverse-variance weighting.</w:t>
      </w:r>
    </w:p>
    <w:bookmarkStart w:id="33"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 using the weightr R package (citation)</w:t>
      </w:r>
      <w:r>
        <w:rPr>
          <w:rStyle w:val="Funotenzeichen"/>
        </w:rPr>
        <w:footnoteReference w:id="32"/>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predictor to our overall-effect 3LMA. This allowed us to estimate the difference in the magnitude of published vs. unpublished effects.</w:t>
      </w:r>
    </w:p>
    <w:bookmarkEnd w:id="33"/>
    <w:bookmarkEnd w:id="34"/>
    <w:bookmarkStart w:id="36"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35">
        <w:r>
          <w:rPr>
            <w:rStyle w:val="Hyperlink"/>
          </w:rPr>
          <w:t xml:space="preserve">https://osf.io/3hkre/</w:t>
        </w:r>
      </w:hyperlink>
      <w:r>
        <w:t xml:space="preserve">. This link also contains our pre-registration plan and documented amendments.</w:t>
      </w:r>
    </w:p>
    <w:bookmarkEnd w:id="36"/>
    <w:bookmarkEnd w:id="37"/>
    <w:bookmarkStart w:id="54"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9" name="Picture"/>
            <a:graphic>
              <a:graphicData uri="http://schemas.openxmlformats.org/drawingml/2006/picture">
                <pic:pic>
                  <pic:nvPicPr>
                    <pic:cNvPr descr="metaware_manuscript_files/figure-docx/forest-1.png" id="40" name="Picture"/>
                    <pic:cNvPicPr>
                      <a:picLocks noChangeArrowheads="1" noChangeAspect="1"/>
                    </pic:cNvPicPr>
                  </pic:nvPicPr>
                  <pic:blipFill>
                    <a:blip r:embed="rId38"/>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-1.52 to</w:t>
      </w:r>
      <w:r>
        <w:t xml:space="preserve"> </w:t>
      </w:r>
      <m:oMath>
        <m:r>
          <m:t>d</m:t>
        </m:r>
      </m:oMath>
      <w:r>
        <w:t xml:space="preserve"> </w:t>
      </w:r>
      <w:r>
        <w:t xml:space="preserve">= 2.01.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4" w:name="moderator-analyses"/>
    <w:p>
      <w:pPr>
        <w:pStyle w:val="berschrift3"/>
      </w:pPr>
      <w:r>
        <w:t xml:space="preserve">Moderator analyses.</w:t>
      </w:r>
    </w:p>
    <w:p>
      <w:pPr>
        <w:pStyle w:val="CaptionedFigure"/>
      </w:pPr>
      <w:r>
        <w:drawing>
          <wp:inline>
            <wp:extent cx="5963478" cy="5963478"/>
            <wp:effectExtent b="0" l="0" r="0" t="0"/>
            <wp:docPr descr="Figure 3.  Selected moderator subgroup mean effect sizes (dots) and their 95% confidence intervals (error bars)." title="" id="42" name="Picture"/>
            <a:graphic>
              <a:graphicData uri="http://schemas.openxmlformats.org/drawingml/2006/picture">
                <pic:pic>
                  <pic:nvPicPr>
                    <pic:cNvPr descr="metaware_manuscript_files/figure-docx/modforest-1.png" id="43" name="Picture"/>
                    <pic:cNvPicPr>
                      <a:picLocks noChangeArrowheads="1" noChangeAspect="1"/>
                    </pic:cNvPicPr>
                  </pic:nvPicPr>
                  <pic:blipFill>
                    <a:blip r:embed="rId41"/>
                    <a:stretch>
                      <a:fillRect/>
                    </a:stretch>
                  </pic:blipFill>
                  <pic:spPr bwMode="auto">
                    <a:xfrm>
                      <a:off x="0" y="0"/>
                      <a:ext cx="5963478" cy="596347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but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shifted when researchers communicated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w:t>
      </w:r>
      <w:r>
        <w:t xml:space="preserve"> </w:t>
      </w:r>
      <w:r>
        <w:rPr>
          <w:iCs/>
          <w:i/>
        </w:rPr>
        <w:t xml:space="preserve">numerically</w:t>
      </w:r>
      <w:r>
        <w:t xml:space="preserve"> </w:t>
      </w:r>
      <w:r>
        <w:t xml:space="preserve">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 – 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End w:id="44"/>
    <w:bookmarkStart w:id="45" w:name="exploratory-robustness-checks"/>
    <w:p>
      <w:pPr>
        <w:pStyle w:val="berschrift3"/>
      </w:pPr>
      <w:r>
        <w:t xml:space="preserve">Exploratory robustness checks.</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 – 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 – 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5"/>
    <w:bookmarkStart w:id="49" w:name="X4d2f8228bdffda6a1bb824165ec8bac5cd8c7b9"/>
    <w:p>
      <w:pPr>
        <w:pStyle w:val="berschrift3"/>
      </w:pPr>
      <w:r>
        <w:t xml:space="preserve">Estimating demand effects in specific study contexts.</w:t>
      </w:r>
    </w:p>
    <w:p>
      <w:pPr>
        <w:pStyle w:val="CaptionedFigure"/>
      </w:pPr>
      <w:r>
        <w:drawing>
          <wp:inline>
            <wp:extent cx="4587290" cy="3669832"/>
            <wp:effectExtent b="0" l="0" r="0" t="0"/>
            <wp:docPr descr="Figure 4.  Estimated overall effect of positive demand characteristics in a classic experimental setting (in-person study testing a positive effect with a volunteer student sample) and an online worker setting (online study testing a positive effects with a paid non-student sample)" title="" id="47" name="Picture"/>
            <a:graphic>
              <a:graphicData uri="http://schemas.openxmlformats.org/drawingml/2006/picture">
                <pic:pic>
                  <pic:nvPicPr>
                    <pic:cNvPr descr="metaware_manuscript_files/figure-docx/predplot-1.png" id="48"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overall effect of positive demand characteristics in a classic experimental setting (in-person study testing a positive effect with a volunteer student sample) and an online worker setting (online study testing a positive effects with a paid non-student sample)</w:t>
      </w:r>
    </w:p>
    <w:p>
      <w:pPr>
        <w:pStyle w:val="Textkrper"/>
      </w:pPr>
      <w:r>
        <w:t xml:space="preserve">Our models allow estimation of the effects of demand characteristics in various study contexts. To explore this functionality (and to demonstrate a potentially use for our dataset in the future),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overt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 @ref(fig:predictions_plot)). Second, we estimated the overall impact of demand characteristics in an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9"/>
    <w:bookmarkStart w:id="53"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A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1" name="Picture"/>
            <a:graphic>
              <a:graphicData uri="http://schemas.openxmlformats.org/drawingml/2006/picture">
                <pic:pic>
                  <pic:nvPicPr>
                    <pic:cNvPr descr="metaware_manuscript_files/figure-docx/funnel-1.png" id="52" name="Picture"/>
                    <pic:cNvPicPr>
                      <a:picLocks noChangeArrowheads="1" noChangeAspect="1"/>
                    </pic:cNvPicPr>
                  </pic:nvPicPr>
                  <pic:blipFill>
                    <a:blip r:embed="rId50"/>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Raw (A) or aggregated (B) effect sizes plotted against their corresponding standard errors.</w:t>
      </w:r>
    </w:p>
    <w:bookmarkEnd w:id="53"/>
    <w:bookmarkEnd w:id="54"/>
    <w:bookmarkStart w:id="55"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effects were very heterogeneous. As an illustration,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were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w:t>
      </w:r>
    </w:p>
    <w:p>
      <w:pPr>
        <w:pStyle w:val="Textkrper"/>
      </w:pPr>
      <w:r>
        <w:t xml:space="preserve">Practically speaking, we estimated that demand characteristics are predicted to produce small increases in hypothesis-consistent responding in</w:t>
      </w:r>
      <w:r>
        <w:t xml:space="preserve"> </w:t>
      </w:r>
      <w:r>
        <w:t xml:space="preserve">“</w:t>
      </w:r>
      <w:r>
        <w:t xml:space="preserve">classic experimental settings</w:t>
      </w:r>
      <w:r>
        <w:t xml:space="preserve">”</w:t>
      </w:r>
      <w:r>
        <w:t xml:space="preserve"> </w:t>
      </w:r>
      <w:r>
        <w:t xml:space="preserve">(in-person studies testing a positive effect with unpaid student subjects).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5"/>
    <w:bookmarkEnd w:id="56"/>
    <w:bookmarkStart w:id="73"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through an experiment.</w:t>
      </w:r>
    </w:p>
    <w:p>
      <w:pPr>
        <w:pStyle w:val="Textkrper"/>
      </w:pPr>
      <w:r>
        <w:t xml:space="preserve">Our rationale was that the best way to understand these factors would be to elicit judgments about their presence from na:ive participants. Using these measurements, we then tested their moderating role by entering the values into meta-regressions. Also through meta-regression, we examined whether a new set of participants could retroactively predict the effects of the demand characteristic manipulations in the Study 1 meta-analysis.</w:t>
      </w:r>
    </w:p>
    <w:bookmarkStart w:id="66"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8" name="Picture"/>
            <a:graphic>
              <a:graphicData uri="http://schemas.openxmlformats.org/drawingml/2006/picture">
                <pic:pic>
                  <pic:nvPicPr>
                    <pic:cNvPr descr="images/metaware_vigs.png" id="59" name="Picture"/>
                    <pic:cNvPicPr>
                      <a:picLocks noChangeArrowheads="1" noChangeAspect="1"/>
                    </pic:cNvPicPr>
                  </pic:nvPicPr>
                  <pic:blipFill>
                    <a:blip r:embed="rId57"/>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survey,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report ethnicity. The average participant age was 20.20 (</w:t>
      </w:r>
      <m:oMath>
        <m:r>
          <m:t>S</m:t>
        </m:r>
        <m:r>
          <m:t>D</m:t>
        </m:r>
      </m:oMath>
      <w:r>
        <w:t xml:space="preserve"> </w:t>
      </w:r>
      <w:r>
        <w:t xml:space="preserve">= 5.25).</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1" name="Picture"/>
            <a:graphic>
              <a:graphicData uri="http://schemas.openxmlformats.org/drawingml/2006/picture">
                <pic:pic>
                  <pic:nvPicPr>
                    <pic:cNvPr descr="images/metaware_mods.png" id="62" name="Picture"/>
                    <pic:cNvPicPr>
                      <a:picLocks noChangeArrowheads="1" noChangeAspect="1"/>
                    </pic:cNvPicPr>
                  </pic:nvPicPr>
                  <pic:blipFill>
                    <a:blip r:embed="rId60"/>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bookmarkStart w:id="6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3"/>
    <w:bookmarkStart w:id="6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4"/>
    <w:bookmarkStart w:id="65"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35">
        <w:r>
          <w:rPr>
            <w:rStyle w:val="Hyperlink"/>
          </w:rPr>
          <w:t xml:space="preserve">https://osf.io/3hkre/</w:t>
        </w:r>
      </w:hyperlink>
      <w:r>
        <w:t xml:space="preserve">. This link also contains our pre-registration plan and documented amendments.</w:t>
      </w:r>
    </w:p>
    <w:bookmarkEnd w:id="65"/>
    <w:bookmarkEnd w:id="66"/>
    <w:bookmarkStart w:id="71"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related to motivation (Panel A), opportunity (Panel B), or prediction (Panel D) ratings. They were, however, significantly related to belief ratings (Panel C)." title="" id="68" name="Picture"/>
            <a:graphic>
              <a:graphicData uri="http://schemas.openxmlformats.org/drawingml/2006/picture">
                <pic:pic>
                  <pic:nvPicPr>
                    <pic:cNvPr descr="metaware_manuscript_files/figure-docx/modfig-1.png" id="69" name="Picture"/>
                    <pic:cNvPicPr>
                      <a:picLocks noChangeArrowheads="1" noChangeAspect="1"/>
                    </pic:cNvPicPr>
                  </pic:nvPicPr>
                  <pic:blipFill>
                    <a:blip r:embed="rId67"/>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The effects of demand characteristics on participants’ responses were not significantly related to motivation (Panel A), opportunity (Panel B), or prediction (Panel D) ratings. They were, however, significantly related to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70" w:name="residual-variability"/>
    <w:p>
      <w:pPr>
        <w:pStyle w:val="berschrift3"/>
      </w:pPr>
      <w:r>
        <w:t xml:space="preserve">Residual variability.</w:t>
      </w:r>
    </w:p>
    <w:p>
      <w:pPr>
        <w:pStyle w:val="FirstParagraph"/>
      </w:pPr>
      <w:r>
        <w:t xml:space="preserve">To evaluate how much variability in demand effects is currently unaccounted for by our model,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70"/>
    <w:bookmarkEnd w:id="71"/>
    <w:bookmarkStart w:id="72"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In the current study, we relied on moderator ratings from a new set of participants. This strategy was necessary because researchers have rarely measured these proposed moderators but it has several limitations. First, raters may not have enough information to make an accurate prediction about other participants’ motivation, opportunity to adjust responses, and belief in the communicated hypothesis. For the sake of feasibility, we gave participants a short summary of the study, but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representative of the people sampled in previous research</w:t>
      </w:r>
      <w:r>
        <w:t xml:space="preserve"> </w:t>
      </w:r>
      <w:r>
        <w:t xml:space="preserve">(Gergen, 1973)</w:t>
      </w:r>
      <w:r>
        <w:t xml:space="preserve">. In other words, maybe contemporary undergraduates have different study-related motivations, judgments, and beliefs than the participants who completed previous studies on demand characteristics as much as 60 years earlier. To test this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2"/>
    <w:bookmarkEnd w:id="73"/>
    <w:bookmarkStart w:id="77" w:name="study-3"/>
    <w:p>
      <w:pPr>
        <w:pStyle w:val="berschrift1"/>
      </w:pPr>
      <w:r>
        <w:t xml:space="preserve">Study 3</w:t>
      </w:r>
    </w:p>
    <w:p>
      <w:pPr>
        <w:pStyle w:val="FirstParagraph"/>
      </w:pPr>
      <w:r>
        <w:t xml:space="preserve">In addition to the vignette rating task, Study 2 participants also completed an exploratory close replication of</w:t>
      </w:r>
      <w:r>
        <w:t xml:space="preserve"> </w:t>
      </w:r>
      <w:r>
        <w:t xml:space="preserve">Coles, Gaertner, et al. (2022)</w:t>
      </w:r>
      <w:r>
        <w:t xml:space="preserve">, an experiment on the the effect of facial expressions on feelings of happiness. The order in which participants completed Studies 2 and 3 were randomized.</w:t>
      </w:r>
    </w:p>
    <w:bookmarkStart w:id="75"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correctly identify the stated hypothesis at the end of the study (final n = 160). Almost all participants correctly inferred that we were interested in links between facial poses and emotional experience. However, particularly in the nil hypothesis condition (76% of exclusion),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74" w:name="transparency-and-openness-2"/>
    <w:p>
      <w:pPr>
        <w:pStyle w:val="berschrift3"/>
      </w:pPr>
      <w:r>
        <w:t xml:space="preserve">Transparency and openness.</w:t>
      </w:r>
    </w:p>
    <w:p>
      <w:pPr>
        <w:pStyle w:val="FirstParagraph"/>
      </w:pPr>
      <w:r>
        <w:t xml:space="preserve">All materials, data, and code are openly available at</w:t>
      </w:r>
      <w:r>
        <w:t xml:space="preserve"> </w:t>
      </w:r>
      <w:hyperlink r:id="rId35">
        <w:r>
          <w:rPr>
            <w:rStyle w:val="Hyperlink"/>
          </w:rPr>
          <w:t xml:space="preserve">https://osf.io/3hkre/</w:t>
        </w:r>
      </w:hyperlink>
      <w:r>
        <w:t xml:space="preserve">. Because the study was exploratory, there was no pre-registration.</w:t>
      </w:r>
    </w:p>
    <w:bookmarkEnd w:id="74"/>
    <w:bookmarkEnd w:id="75"/>
    <w:bookmarkStart w:id="76" w:name="results-2"/>
    <w:p>
      <w:pPr>
        <w:pStyle w:val="berschrift2"/>
      </w:pPr>
      <w:r>
        <w:t xml:space="preserve">Results</w:t>
      </w:r>
    </w:p>
    <w:p>
      <w:pPr>
        <w:pStyle w:val="FirstParagraph"/>
      </w:pPr>
      <w:r>
        <w:t xml:space="preserve">Following</w:t>
      </w:r>
      <w:r>
        <w:t xml:space="preserve"> </w:t>
      </w:r>
      <w:r>
        <w:t xml:space="preserve">Coles, Gaertner, et al. (2022)</w:t>
      </w:r>
      <w:r>
        <w:t xml:space="preserve">, we fit a mixed-effect regression with (a) facial pose, demand characteristics, and block number entered as effect-coded factors and (b) random-intercepts for participants. We fit our models using the lme4 R package (citation), and used the emmeans R package (citation) to estimate mean-difference scores.</w:t>
      </w:r>
      <w:r>
        <w:rPr>
          <w:iCs/>
          <w:i/>
        </w:rPr>
        <w:t xml:space="preserve">F</w:t>
      </w:r>
      <w:r>
        <w:t xml:space="preserve">-values were estimated through ANOVA tables with Type 3 Sums of Squares and Satterthwaite degrees of freedom.</w:t>
      </w:r>
    </w:p>
    <w:p>
      <w:pPr>
        <w:pStyle w:val="Textkrper"/>
      </w:pPr>
      <w:r>
        <w:t xml:space="preserve">Results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w:t>
      </w:r>
      <w:r>
        <w:t xml:space="preserve">– i.e., whether there are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6"/>
    <w:bookmarkEnd w:id="77"/>
    <w:bookmarkStart w:id="78"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-1.52 to</w:t>
      </w:r>
      <w:r>
        <w:t xml:space="preserve"> </w:t>
      </w:r>
      <m:oMath>
        <m:r>
          <m:t>d</m:t>
        </m:r>
      </m:oMath>
      <w:r>
        <w:t xml:space="preserve"> </w:t>
      </w:r>
      <w:r>
        <w:t xml:space="preserve">= 2.01.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demand.</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pPr>
        <w:pStyle w:val="Textkrper"/>
      </w:pPr>
      <w:r>
        <w:t xml:space="preserve">On the other hand, 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pPr>
        <w:pStyle w:val="Textkrper"/>
      </w:pPr>
      <w:r>
        <w:t xml:space="preserve">On the basis of this evidence, we suggest that it is no longer tenable to keep demand characteristics conceptually divorced from related work on placebo effects. Consistent with recently proposed extensions of demand characteristic frameworks, our meta-analysis and replication study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posess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bookmarkEnd w:id="78"/>
    <w:bookmarkStart w:id="121" w:name="references"/>
    <w:p>
      <w:pPr>
        <w:pStyle w:val="berschrift1"/>
      </w:pPr>
      <w:r>
        <w:t xml:space="preserve">References</w:t>
      </w:r>
    </w:p>
    <w:bookmarkStart w:id="120" w:name="refs"/>
    <w:bookmarkStart w:id="79"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9"/>
    <w:bookmarkStart w:id="80"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80"/>
    <w:bookmarkStart w:id="81"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81"/>
    <w:bookmarkStart w:id="82"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2"/>
    <w:bookmarkStart w:id="83"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3"/>
    <w:bookmarkStart w:id="84"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4"/>
    <w:bookmarkStart w:id="85"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5"/>
    <w:bookmarkStart w:id="86"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6"/>
    <w:bookmarkStart w:id="87"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87"/>
    <w:bookmarkStart w:id="88"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88"/>
    <w:bookmarkStart w:id="89"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89"/>
    <w:bookmarkStart w:id="90"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90"/>
    <w:bookmarkStart w:id="91"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91"/>
    <w:bookmarkStart w:id="92"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2"/>
    <w:bookmarkStart w:id="93"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3"/>
    <w:bookmarkStart w:id="94"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4"/>
    <w:bookmarkStart w:id="95"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5"/>
    <w:bookmarkStart w:id="96"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6"/>
    <w:bookmarkStart w:id="97"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97"/>
    <w:bookmarkStart w:id="98"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98"/>
    <w:bookmarkStart w:id="99"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99"/>
    <w:bookmarkStart w:id="100"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00"/>
    <w:bookmarkStart w:id="101"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101"/>
    <w:bookmarkStart w:id="102"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2"/>
    <w:bookmarkStart w:id="103"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3"/>
    <w:bookmarkStart w:id="104"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4"/>
    <w:bookmarkStart w:id="105"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05"/>
    <w:bookmarkStart w:id="106"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06"/>
    <w:bookmarkStart w:id="107"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07"/>
    <w:bookmarkStart w:id="108"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08"/>
    <w:bookmarkStart w:id="109"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09"/>
    <w:bookmarkStart w:id="110"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10"/>
    <w:bookmarkStart w:id="11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11"/>
    <w:bookmarkStart w:id="112"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2"/>
    <w:bookmarkStart w:id="113"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13"/>
    <w:bookmarkStart w:id="114"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14"/>
    <w:bookmarkStart w:id="115"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15"/>
    <w:bookmarkStart w:id="116"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16"/>
    <w:bookmarkStart w:id="117"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17"/>
    <w:bookmarkStart w:id="118"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18"/>
    <w:bookmarkStart w:id="119"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19"/>
    <w:bookmarkEnd w:id="120"/>
    <w:bookmarkEnd w:id="12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2">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67" Target="media/rId6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20" Target="http://github.com/ColesNicholas/metaware" TargetMode="External" /><Relationship Type="http://schemas.openxmlformats.org/officeDocument/2006/relationships/hyperlink" Id="rId35" Target="https://osf.io/3hkre/"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http://github.com/ColesNicholas/metaware" TargetMode="External" /><Relationship Type="http://schemas.openxmlformats.org/officeDocument/2006/relationships/hyperlink" Id="rId35" Target="https://osf.io/3hkre/"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2023-04-11T21:40:14Z</dcterms:created>
  <dcterms:modified xsi:type="dcterms:W3CDTF">2023-04-11T21:40:14Z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available at http://github.com/ColesNicholas/metaware.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ies>
</file>