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7E3DA" w14:textId="77777777" w:rsidR="00845521" w:rsidRDefault="00000000">
      <w:pPr>
        <w:pStyle w:val="Title"/>
      </w:pPr>
      <w:r>
        <w:t>A meta-analysis on demand characteristics</w:t>
      </w:r>
    </w:p>
    <w:p w14:paraId="3A8CDE10" w14:textId="77777777" w:rsidR="00845521" w:rsidRPr="005335E1" w:rsidRDefault="00000000">
      <w:pPr>
        <w:pStyle w:val="Author"/>
        <w:rPr>
          <w:lang w:val="es-ES"/>
        </w:rPr>
      </w:pPr>
      <w:r w:rsidRPr="005335E1">
        <w:rPr>
          <w:lang w:val="es-ES"/>
        </w:rPr>
        <w:t>Nicholas A. Coles</w:t>
      </w:r>
      <w:r w:rsidRPr="005335E1">
        <w:rPr>
          <w:vertAlign w:val="superscript"/>
          <w:lang w:val="es-ES"/>
        </w:rPr>
        <w:t>1</w:t>
      </w:r>
      <w:r w:rsidRPr="005335E1">
        <w:rPr>
          <w:lang w:val="es-ES"/>
        </w:rPr>
        <w:t> &amp; Michael C. Frank</w:t>
      </w:r>
      <w:r w:rsidRPr="005335E1">
        <w:rPr>
          <w:vertAlign w:val="superscript"/>
          <w:lang w:val="es-ES"/>
        </w:rPr>
        <w:t>1</w:t>
      </w:r>
    </w:p>
    <w:p w14:paraId="492FEAAC" w14:textId="77777777" w:rsidR="00845521" w:rsidRDefault="00000000">
      <w:pPr>
        <w:pStyle w:val="Author"/>
      </w:pPr>
      <w:r>
        <w:rPr>
          <w:vertAlign w:val="superscript"/>
        </w:rPr>
        <w:t>1</w:t>
      </w:r>
      <w:r>
        <w:t xml:space="preserve"> Center for the Study of Language and Information, Stanford University</w:t>
      </w:r>
    </w:p>
    <w:p w14:paraId="4E4AA0AD" w14:textId="77777777" w:rsidR="00845521" w:rsidRDefault="00000000">
      <w:pPr>
        <w:pStyle w:val="BodyText"/>
      </w:pPr>
      <w:r>
        <w:t>                                                                                                                                                    </w:t>
      </w:r>
    </w:p>
    <w:p w14:paraId="2002DEAC" w14:textId="77777777" w:rsidR="00845521" w:rsidRDefault="00000000">
      <w:pPr>
        <w:pStyle w:val="BodyText"/>
      </w:pPr>
      <w:r>
        <w:t> </w:t>
      </w:r>
    </w:p>
    <w:p w14:paraId="29252D73" w14:textId="77777777" w:rsidR="00845521" w:rsidRDefault="00000000">
      <w:pPr>
        <w:pStyle w:val="BodyText"/>
      </w:pPr>
      <w:r>
        <w:t> </w:t>
      </w:r>
    </w:p>
    <w:p w14:paraId="124D5AC3" w14:textId="77777777" w:rsidR="00845521" w:rsidRDefault="00000000">
      <w:pPr>
        <w:pStyle w:val="BodyText"/>
      </w:pPr>
      <w:r>
        <w:t> </w:t>
      </w:r>
    </w:p>
    <w:p w14:paraId="3C9FB758" w14:textId="77777777" w:rsidR="00845521" w:rsidRDefault="00000000">
      <w:pPr>
        <w:pStyle w:val="BodyText"/>
      </w:pPr>
      <w:r>
        <w:t> </w:t>
      </w:r>
    </w:p>
    <w:p w14:paraId="56496FE7" w14:textId="77777777" w:rsidR="00845521" w:rsidRDefault="00000000">
      <w:pPr>
        <w:pStyle w:val="BodyText"/>
      </w:pPr>
      <w:r>
        <w:t> </w:t>
      </w:r>
    </w:p>
    <w:p w14:paraId="5A56CEF4" w14:textId="77777777" w:rsidR="00845521" w:rsidRDefault="00000000">
      <w:pPr>
        <w:pStyle w:val="BodyText"/>
      </w:pPr>
      <w:r>
        <w:t> </w:t>
      </w:r>
    </w:p>
    <w:p w14:paraId="4F4E3EE8" w14:textId="77777777" w:rsidR="00845521" w:rsidRDefault="00000000">
      <w:pPr>
        <w:pStyle w:val="Author"/>
      </w:pPr>
      <w:r>
        <w:t>Author note</w:t>
      </w:r>
    </w:p>
    <w:p w14:paraId="07D02313" w14:textId="77777777" w:rsidR="00845521" w:rsidRDefault="00000000">
      <w:pPr>
        <w:pStyle w:val="BodyText"/>
      </w:pPr>
      <w:r>
        <w:t>All materials, data, and code are available at .</w:t>
      </w:r>
    </w:p>
    <w:p w14:paraId="56DE4CBE" w14:textId="77777777" w:rsidR="00845521" w:rsidRDefault="00000000">
      <w:pPr>
        <w:pStyle w:val="BodyText"/>
      </w:pPr>
      <w:r>
        <w:lastRenderedPageBreak/>
        <w:t xml:space="preserve">Correspondence concerning this article should be addressed to Nicholas A. Coles, Cordura Hall, 210 Panama St, Stanford, CA 94305. E-mail: </w:t>
      </w:r>
      <w:hyperlink r:id="rId8">
        <w:r>
          <w:rPr>
            <w:rStyle w:val="Hyperlink"/>
          </w:rPr>
          <w:t>ncoles@stanford.edu</w:t>
        </w:r>
      </w:hyperlink>
    </w:p>
    <w:p w14:paraId="293301BF" w14:textId="77777777" w:rsidR="00845521" w:rsidRDefault="00000000">
      <w:pPr>
        <w:pStyle w:val="h1-pagebreak"/>
      </w:pPr>
      <w:r>
        <w:lastRenderedPageBreak/>
        <w:t>Abstract</w:t>
      </w:r>
    </w:p>
    <w:p w14:paraId="24D6C55E" w14:textId="341778D4" w:rsidR="00845521" w:rsidRDefault="00000000">
      <w:pPr>
        <w:pStyle w:val="BodyText"/>
        <w:rPr>
          <w:ins w:id="0" w:author="Nicholas Alvaro Coles" w:date="2023-02-16T20:23:00Z"/>
        </w:rPr>
      </w:pPr>
      <w:r>
        <w:t xml:space="preserve">MARS guidelines: The problem of relation(s) under investigation; Study eligibility criteria; Type(s) of participants included in primary studies; Meta‐analysis methods (indicating whether a fixed‐effects or random‐effects model was used); Main results (including the more important effect sizes and any important moderators of these effect sizes); Conclusion (including limitations); Implications for theory, policy, and/or </w:t>
      </w:r>
      <w:proofErr w:type="gramStart"/>
      <w:r>
        <w:t>practice</w:t>
      </w:r>
      <w:proofErr w:type="gramEnd"/>
    </w:p>
    <w:p w14:paraId="764EC6A9" w14:textId="54903152" w:rsidR="00506C89" w:rsidRDefault="001E4784" w:rsidP="00D27BDA">
      <w:pPr>
        <w:pStyle w:val="BodyText"/>
      </w:pPr>
      <w:r>
        <w:t>Demand characteristics are a fundamental methodological concern in experimental psychology. However, little is known about the direction, magnitude, consistency</w:t>
      </w:r>
      <w:r w:rsidR="00D27BDA">
        <w:t xml:space="preserve">, and mechanisms underlying their effects. In the first meta-analysis on the topic, we conducted a three-level meta-analysis of 195 effect sizes from 40 studies that provided </w:t>
      </w:r>
      <w:r w:rsidR="00D27BDA">
        <w:t>strict experimental tests of demand effects</w:t>
      </w:r>
      <w:r w:rsidR="00D27BDA">
        <w:t xml:space="preserve"> by manipulating the </w:t>
      </w:r>
      <w:r w:rsidR="00D27BDA">
        <w:t>hypothesis</w:t>
      </w:r>
      <w:r w:rsidR="00D27BDA">
        <w:t xml:space="preserve"> communicated to participants. Results indicated that </w:t>
      </w:r>
      <w:r w:rsidR="003911D5">
        <w:t xml:space="preserve">these </w:t>
      </w:r>
      <w:r w:rsidR="00D27BDA">
        <w:t>demand characteristics tend to produce small increases in hypothesis-consistent responding</w:t>
      </w:r>
      <w:r w:rsidR="00506C89">
        <w:t xml:space="preserve">. However, these effects were extremely heterogeneous, and we estimated that many demand characteristics manipulations create </w:t>
      </w:r>
      <w:r w:rsidR="003911D5">
        <w:t xml:space="preserve">increases </w:t>
      </w:r>
      <w:r w:rsidR="00506C89">
        <w:t>in hypothesis-</w:t>
      </w:r>
      <w:r w:rsidR="003911D5" w:rsidRPr="00D17559">
        <w:rPr>
          <w:i/>
          <w:iCs/>
        </w:rPr>
        <w:t>in</w:t>
      </w:r>
      <w:r w:rsidR="00506C89">
        <w:t xml:space="preserve">consistent responding. Contrary to virtually every existing </w:t>
      </w:r>
      <w:r w:rsidR="003911D5">
        <w:t xml:space="preserve">demand characteristic </w:t>
      </w:r>
      <w:r w:rsidR="00506C89">
        <w:t xml:space="preserve">framework, we found little evidence that </w:t>
      </w:r>
      <w:r w:rsidR="003911D5">
        <w:t xml:space="preserve">the </w:t>
      </w:r>
      <w:r w:rsidR="00506C89">
        <w:t xml:space="preserve">effects were driven </w:t>
      </w:r>
      <w:r w:rsidR="003911D5">
        <w:t xml:space="preserve">by </w:t>
      </w:r>
      <w:r w:rsidR="00506C89">
        <w:t>participants’ motivation and opportunity to adjust their responses</w:t>
      </w:r>
      <w:r w:rsidR="003911D5">
        <w:t xml:space="preserve"> (a response bias)</w:t>
      </w:r>
      <w:r w:rsidR="00506C89">
        <w:t>. Instead, we found that such effects were driven by participants’ beliefs</w:t>
      </w:r>
      <w:r w:rsidR="003911D5">
        <w:t>—i.e., placebo effects</w:t>
      </w:r>
      <w:r w:rsidR="00506C89">
        <w:t>. These findings were subsequently replicated in a direct replication of a</w:t>
      </w:r>
      <w:r w:rsidR="003911D5">
        <w:t xml:space="preserve"> study included in the meta-analysis</w:t>
      </w:r>
      <w:r w:rsidR="00506C89">
        <w:t xml:space="preserve">. Taken together, results challenge conventional distinctions between demand characteristics and placebo effects—and </w:t>
      </w:r>
      <w:r w:rsidR="001C213D">
        <w:t xml:space="preserve">they </w:t>
      </w:r>
      <w:r w:rsidR="00506C89">
        <w:t>highlight the need for future research on the mysterious nature of demand characteristics.</w:t>
      </w:r>
    </w:p>
    <w:p w14:paraId="45242D6F" w14:textId="77777777" w:rsidR="001E4784" w:rsidRDefault="001E4784">
      <w:pPr>
        <w:pStyle w:val="BodyText"/>
      </w:pPr>
    </w:p>
    <w:p w14:paraId="5E5E7DD7" w14:textId="77777777" w:rsidR="00845521" w:rsidRDefault="00000000">
      <w:pPr>
        <w:pStyle w:val="BodyText"/>
      </w:pPr>
      <w:r>
        <w:rPr>
          <w:i/>
          <w:iCs/>
        </w:rPr>
        <w:lastRenderedPageBreak/>
        <w:t>Keywords:</w:t>
      </w:r>
      <w:r>
        <w:t xml:space="preserve"> demand characteristics, hypothesis awareness, placebo effect, research methods, meta-analysis</w:t>
      </w:r>
    </w:p>
    <w:p w14:paraId="6A0E8103" w14:textId="77777777" w:rsidR="00845521" w:rsidRDefault="00000000">
      <w:pPr>
        <w:pStyle w:val="BodyText"/>
      </w:pPr>
      <w:r>
        <w:rPr>
          <w:i/>
          <w:iCs/>
        </w:rPr>
        <w:t>Word count:</w:t>
      </w:r>
      <w:r>
        <w:t xml:space="preserve"> TBD</w:t>
      </w:r>
    </w:p>
    <w:p w14:paraId="49783D1C" w14:textId="77777777" w:rsidR="00845521" w:rsidRDefault="00000000">
      <w:pPr>
        <w:pStyle w:val="h1-pagebreak"/>
      </w:pPr>
      <w:r>
        <w:lastRenderedPageBreak/>
        <w:t>A meta-analysis on demand characteristics</w:t>
      </w:r>
    </w:p>
    <w:p w14:paraId="24CD4007" w14:textId="77777777" w:rsidR="00845521"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14:paraId="711E12C0" w14:textId="77777777" w:rsidR="00845521" w:rsidRDefault="00000000">
      <w:pPr>
        <w:pStyle w:val="BodyText"/>
      </w:pPr>
      <w:r>
        <w:t xml:space="preserve">If this scenario were real, you would reasonably question whether Crankology is a valid method of scientific inquiry. However, perhaps we should not be so quick to judge. Because, like the Crankologist, experimental psychologists deal with a difficult-to-understand methodological artifact: </w:t>
      </w:r>
      <w:r>
        <w:rPr>
          <w:i/>
          <w:iCs/>
        </w:rPr>
        <w:t>demand characteristics</w:t>
      </w:r>
      <w:r>
        <w:t>.</w:t>
      </w:r>
    </w:p>
    <w:p w14:paraId="29C23129" w14:textId="77777777" w:rsidR="00845521" w:rsidRDefault="00000000">
      <w:pPr>
        <w:pStyle w:val="Heading2"/>
      </w:pPr>
      <w:bookmarkStart w:id="1" w:name="X5beee25cffe20f5207d52e6917e92d9a050264d"/>
      <w:r>
        <w:t>Demand characteristics as a methodological artifact</w:t>
      </w:r>
    </w:p>
    <w:p w14:paraId="19E4AA78" w14:textId="77777777" w:rsidR="00845521" w:rsidRDefault="00000000">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746C7663" w14:textId="77777777" w:rsidR="00845521"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0006A808" w14:textId="77777777" w:rsidR="00845521" w:rsidRDefault="00000000">
      <w:pPr>
        <w:pStyle w:val="BodyText"/>
      </w:pPr>
      <w:r>
        <w:t>After over 60 years, experimental psychologists are left with an uncomfortable state of affairs. Demand characteristics are a literal textbook methodological concern. However, like Crankology, the magnitude, direction, consistency, and mechanism of this artifact remains mysterious.</w:t>
      </w:r>
    </w:p>
    <w:p w14:paraId="1A68FC52" w14:textId="77777777" w:rsidR="00845521" w:rsidRDefault="00000000">
      <w:pPr>
        <w:pStyle w:val="Heading2"/>
      </w:pPr>
      <w:bookmarkStart w:id="2" w:name="Xbb0ec03b212b6a2c0c6bbd874870d91ad3558f7"/>
      <w:bookmarkEnd w:id="1"/>
      <w:r>
        <w:lastRenderedPageBreak/>
        <w:t>How do demand characteristics bias participant responses?</w:t>
      </w:r>
    </w:p>
    <w:p w14:paraId="48A49F38" w14:textId="77777777" w:rsidR="00845521"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6E7D0F23" w14:textId="77777777" w:rsidR="00845521" w:rsidRDefault="00000000">
      <w:pPr>
        <w:pStyle w:val="BodyText"/>
      </w:pPr>
      <w:r>
        <w:t xml:space="preserve">As we review below, the most comprehensive demand characteristics framework conceptualizes the artifact as a response bias (Rosnow &amp; Rosenthal, 1997). However, this conceptualization was recently challenged by Coles, Gaertner, et al. (2022) and Corneille and Lush (2022), who argued that demand characteristics can lead to both response biases </w:t>
      </w:r>
      <w:r>
        <w:rPr>
          <w:i/>
          <w:iCs/>
        </w:rPr>
        <w:t>and</w:t>
      </w:r>
      <w:r>
        <w:t xml:space="preserve"> placebo effects (Coles, Gaertner, et al., 2022). For example, after inferring that a researcher expects an intervention to boost mood, a participant may both (a) deliberately adjust their mood ratings (a response bias and the traditional focus on the demand characteristics literature), and (b) unintentionally experience a placebo-induced change in mood. We discuss these two mechanisms in greater detail below.</w:t>
      </w:r>
    </w:p>
    <w:p w14:paraId="4EBA99A4" w14:textId="77777777" w:rsidR="00845521" w:rsidRDefault="00000000">
      <w:pPr>
        <w:pStyle w:val="Heading3"/>
        <w:framePr w:wrap="around"/>
      </w:pPr>
      <w:bookmarkStart w:id="3" w:name="response-bias"/>
      <w:r>
        <w:t>Response bias.</w:t>
      </w:r>
    </w:p>
    <w:p w14:paraId="67A50004" w14:textId="77777777" w:rsidR="00845521"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 (Figure 1).</w:t>
      </w:r>
    </w:p>
    <w:p w14:paraId="3FFE98AF" w14:textId="77777777" w:rsidR="00845521" w:rsidRDefault="00000000">
      <w:pPr>
        <w:pStyle w:val="CaptionedFigure"/>
      </w:pPr>
      <w:r>
        <w:rPr>
          <w:noProof/>
        </w:rPr>
        <w:drawing>
          <wp:inline distT="0" distB="0" distL="0" distR="0" wp14:anchorId="573C8B06" wp14:editId="48AE3846">
            <wp:extent cx="5969000" cy="3336756"/>
            <wp:effectExtent l="0" t="0" r="0" b="0"/>
            <wp:docPr id="24" name="Picture" descr="Figure 1.  Rosnow 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9"/>
                    <a:stretch>
                      <a:fillRect/>
                    </a:stretch>
                  </pic:blipFill>
                  <pic:spPr bwMode="auto">
                    <a:xfrm>
                      <a:off x="0" y="0"/>
                      <a:ext cx="5969000" cy="3336756"/>
                    </a:xfrm>
                    <a:prstGeom prst="rect">
                      <a:avLst/>
                    </a:prstGeom>
                    <a:noFill/>
                    <a:ln w="9525">
                      <a:noFill/>
                      <a:headEnd/>
                      <a:tailEnd/>
                    </a:ln>
                  </pic:spPr>
                </pic:pic>
              </a:graphicData>
            </a:graphic>
          </wp:inline>
        </w:drawing>
      </w:r>
    </w:p>
    <w:p w14:paraId="25343563" w14:textId="77777777" w:rsidR="00845521" w:rsidRDefault="00000000">
      <w:pPr>
        <w:pStyle w:val="ImageCaption"/>
      </w:pPr>
      <w:r>
        <w:rPr>
          <w:i/>
          <w:iCs/>
        </w:rPr>
        <w:t>Figure</w:t>
      </w:r>
      <w:r>
        <w:t xml:space="preserve"> </w:t>
      </w:r>
      <w:r>
        <w:rPr>
          <w:i/>
          <w:iCs/>
        </w:rPr>
        <w:t xml:space="preserve">1. </w:t>
      </w:r>
      <w:r>
        <w:t xml:space="preserve"> </w:t>
      </w:r>
      <w:commentRangeStart w:id="4"/>
      <w:proofErr w:type="spellStart"/>
      <w:r>
        <w:t>Rosnow</w:t>
      </w:r>
      <w:proofErr w:type="spellEnd"/>
      <w:r>
        <w:t xml:space="preserve"> </w:t>
      </w:r>
      <w:commentRangeEnd w:id="4"/>
      <w:r w:rsidR="001E4784">
        <w:rPr>
          <w:rStyle w:val="CommentReference"/>
        </w:rPr>
        <w:commentReference w:id="4"/>
      </w:r>
      <w:r>
        <w:t>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w:t>
      </w:r>
    </w:p>
    <w:p w14:paraId="5EF0D933" w14:textId="77777777" w:rsidR="00845521" w:rsidRDefault="00000000">
      <w:pPr>
        <w:pStyle w:val="Heading4"/>
        <w:framePr w:wrap="around"/>
      </w:pPr>
      <w:bookmarkStart w:id="5" w:name="receptivity-to-cues"/>
      <w:r>
        <w:t>Receptivity to cues.</w:t>
      </w:r>
    </w:p>
    <w:p w14:paraId="58C9693F" w14:textId="77777777" w:rsidR="00845521" w:rsidRDefault="00000000">
      <w:pPr>
        <w:pStyle w:val="FirstParagraph"/>
      </w:pPr>
      <w:r>
        <w:t xml:space="preserve">To start, Rosnow and Rosenthal (1997) reasoned that participants must be perceptive to demand characteristics in order for there to be a response bias (see also Rosnow &amp; Aiken, 1973; Strohmetz, 2008). As an extreme example, imagine that a </w:t>
      </w:r>
      <w:r>
        <w:lastRenderedPageBreak/>
        <w:t>researcher hands an infant participant a sheet of paper that precisely explains the study hypothesis. Demand characteristics are certainly present, but they are not predicted to have an impact because the infant is not receptive to the cues (i.e., cannot read).</w:t>
      </w:r>
    </w:p>
    <w:p w14:paraId="41D7690F" w14:textId="77777777" w:rsidR="00845521" w:rsidRDefault="00000000">
      <w:pPr>
        <w:pStyle w:val="Heading4"/>
        <w:framePr w:wrap="around"/>
      </w:pPr>
      <w:bookmarkStart w:id="6" w:name="X5ad9af2e1feefc56383e64a5aa27cd4a9f43a69"/>
      <w:bookmarkEnd w:id="5"/>
      <w:r>
        <w:t>Motivation to provide hypothesis-consistent responses.</w:t>
      </w:r>
    </w:p>
    <w:p w14:paraId="7FE62FC0" w14:textId="77777777" w:rsidR="00845521"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3CC2C7A5" w14:textId="77777777" w:rsidR="00845521" w:rsidRDefault="00000000">
      <w:pPr>
        <w:pStyle w:val="BodyText"/>
      </w:pPr>
      <w:r>
        <w:t xml:space="preserve">In the most prolific era of demand characteristics research, researchers sought to understand which subject goal predominately mediated response bias. Was it the goal to help the experimenter? Be evaluated positively? Respond faithfully? In doing so, less attention was paid to the notion that participants might have multiple, sometimes competing motivations (Barbuto Jr &amp; Scholl, 1998; Boudreaux &amp; Ozer, 2013). Indeed, when the idea of multiple motivations was examined, it was often done so to highlight the more prominent role of a specific goal (e.g., evaluation apprehension vs. motivation to help the experimenter, Sigall et al., 1970). In 1997, though, Rosnow and Rosenthal (1997) found that people have </w:t>
      </w:r>
      <w:r>
        <w:rPr>
          <w:i/>
          <w:iCs/>
        </w:rPr>
        <w:t>multiple</w:t>
      </w:r>
      <w:r>
        <w:t xml:space="preserve"> goals in mind when they </w:t>
      </w:r>
      <w:r>
        <w:lastRenderedPageBreak/>
        <w:t xml:space="preserve">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imagine that an experimenter is friendly towards the participant and that the participant is thus motivated to help the experimenter. Now imagine that the participant learns that the experimenter hypothesizes that they will show a race-based preference for job applicants. In this scenario, the motivation to help the experimenter may conflict with the participant’s desire to respond in a socially desirable manner.</w:t>
      </w:r>
    </w:p>
    <w:p w14:paraId="1771D831" w14:textId="77777777" w:rsidR="00845521" w:rsidRDefault="00000000">
      <w:pPr>
        <w:pStyle w:val="BodyText"/>
      </w:pPr>
      <w:r>
        <w:t>Based on 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might also be conceptualized on a continuum ranging from highly motivated to counter-acquiesce to highly motivated to acquiesce.</w:t>
      </w:r>
    </w:p>
    <w:p w14:paraId="057F7BB6" w14:textId="77777777" w:rsidR="00845521" w:rsidRDefault="00000000">
      <w:pPr>
        <w:pStyle w:val="Heading4"/>
        <w:framePr w:wrap="around"/>
      </w:pPr>
      <w:bookmarkStart w:id="7" w:name="opportunity-to-alter-responses"/>
      <w:bookmarkEnd w:id="6"/>
      <w:r>
        <w:t>Opportunity to alter responses.</w:t>
      </w:r>
    </w:p>
    <w:p w14:paraId="06B9B988" w14:textId="77777777" w:rsidR="00845521" w:rsidRDefault="00000000">
      <w:pPr>
        <w:pStyle w:val="FirstParagraph"/>
      </w:pPr>
      <w:r>
        <w:t>No matter how motivated they are to confirm the hypothesis, Rosnow and Rosenthal (1997) reasoned that there is variability in the extent to which participants have the ability to alter the outcome-of-interest. Thus, they posited that demand characteristics can only produce response biases when participants can alter the outcome of interest.</w:t>
      </w:r>
    </w:p>
    <w:p w14:paraId="1E0F43AA" w14:textId="77777777" w:rsidR="00845521" w:rsidRDefault="00000000">
      <w:pPr>
        <w:pStyle w:val="BodyText"/>
      </w:pPr>
      <w:r>
        <w:t xml:space="preserve">Taking the three moderators into account, Rosnow and Rosenthal (1997) posited that demand characteristics only produce response biases when participants (1) notice the cues, (2) are </w:t>
      </w:r>
      <w:r>
        <w:lastRenderedPageBreak/>
        <w:t>motivated to adjust their responses, and (3) are capable of adjusting their responses. This framework directly maps onto common strategies for avoiding the impact of demand characteristics, such as deception (reducing receptivity), incentivizing honest reporting (reducing motivation), and using difficult-to-control outcome measures (reducing opportunity to adjust responses).</w:t>
      </w:r>
    </w:p>
    <w:p w14:paraId="4AA39F82" w14:textId="77777777" w:rsidR="00845521" w:rsidRDefault="00000000">
      <w:pPr>
        <w:pStyle w:val="Heading3"/>
        <w:framePr w:wrap="around"/>
      </w:pPr>
      <w:bookmarkStart w:id="8" w:name="response-bias-and-placebo-effects"/>
      <w:bookmarkEnd w:id="3"/>
      <w:bookmarkEnd w:id="7"/>
      <w:r>
        <w:t>Response bias and placebo effects.</w:t>
      </w:r>
    </w:p>
    <w:p w14:paraId="022B1466" w14:textId="77777777" w:rsidR="00845521" w:rsidRDefault="00000000">
      <w:pPr>
        <w:pStyle w:val="FirstParagraph"/>
      </w:pPr>
      <w:r>
        <w:t>Over the past half century, demand characteristics have been conceptually divorced from placebo effects. This distinction, however, has recently been challenged by Coles, Gaertner, et al. (2022) and Corneille and Lush (2022), who argued that 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produce both response biases and placebo effects—meaning that the artifact can bias still responses when participants have neither the motivation nor the opportunity to adjust their responses.</w:t>
      </w:r>
    </w:p>
    <w:p w14:paraId="49BA3C2F" w14:textId="77777777" w:rsidR="00845521" w:rsidRDefault="00000000">
      <w:pPr>
        <w:pStyle w:val="Heading2"/>
      </w:pPr>
      <w:bookmarkStart w:id="9" w:name="goals"/>
      <w:bookmarkEnd w:id="2"/>
      <w:bookmarkEnd w:id="8"/>
      <w:r>
        <w:t>Goals</w:t>
      </w:r>
    </w:p>
    <w:p w14:paraId="08A3BA96" w14:textId="77777777" w:rsidR="00845521"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0C39B901" w14:textId="77777777" w:rsidR="00845521" w:rsidRDefault="00000000">
      <w:pPr>
        <w:pStyle w:val="BodyText"/>
      </w:pPr>
      <w:r>
        <w:lastRenderedPageBreak/>
        <w:t>In Study 1b, we review an extension of the meta-analysis that examines whether variability in observed effect sizes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 how well this new set of participants could predict the effects of the demand characteristics manipulated in the studies included in the meta-analysis.</w:t>
      </w:r>
    </w:p>
    <w:p w14:paraId="1D7B0ACC" w14:textId="77777777" w:rsidR="00845521" w:rsidRDefault="00000000">
      <w:pPr>
        <w:pStyle w:val="BodyText"/>
      </w:pPr>
      <w:r>
        <w:t>In Study 2, we review a small replication study that re-examines the the extent to which demand effects are driven by response biases and placebo effects. In this replication study, we manipulated demand characteristics in an experiment examining the effects of facial poses on self-reported emotion [i.e., facial feedback; Coles, Larsen, and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1459E6C4" w14:textId="77777777" w:rsidR="00845521" w:rsidRDefault="00000000">
      <w:pPr>
        <w:pStyle w:val="Heading1"/>
      </w:pPr>
      <w:bookmarkStart w:id="10" w:name="study-1a"/>
      <w:bookmarkEnd w:id="9"/>
      <w:r>
        <w:t>Study 1a</w:t>
      </w:r>
    </w:p>
    <w:p w14:paraId="57F69896" w14:textId="77777777" w:rsidR="00845521" w:rsidRDefault="00000000">
      <w:pPr>
        <w:pStyle w:val="FirstParagraph"/>
      </w:pPr>
      <w:r>
        <w:t>Study 1a was designed to provide the first quantitative synthesis of strict experimental tests of demand effects, with a focus on the the direction, magnitude, and consistency of the effects.</w:t>
      </w:r>
    </w:p>
    <w:p w14:paraId="2A4892DA" w14:textId="77777777" w:rsidR="00845521" w:rsidRDefault="00000000">
      <w:pPr>
        <w:pStyle w:val="Heading2"/>
      </w:pPr>
      <w:bookmarkStart w:id="11" w:name="methodology"/>
      <w:r>
        <w:lastRenderedPageBreak/>
        <w:t>Methodology</w:t>
      </w:r>
    </w:p>
    <w:p w14:paraId="3D367F4D" w14:textId="77777777" w:rsidR="00845521"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6EBE7919" w14:textId="77777777" w:rsidR="00845521"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14:paraId="1C38A2E7" w14:textId="77777777" w:rsidR="0084552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43CE4445" w14:textId="77777777" w:rsidR="00845521" w:rsidRDefault="00000000">
      <w:pPr>
        <w:pStyle w:val="Heading3"/>
        <w:framePr w:wrap="around"/>
      </w:pPr>
      <w:bookmarkStart w:id="12" w:name="literature-search"/>
      <w:r>
        <w:lastRenderedPageBreak/>
        <w:t>Literature search.</w:t>
      </w:r>
    </w:p>
    <w:p w14:paraId="5B1DE86D" w14:textId="77777777" w:rsidR="00845521"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256A83E0" w14:textId="77777777" w:rsidR="00845521" w:rsidRDefault="00000000">
      <w:pPr>
        <w:pStyle w:val="BodyText"/>
      </w:pPr>
      <w:r>
        <w:t>We searched APA PsycInfo using broad search terms: “demand characteristics” OR “hypothesis awareness”. This yielded 850 records. We additionally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0251FFE5" w14:textId="77777777" w:rsidR="00845521" w:rsidRDefault="00000000">
      <w:pPr>
        <w:pStyle w:val="Heading3"/>
        <w:framePr w:wrap="around"/>
      </w:pPr>
      <w:bookmarkStart w:id="13" w:name="screening"/>
      <w:bookmarkEnd w:id="12"/>
      <w:r>
        <w:t>Screening.</w:t>
      </w:r>
    </w:p>
    <w:p w14:paraId="1ED2ADAA" w14:textId="77777777" w:rsidR="00845521" w:rsidRDefault="00000000">
      <w:pPr>
        <w:pStyle w:val="FirstParagraph"/>
      </w:pPr>
      <w:r>
        <w:t>To be eligible for inclusion in the meta-analysis, the following criteria must have been met:</w:t>
      </w:r>
    </w:p>
    <w:p w14:paraId="135D1274" w14:textId="77777777" w:rsidR="00845521"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but not always, this was compared to a </w:t>
      </w:r>
      <w:r>
        <w:rPr>
          <w:i/>
          <w:iCs/>
        </w:rPr>
        <w:t>control</w:t>
      </w:r>
      <w:r>
        <w:t xml:space="preserve"> condition, where participants were not told about an effect of an independent variable on a dependent variable.</w:t>
      </w:r>
    </w:p>
    <w:p w14:paraId="74999F64" w14:textId="77777777" w:rsidR="00845521"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w:t>
      </w:r>
      <w:r>
        <w:lastRenderedPageBreak/>
        <w:t>independent variable would “impact mood”, it is not clear if participants should infer that the mood will be boosted or dampened.</w:t>
      </w:r>
    </w:p>
    <w:p w14:paraId="4484A275" w14:textId="77777777" w:rsidR="00845521"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Specifically, participants were either informed or not informed that the researcher expected them to copy a large quantity of numbers. When participants were informed about this hypothesis, they were also told that such behavior would be indicative of an undesirable personality trait.</w:t>
      </w:r>
    </w:p>
    <w:p w14:paraId="2F594855" w14:textId="77777777" w:rsidR="00845521" w:rsidRDefault="00000000">
      <w:pPr>
        <w:numPr>
          <w:ilvl w:val="0"/>
          <w:numId w:val="18"/>
        </w:numPr>
      </w:pPr>
      <w:r>
        <w:t>Information necessary for computing at least one effect size was included.</w:t>
      </w:r>
    </w:p>
    <w:p w14:paraId="0F38B8F4" w14:textId="77777777" w:rsidR="00845521"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E1C147A" w14:textId="77777777" w:rsidR="00845521" w:rsidRDefault="00000000">
      <w:pPr>
        <w:pStyle w:val="Heading3"/>
        <w:framePr w:wrap="around"/>
      </w:pPr>
      <w:bookmarkStart w:id="14" w:name="effect-size-index"/>
      <w:bookmarkEnd w:id="13"/>
      <w:r>
        <w:t>Effect size index.</w:t>
      </w:r>
    </w:p>
    <w:p w14:paraId="664A49C2" w14:textId="77777777" w:rsidR="00845521"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4AFC9595" w14:textId="77777777" w:rsidR="00845521" w:rsidRDefault="00000000">
      <w:pPr>
        <w:pStyle w:val="BodyText"/>
      </w:pPr>
      <w:r>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w:t>
      </w:r>
      <w:r>
        <w:lastRenderedPageBreak/>
        <w:t>comparing happiness ratings from smiling participants who were either informed or not informed about its mood-boosting effect.</w:t>
      </w:r>
    </w:p>
    <w:p w14:paraId="57034381" w14:textId="77777777" w:rsidR="00845521"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3341858E" w14:textId="77777777" w:rsidR="00845521" w:rsidRDefault="00000000">
      <w:pPr>
        <w:pStyle w:val="BodyText"/>
      </w:pPr>
      <w:r>
        <w:t>Effect sizes were calculated so that positive values indicated an effect consistent with the communicated hypothesis. For example, if participants were told that an intervention should increase mood, an increase in mood would be coded as a positive effect. If participants were told that an intervention should decrease mood, an increase in mood would be coded as a negative effect.</w:t>
      </w:r>
    </w:p>
    <w:p w14:paraId="73AD5C51" w14:textId="77777777" w:rsidR="00845521"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t>
      </w:r>
      <w:r>
        <w:lastRenderedPageBreak/>
        <w:t xml:space="preserve">we approximated a Cohen’s </w:t>
      </w:r>
      <w:r>
        <w:rPr>
          <w:i/>
          <w:iCs/>
        </w:rPr>
        <w:t>d</w:t>
      </w:r>
      <w:r>
        <w:t xml:space="preserve"> score based on a transformation of the log odds ratio (Borenstein, Hedges, Higgins, &amp; Rothstein, 2011).</w:t>
      </w:r>
    </w:p>
    <w:p w14:paraId="5CBB976B" w14:textId="77777777" w:rsidR="00845521"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23ACD7CA" w14:textId="77777777" w:rsidR="00845521"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 for dependencies in our models (described later).</w:t>
      </w:r>
    </w:p>
    <w:p w14:paraId="38DF13C9" w14:textId="77777777" w:rsidR="00845521" w:rsidRDefault="00000000">
      <w:pPr>
        <w:pStyle w:val="Heading3"/>
        <w:framePr w:wrap="around"/>
      </w:pPr>
      <w:bookmarkStart w:id="15" w:name="potential-moderators"/>
      <w:bookmarkEnd w:id="14"/>
      <w:r>
        <w:t>Potential moderators.</w:t>
      </w:r>
    </w:p>
    <w:p w14:paraId="6106D0B9" w14:textId="77777777" w:rsidR="00845521"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two demand characteristic conditions (e.g., positive demand vs. negative demand). If demand characteristics can be additive, their effects should be larger when two demand characteristic conditions are compared (as opposed to one condition being compared to a control group).</w:t>
      </w:r>
    </w:p>
    <w:p w14:paraId="5D8226B7" w14:textId="77777777" w:rsidR="00845521" w:rsidRDefault="00000000">
      <w:pPr>
        <w:pStyle w:val="BodyText"/>
      </w:pPr>
      <w:r>
        <w:lastRenderedPageBreak/>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65142EB1" w14:textId="77777777" w:rsidR="00845521"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(4) whether demand characteristics were manipulated within- vs. between-subjects, and (5) whether participants were paid or unpaid.</w:t>
      </w:r>
    </w:p>
    <w:p w14:paraId="525031F0" w14:textId="77777777" w:rsidR="00845521" w:rsidRDefault="00000000">
      <w:pPr>
        <w:pStyle w:val="Heading3"/>
        <w:framePr w:wrap="around"/>
      </w:pPr>
      <w:bookmarkStart w:id="16" w:name="meta-analytic-approach"/>
      <w:bookmarkEnd w:id="15"/>
      <w:r>
        <w:t>Meta-analytic approach.</w:t>
      </w:r>
    </w:p>
    <w:p w14:paraId="6998A4C5" w14:textId="77777777" w:rsidR="00845521"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1FF5F894" w14:textId="77777777" w:rsidR="00845521" w:rsidRDefault="00000000">
      <w:pPr>
        <w:pStyle w:val="Heading4"/>
        <w:framePr w:wrap="around"/>
      </w:pPr>
      <w:bookmarkStart w:id="17" w:name="publication-bias-analyses"/>
      <w:r>
        <w:t>Publication bias analyses.</w:t>
      </w:r>
    </w:p>
    <w:p w14:paraId="3A4E0588" w14:textId="77777777" w:rsidR="00845521" w:rsidRDefault="00000000">
      <w:pPr>
        <w:pStyle w:val="FirstParagraph"/>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w:t>
      </w:r>
      <w:r>
        <w:lastRenderedPageBreak/>
        <w:t>Consequently, we used three main approaches for assessing and correcting for potential publication bias in our estimation of the overall effect of demand characteristics.</w:t>
      </w:r>
    </w:p>
    <w:p w14:paraId="5E36FBFC" w14:textId="77777777" w:rsidR="0084552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7E6DDA9E" w14:textId="77777777" w:rsidR="00845521" w:rsidRDefault="00000000">
      <w:pPr>
        <w:pStyle w:val="BodyText"/>
      </w:pPr>
      <w:r>
        <w:t>Second, we conducted precision-effect tests (Stanley &amp; Doucouliagos, 2014). In precision-effect tests, the relationship between observed effect sizes and their standard errors—which would be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768EB10" w14:textId="77777777" w:rsidR="00845521" w:rsidRDefault="00000000">
      <w:pPr>
        <w:pStyle w:val="BodyText"/>
      </w:pPr>
      <w:r>
        <w:lastRenderedPageBreak/>
        <w:t>Third, we used weight-function modeling (Vevea &amp; Hedges, 1995). In weight-function modeling, weighted distribution theory is used to model biased selection based on the significance of observed effects, which is then compared to an unadjusted model. If the adjusted model provides increased fit, publication bias is a concern and the model can be used to estimate the bias-corrected overall effect size. Once again, weight-function modeling was designed for meta-analyses with independent effect sizes, but it has fairly good statistical properties when non-independent effect sizes are aggregated (Rodgers &amp; Pustejovsky, 2021). We thus aggregated non-independent effect sizes when using this procedure.</w:t>
      </w:r>
    </w:p>
    <w:p w14:paraId="6F0EB4D4" w14:textId="77777777" w:rsidR="00845521" w:rsidRDefault="00000000">
      <w:pPr>
        <w:pStyle w:val="BodyText"/>
      </w:pPr>
      <w:r>
        <w:t>As a sensitivity analysis, we included publication status as a dummy-coded predictor to our overall-effect 3LMA. This allowed us to estimate the difference in the magnitude of published vs. unpublished effects.</w:t>
      </w:r>
    </w:p>
    <w:p w14:paraId="223C1810" w14:textId="77777777" w:rsidR="00845521" w:rsidRDefault="00000000">
      <w:pPr>
        <w:pStyle w:val="Heading2"/>
      </w:pPr>
      <w:bookmarkStart w:id="18" w:name="results"/>
      <w:bookmarkEnd w:id="11"/>
      <w:bookmarkEnd w:id="16"/>
      <w:bookmarkEnd w:id="17"/>
      <w:r>
        <w:t>Results</w:t>
      </w:r>
    </w:p>
    <w:p w14:paraId="7673D8C7" w14:textId="77777777" w:rsidR="00845521" w:rsidRDefault="00000000">
      <w:pPr>
        <w:pStyle w:val="FirstParagraph"/>
      </w:pPr>
      <w:r>
        <w:t xml:space="preserve">Results indicated that, overall, explicit manipulations of demand characteristics cause participants’ responses tend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5550489F" w14:textId="77777777" w:rsidR="00845521" w:rsidRDefault="00000000">
      <w:pPr>
        <w:pStyle w:val="SourceCode"/>
      </w:pPr>
      <w:r>
        <w:rPr>
          <w:rStyle w:val="VerbatimChar"/>
        </w:rPr>
        <w:t>## Warning: Using `size` aesthetic for lines was deprecated in ggplot2 3.4.0.</w:t>
      </w:r>
      <w:r>
        <w:br/>
      </w:r>
      <w:r>
        <w:rPr>
          <w:rStyle w:val="VerbatimChar"/>
        </w:rPr>
        <w:t>## i Please use `linewidth` instead.</w:t>
      </w:r>
    </w:p>
    <w:p w14:paraId="03FEDF32" w14:textId="77777777" w:rsidR="00845521" w:rsidRDefault="00000000">
      <w:pPr>
        <w:pStyle w:val="CaptionedFigure"/>
      </w:pPr>
      <w:r>
        <w:rPr>
          <w:noProof/>
        </w:rPr>
        <w:lastRenderedPageBreak/>
        <w:drawing>
          <wp:inline distT="0" distB="0" distL="0" distR="0" wp14:anchorId="5EB1C020" wp14:editId="64247EA3">
            <wp:extent cx="5963478" cy="7156173"/>
            <wp:effectExtent l="0" t="0" r="0" b="0"/>
            <wp:docPr id="41" name="Picture" descr="Figure 2.  Forest plot of effect sizes (Cohen’s d) included in the Study 1 meta-analysis. The rightmost column includes each effect size citation. The center and right columns contain the estimated effect sizes (black diamonds) and their 95% confidence intervals (black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14"/>
                    <a:stretch>
                      <a:fillRect/>
                    </a:stretch>
                  </pic:blipFill>
                  <pic:spPr bwMode="auto">
                    <a:xfrm>
                      <a:off x="0" y="0"/>
                      <a:ext cx="5963478" cy="7156173"/>
                    </a:xfrm>
                    <a:prstGeom prst="rect">
                      <a:avLst/>
                    </a:prstGeom>
                    <a:noFill/>
                    <a:ln w="9525">
                      <a:noFill/>
                      <a:headEnd/>
                      <a:tailEnd/>
                    </a:ln>
                  </pic:spPr>
                </pic:pic>
              </a:graphicData>
            </a:graphic>
          </wp:inline>
        </w:drawing>
      </w:r>
    </w:p>
    <w:p w14:paraId="63C53610" w14:textId="77777777" w:rsidR="00845521" w:rsidRDefault="00000000">
      <w:pPr>
        <w:pStyle w:val="ImageCaption"/>
      </w:pPr>
      <w:r>
        <w:rPr>
          <w:i/>
          <w:iCs/>
        </w:rPr>
        <w:t>Figure</w:t>
      </w:r>
      <w:r>
        <w:t xml:space="preserve"> </w:t>
      </w:r>
      <w:r>
        <w:rPr>
          <w:i/>
          <w:iCs/>
        </w:rPr>
        <w:t xml:space="preserve">2. </w:t>
      </w:r>
      <w:r>
        <w:t xml:space="preserve"> Forest plot of effect sizes (Cohen’s d) included in the Study 1 meta-analysis. The rightmost column includes each effect size citation. The center and right columns contain the estimated effect sizes (black diamonds) and their 95% confidence intervals (black error bars).</w:t>
      </w:r>
    </w:p>
    <w:p w14:paraId="1FB7E6CC" w14:textId="77777777" w:rsidR="00845521" w:rsidRDefault="00000000">
      <w:pPr>
        <w:pStyle w:val="SourceCode"/>
      </w:pPr>
      <w:r>
        <w:rPr>
          <w:rStyle w:val="VerbatimChar"/>
        </w:rPr>
        <w:lastRenderedPageBreak/>
        <w:t>## Warning: The following aesthetics were dropped during statistical transformation: xmin,</w:t>
      </w:r>
      <w:r>
        <w:br/>
      </w:r>
      <w:r>
        <w:rPr>
          <w:rStyle w:val="VerbatimChar"/>
        </w:rPr>
        <w:t>## xmax</w:t>
      </w:r>
      <w:r>
        <w:br/>
      </w:r>
      <w:r>
        <w:rPr>
          <w:rStyle w:val="VerbatimChar"/>
        </w:rPr>
        <w:t>## i This can happen when ggplot fails to infer the correct grouping structure in</w:t>
      </w:r>
      <w:r>
        <w:br/>
      </w:r>
      <w:r>
        <w:rPr>
          <w:rStyle w:val="VerbatimChar"/>
        </w:rPr>
        <w:t>##   the data.</w:t>
      </w:r>
      <w:r>
        <w:br/>
      </w:r>
      <w:r>
        <w:rPr>
          <w:rStyle w:val="VerbatimChar"/>
        </w:rPr>
        <w:t>## i Did you forget to specify a `group` aesthetic or to convert a numerical</w:t>
      </w:r>
      <w:r>
        <w:br/>
      </w:r>
      <w:r>
        <w:rPr>
          <w:rStyle w:val="VerbatimChar"/>
        </w:rPr>
        <w:t>##   variable into a factor?</w:t>
      </w:r>
      <w:r>
        <w:br/>
      </w:r>
      <w:r>
        <w:rPr>
          <w:rStyle w:val="VerbatimChar"/>
        </w:rPr>
        <w:t>## The following aesthetics were dropped during statistical transformation: xmin,</w:t>
      </w:r>
      <w:r>
        <w:br/>
      </w:r>
      <w:r>
        <w:rPr>
          <w:rStyle w:val="VerbatimChar"/>
        </w:rPr>
        <w:t>## xmax</w:t>
      </w:r>
      <w:r>
        <w:br/>
      </w:r>
      <w:r>
        <w:rPr>
          <w:rStyle w:val="VerbatimChar"/>
        </w:rPr>
        <w:t>## i This can happen when ggplot fails to infer the correct grouping structure in</w:t>
      </w:r>
      <w:r>
        <w:br/>
      </w:r>
      <w:r>
        <w:rPr>
          <w:rStyle w:val="VerbatimChar"/>
        </w:rPr>
        <w:t>##   the data.</w:t>
      </w:r>
      <w:r>
        <w:br/>
      </w:r>
      <w:r>
        <w:rPr>
          <w:rStyle w:val="VerbatimChar"/>
        </w:rPr>
        <w:t>## i Did you forget to specify a `group` aesthetic or to convert a numerical</w:t>
      </w:r>
      <w:r>
        <w:br/>
      </w:r>
      <w:r>
        <w:rPr>
          <w:rStyle w:val="VerbatimChar"/>
        </w:rPr>
        <w:t>##   variable into a factor?</w:t>
      </w:r>
      <w:r>
        <w:br/>
      </w:r>
      <w:r>
        <w:rPr>
          <w:rStyle w:val="VerbatimChar"/>
        </w:rPr>
        <w:t>## The following aesthetics were dropped during statistical transformation: xmin,</w:t>
      </w:r>
      <w:r>
        <w:br/>
      </w:r>
      <w:r>
        <w:rPr>
          <w:rStyle w:val="VerbatimChar"/>
        </w:rPr>
        <w:t>## xmax</w:t>
      </w:r>
      <w:r>
        <w:br/>
      </w:r>
      <w:r>
        <w:rPr>
          <w:rStyle w:val="VerbatimChar"/>
        </w:rPr>
        <w:t>## i This can happen when ggplot fails to infer the correct grouping structure in</w:t>
      </w:r>
      <w:r>
        <w:br/>
      </w:r>
      <w:r>
        <w:rPr>
          <w:rStyle w:val="VerbatimChar"/>
        </w:rPr>
        <w:t>##   the data.</w:t>
      </w:r>
      <w:r>
        <w:br/>
      </w:r>
      <w:r>
        <w:rPr>
          <w:rStyle w:val="VerbatimChar"/>
        </w:rPr>
        <w:t>## i Did you forget to specify a `group` aesthetic or to convert a numerical</w:t>
      </w:r>
      <w:r>
        <w:br/>
      </w:r>
      <w:r>
        <w:rPr>
          <w:rStyle w:val="VerbatimChar"/>
        </w:rPr>
        <w:t>##   variable into a factor?</w:t>
      </w:r>
    </w:p>
    <w:p w14:paraId="6D1DD18F" w14:textId="77777777" w:rsidR="00845521" w:rsidRDefault="00000000" w:rsidP="005335E1">
      <w:pPr>
        <w:pStyle w:val="FirstParagraph"/>
        <w:ind w:firstLine="0"/>
        <w:jc w:val="both"/>
      </w:pPr>
      <w:r>
        <w:rPr>
          <w:noProof/>
        </w:rPr>
        <w:lastRenderedPageBreak/>
        <w:drawing>
          <wp:inline distT="0" distB="0" distL="0" distR="0" wp14:anchorId="671B2C72" wp14:editId="18850D93">
            <wp:extent cx="5963478" cy="715617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etaware_manuscript_files/figure-docx/unnamed-chunk-1-1.png"/>
                    <pic:cNvPicPr>
                      <a:picLocks noChangeAspect="1" noChangeArrowheads="1"/>
                    </pic:cNvPicPr>
                  </pic:nvPicPr>
                  <pic:blipFill>
                    <a:blip r:embed="rId15"/>
                    <a:stretch>
                      <a:fillRect/>
                    </a:stretch>
                  </pic:blipFill>
                  <pic:spPr bwMode="auto">
                    <a:xfrm>
                      <a:off x="0" y="0"/>
                      <a:ext cx="5963478" cy="7156173"/>
                    </a:xfrm>
                    <a:prstGeom prst="rect">
                      <a:avLst/>
                    </a:prstGeom>
                    <a:noFill/>
                    <a:ln w="9525">
                      <a:noFill/>
                      <a:headEnd/>
                      <a:tailEnd/>
                    </a:ln>
                  </pic:spPr>
                </pic:pic>
              </a:graphicData>
            </a:graphic>
          </wp:inline>
        </w:drawing>
      </w:r>
    </w:p>
    <w:p w14:paraId="2BFD56A8" w14:textId="77777777" w:rsidR="00845521" w:rsidRDefault="00000000">
      <w:pPr>
        <w:pStyle w:val="BodyText"/>
      </w:pPr>
      <w:r>
        <w:rPr>
          <w:noProof/>
        </w:rPr>
        <w:lastRenderedPageBreak/>
        <w:drawing>
          <wp:inline distT="0" distB="0" distL="0" distR="0" wp14:anchorId="4366730E" wp14:editId="4C58B1D5">
            <wp:extent cx="4587290" cy="3669832"/>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metaware_manuscript_files/figure-docx/overall.dist-1.png"/>
                    <pic:cNvPicPr>
                      <a:picLocks noChangeAspect="1" noChangeArrowheads="1"/>
                    </pic:cNvPicPr>
                  </pic:nvPicPr>
                  <pic:blipFill>
                    <a:blip r:embed="rId16"/>
                    <a:stretch>
                      <a:fillRect/>
                    </a:stretch>
                  </pic:blipFill>
                  <pic:spPr bwMode="auto">
                    <a:xfrm>
                      <a:off x="0" y="0"/>
                      <a:ext cx="4587290" cy="3669832"/>
                    </a:xfrm>
                    <a:prstGeom prst="rect">
                      <a:avLst/>
                    </a:prstGeom>
                    <a:noFill/>
                    <a:ln w="9525">
                      <a:noFill/>
                      <a:headEnd/>
                      <a:tailEnd/>
                    </a:ln>
                  </pic:spPr>
                </pic:pic>
              </a:graphicData>
            </a:graphic>
          </wp:inline>
        </w:drawing>
      </w:r>
    </w:p>
    <w:p w14:paraId="30F240AD" w14:textId="77777777" w:rsidR="00845521" w:rsidRDefault="00000000">
      <w:pPr>
        <w:pStyle w:val="SourceCode"/>
      </w:pPr>
      <w:r>
        <w:rPr>
          <w:rStyle w:val="VerbatimChar"/>
        </w:rPr>
        <w:t>## NULL</w:t>
      </w:r>
    </w:p>
    <w:p w14:paraId="58A7F7ED" w14:textId="77777777" w:rsidR="00845521" w:rsidRDefault="00000000">
      <w:pPr>
        <w:pStyle w:val="FirstParagraph"/>
      </w:pPr>
      <w:r>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(a) sometimes produce negligible shifts in responding and (b) other times cause participants’ responses to shift in the </w:t>
      </w:r>
      <w:r>
        <w:rPr>
          <w:i/>
          <w:iCs/>
        </w:rPr>
        <w:t>opposite</w:t>
      </w:r>
      <w:r>
        <w:t xml:space="preserve"> direction of the communicated hypothesis (Figure X). For the sake of example, we arbitrarily classified any effect size less than 0.10 standard deviation in either direction as “negligible”. Based on this classification, 63 % of demand characteristics manipulations produce hypothesis-consistent shifts in responding, 19 % produce hypothesis-inconsistent shifts, and -81% produce negligible shifts in either direction.</w:t>
      </w:r>
    </w:p>
    <w:p w14:paraId="3EDF1916" w14:textId="77777777" w:rsidR="00845521" w:rsidRDefault="00000000">
      <w:pPr>
        <w:pStyle w:val="Heading3"/>
        <w:framePr w:wrap="around"/>
      </w:pPr>
      <w:bookmarkStart w:id="19" w:name="moderator-analyses"/>
      <w:r>
        <w:t>Moderator analyses.</w:t>
      </w:r>
    </w:p>
    <w:p w14:paraId="0FD2409B" w14:textId="77777777" w:rsidR="00845521" w:rsidRDefault="00000000">
      <w:pPr>
        <w:pStyle w:val="FirstParagraph"/>
      </w:pPr>
      <w:r>
        <w:lastRenderedPageBreak/>
        <w:t xml:space="preserve">The observed variability in demand effects drastically exceeded what would be expected from sampling error alone </w:t>
      </w:r>
      <m:oMath>
        <m:r>
          <w:rPr>
            <w:rFonts w:ascii="Cambria Math" w:hAnsi="Cambria Math"/>
          </w:rPr>
          <m:t>Q</m:t>
        </m:r>
      </m:oMath>
      <w:r>
        <w:t xml:space="preserve">(194) = 901.77 , </w:t>
      </w:r>
      <m:oMath>
        <m:r>
          <w:rPr>
            <w:rFonts w:ascii="Cambria Math" w:hAnsi="Cambria Math"/>
          </w:rPr>
          <m:t>p</m:t>
        </m:r>
      </m:oMath>
      <w:r>
        <w:t xml:space="preserve"> &lt; .001. This suggests the existence of moderators.</w:t>
      </w:r>
    </w:p>
    <w:p w14:paraId="10052519" w14:textId="77777777" w:rsidR="00845521"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demand characteristics also tended to be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w:t>
      </w:r>
      <m:oMath>
        <m:r>
          <w:rPr>
            <w:rFonts w:ascii="Cambria Math" w:hAnsi="Cambria Math"/>
          </w:rPr>
          <m:t>F</m:t>
        </m:r>
      </m:oMath>
      <w:r>
        <w:t xml:space="preserve">(1, 189) = 3.61, </w:t>
      </w:r>
      <m:oMath>
        <m:r>
          <w:rPr>
            <w:rFonts w:ascii="Cambria Math" w:hAnsi="Cambria Math"/>
          </w:rPr>
          <m:t>p</m:t>
        </m:r>
      </m:oMath>
      <w:r>
        <w:t xml:space="preserve"> = .059.</w:t>
      </w:r>
    </w:p>
    <w:p w14:paraId="306CD8B2" w14:textId="77777777" w:rsidR="00845521"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5AC1E95F" w14:textId="77777777" w:rsidR="00845521" w:rsidRDefault="00000000">
      <w:pPr>
        <w:pStyle w:val="BodyText"/>
      </w:pPr>
      <w:r>
        <w:t>We did not find that the effects of demand characteristics tended to differ depending on whether researchers manipulated demand characteristics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w:t>
      </w:r>
      <w:r>
        <w:lastRenderedPageBreak/>
        <w:t xml:space="preserve">.199.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5C22D101" w14:textId="77777777" w:rsidR="00845521" w:rsidRDefault="00000000">
      <w:pPr>
        <w:pStyle w:val="BodyText"/>
      </w:pPr>
      <w:r>
        <w:t>The effects of demand characteristics tended to be numerically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3EB8F7FE" w14:textId="77777777" w:rsidR="00845521" w:rsidRDefault="00000000">
      <w:pPr>
        <w:pStyle w:val="Heading4"/>
        <w:framePr w:wrap="around"/>
      </w:pPr>
      <w:bookmarkStart w:id="20" w:name="X597a8c3497739e509d542e56e9f07a16ad86ba7"/>
      <w:r>
        <w:t>Exploratory attempt to reduce confounding (tmp).</w:t>
      </w:r>
    </w:p>
    <w:p w14:paraId="590EA2F0" w14:textId="77777777" w:rsidR="00845521" w:rsidRDefault="00000000">
      <w:pPr>
        <w:pStyle w:val="FirstParagraph"/>
      </w:pPr>
      <w:r>
        <w:t>Although moderator analyses indicated that demand effects tend to be positive when working with students participant populations, running studies in-person, and not compensating participants, an exploratory inspection of the data revealed that these variables may be confounded. For example, students were more likely to be participants in in-person (61% student samples) vs. online (14% students samples) studies. Students were also more likely to be participants in unpaid (65% student samples) vs. paid (11% student samples) studies. In hindsight, this confounding seems obvious–but it was not anticipated when we developed our analysis plan.</w:t>
      </w:r>
    </w:p>
    <w:p w14:paraId="218DBEF6" w14:textId="77777777" w:rsidR="00845521" w:rsidRDefault="00000000">
      <w:pPr>
        <w:pStyle w:val="BodyText"/>
      </w:pPr>
      <w:r>
        <w:t>As an exploratory analysis, we fit a three-level meta-analysis with student status, data collection medium, and payment status entered as effect-coded factors. Although it is possible that this model was overfit, student status–but not data collection medium and payment status–were significantly associated with differences in effect size.</w:t>
      </w:r>
    </w:p>
    <w:p w14:paraId="55E39AD0" w14:textId="77777777" w:rsidR="00845521" w:rsidRDefault="00000000">
      <w:pPr>
        <w:pStyle w:val="Heading3"/>
        <w:framePr w:wrap="around"/>
      </w:pPr>
      <w:bookmarkStart w:id="21" w:name="publication-bias-analyses-1"/>
      <w:bookmarkEnd w:id="19"/>
      <w:bookmarkEnd w:id="20"/>
      <w:r>
        <w:t>Publication bias analyses.</w:t>
      </w:r>
    </w:p>
    <w:p w14:paraId="17B7074A" w14:textId="77777777" w:rsidR="00845521" w:rsidRDefault="00000000">
      <w:pPr>
        <w:pStyle w:val="FirstParagraph"/>
      </w:pPr>
      <w:r>
        <w:t xml:space="preserve">Overall, publication bias analyses were inconclusive. For instance, a funnel plot containing all effect sizes appeared to indicate that publication bias favored instances where participants’ responses shifted in a manner consistent with the communicated hypothesis. However, a funnel plot where non-independent effect sizes were </w:t>
      </w:r>
      <w:r>
        <w:lastRenderedPageBreak/>
        <w:t>aggregated appeared to indicate the opposite: that publication bias favored non-significant or hypothesis-inconsistent shifts in participants’ responses.</w:t>
      </w:r>
    </w:p>
    <w:p w14:paraId="639F60AC" w14:textId="77777777" w:rsidR="00845521" w:rsidRDefault="00000000">
      <w:pPr>
        <w:pStyle w:val="BodyText"/>
      </w:pPr>
      <w:r>
        <w:t xml:space="preserve">Precision-effect tests yielded opposite conclusions depending on whether 3LMA or aggregated non-independent effect sizes were used. Precision-effect tests with 3LMA provided a non-significant estimate of publication bias that favored positive effect sizes (i.e.,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Precision-effect tests with aggregated non-independent effect sizes, however, estimated the opposite: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statistical significance of the bias-corrected overall effect of demand characteristics.</w:t>
      </w:r>
    </w:p>
    <w:p w14:paraId="744C8890" w14:textId="77777777" w:rsidR="00845521" w:rsidRDefault="00000000">
      <w:pPr>
        <w:pStyle w:val="BodyText"/>
      </w:pPr>
      <w:r>
        <w:t xml:space="preserve">The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We did not, however, find evidence that effect sizes differed among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w:t>
      </w:r>
      <m:oMath>
        <m:r>
          <w:rPr>
            <w:rFonts w:ascii="Cambria Math" w:hAnsi="Cambria Math"/>
          </w:rPr>
          <m:t>F</m:t>
        </m:r>
      </m:oMath>
      <w:r>
        <w:t xml:space="preserve">(1, 193) = 1.08, </w:t>
      </w:r>
      <m:oMath>
        <m:r>
          <w:rPr>
            <w:rFonts w:ascii="Cambria Math" w:hAnsi="Cambria Math"/>
          </w:rPr>
          <m:t>p</m:t>
        </m:r>
      </m:oMath>
      <w:r>
        <w:t xml:space="preserve"> = .301.</w:t>
      </w:r>
    </w:p>
    <w:p w14:paraId="371FF399" w14:textId="77777777" w:rsidR="00845521" w:rsidRDefault="00000000">
      <w:pPr>
        <w:pStyle w:val="CaptionedFigure"/>
      </w:pPr>
      <w:r>
        <w:rPr>
          <w:noProof/>
        </w:rPr>
        <w:lastRenderedPageBreak/>
        <w:drawing>
          <wp:inline distT="0" distB="0" distL="0" distR="0" wp14:anchorId="01AB18BE" wp14:editId="1BE0D4C4">
            <wp:extent cx="5963478" cy="4128561"/>
            <wp:effectExtent l="0" t="0" r="0" b="0"/>
            <wp:docPr id="52" name="Picture" descr="Figure 3.  Funnel plot of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3" name="Picture" descr="metaware_manuscript_files/figure-docx/funnel-1.png"/>
                    <pic:cNvPicPr>
                      <a:picLocks noChangeAspect="1" noChangeArrowheads="1"/>
                    </pic:cNvPicPr>
                  </pic:nvPicPr>
                  <pic:blipFill>
                    <a:blip r:embed="rId17"/>
                    <a:stretch>
                      <a:fillRect/>
                    </a:stretch>
                  </pic:blipFill>
                  <pic:spPr bwMode="auto">
                    <a:xfrm>
                      <a:off x="0" y="0"/>
                      <a:ext cx="5963478" cy="4128561"/>
                    </a:xfrm>
                    <a:prstGeom prst="rect">
                      <a:avLst/>
                    </a:prstGeom>
                    <a:noFill/>
                    <a:ln w="9525">
                      <a:noFill/>
                      <a:headEnd/>
                      <a:tailEnd/>
                    </a:ln>
                  </pic:spPr>
                </pic:pic>
              </a:graphicData>
            </a:graphic>
          </wp:inline>
        </w:drawing>
      </w:r>
    </w:p>
    <w:p w14:paraId="5FD11503" w14:textId="77777777" w:rsidR="00845521" w:rsidRDefault="00000000">
      <w:pPr>
        <w:pStyle w:val="ImageCaption"/>
      </w:pPr>
      <w:commentRangeStart w:id="22"/>
      <w:r>
        <w:rPr>
          <w:i/>
          <w:iCs/>
        </w:rPr>
        <w:t>Figure</w:t>
      </w:r>
      <w:r>
        <w:t xml:space="preserve"> </w:t>
      </w:r>
      <w:r>
        <w:rPr>
          <w:i/>
          <w:iCs/>
        </w:rPr>
        <w:t xml:space="preserve">3. </w:t>
      </w:r>
      <w:r>
        <w:t xml:space="preserve"> Funnel plot of raw (A) or aggregated (B) effect sizes ploted against their corresponding standard errors.</w:t>
      </w:r>
      <w:commentRangeEnd w:id="22"/>
      <w:r w:rsidR="001E4784">
        <w:rPr>
          <w:rStyle w:val="CommentReference"/>
        </w:rPr>
        <w:commentReference w:id="22"/>
      </w:r>
    </w:p>
    <w:p w14:paraId="73200B86" w14:textId="77777777" w:rsidR="00845521" w:rsidRDefault="00000000">
      <w:pPr>
        <w:pStyle w:val="Heading2"/>
      </w:pPr>
      <w:bookmarkStart w:id="23" w:name="discussion"/>
      <w:bookmarkEnd w:id="18"/>
      <w:bookmarkEnd w:id="21"/>
      <w:r>
        <w:t>Discussion</w:t>
      </w:r>
    </w:p>
    <w:p w14:paraId="2F67020D" w14:textId="77777777" w:rsidR="00845521" w:rsidRDefault="00000000">
      <w:pPr>
        <w:pStyle w:val="FirstParagraph"/>
      </w:pPr>
      <w:r>
        <w:t>Study 1 provides the first quantitative synthesis of strict experimental tests of demand effects. Overall, explicit manipulations of demand characteristics cause participants’ responses tend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Moderator analyses revealed two study features that are associated with more hypothesis-consistent shifts in responses: (1) sampling student populations, (2) running studies </w:t>
      </w:r>
      <w:r>
        <w:lastRenderedPageBreak/>
        <w:t xml:space="preserve">in-person, and (3) communicating that </w:t>
      </w:r>
      <w:r>
        <w:rPr>
          <w:i/>
          <w:iCs/>
        </w:rPr>
        <w:t>no</w:t>
      </w:r>
      <w:r>
        <w:t xml:space="preserve"> shift in participant responses is expected (i.e., using “nil demand” manipulations). Demand characteristics also tended to produce more hypothesis-consistent shifts in responses when participants were paid—although this difference was not statistically significant. Unfortunately, though, publication bias analyses yielded inconsistent conclusions about the direction and impact of publication bias.</w:t>
      </w:r>
    </w:p>
    <w:p w14:paraId="1DC675A1" w14:textId="77777777" w:rsidR="00845521" w:rsidRDefault="00000000">
      <w:pPr>
        <w:pStyle w:val="BodyText"/>
      </w:pPr>
      <w:r>
        <w:t>Although Study 1 provides some information about the magnitude, consistency, and potential contextual moderators of demand effects, it does not address outstanding questions regarding the extent to which these effects are driven by response bias vs. placebo. For example, consider our finding that demand characteristics tend to produce more hypothesis-consistent shifts responses when working with student vs. non-student samples. If this is true, it may occur because students are more motivated to help the experimenter confirm their hypothesis (a response bias). Alternatively, it may occur because students are more likely to believe the communicated hypothesis (a placebo effect). In other words, although we have preliminary evidence of contextual modifiers of demand effects, we still lack an explanation of why these contexts might matter and how demand effects work more broadly. In Study 1b, we begin investigating this outstanding issue through an extension of the meta-analysis.</w:t>
      </w:r>
    </w:p>
    <w:p w14:paraId="619B7136" w14:textId="77777777" w:rsidR="00845521" w:rsidRDefault="00000000">
      <w:pPr>
        <w:pStyle w:val="Heading1"/>
      </w:pPr>
      <w:bookmarkStart w:id="24" w:name="study-1b"/>
      <w:bookmarkEnd w:id="10"/>
      <w:bookmarkEnd w:id="23"/>
      <w:r>
        <w:t>Study 1b</w:t>
      </w:r>
    </w:p>
    <w:p w14:paraId="235308A6" w14:textId="77777777" w:rsidR="00845521" w:rsidRDefault="00000000">
      <w:pPr>
        <w:pStyle w:val="FirstParagraph"/>
      </w:pPr>
      <w:r>
        <w:t xml:space="preserve">Study 1b was designed to examine whether variability in the effect sizes observed in the Study 1a meta-analysis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w:t>
      </w:r>
      <w:r>
        <w:lastRenderedPageBreak/>
        <w:t>underlying mechanisms.) Thus, we (a) estimated the values of these factors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437F8E96" w14:textId="77777777" w:rsidR="00845521" w:rsidRDefault="00000000">
      <w:pPr>
        <w:pStyle w:val="Heading2"/>
      </w:pPr>
      <w:bookmarkStart w:id="25" w:name="methodology-1"/>
      <w:r>
        <w:t>Methodology</w:t>
      </w:r>
    </w:p>
    <w:p w14:paraId="0F8DF8DF" w14:textId="77777777" w:rsidR="00845521"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characteristics manipulations (positive and negative demand) and two dependent variables (measures of verbal and spatial reasoning). Thus, we created four vignettes for this study (see Figure 4).</w:t>
      </w:r>
    </w:p>
    <w:p w14:paraId="54913776" w14:textId="77777777" w:rsidR="00845521"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62098966" w14:textId="77777777" w:rsidR="00845521" w:rsidRDefault="00000000">
      <w:pPr>
        <w:pStyle w:val="CaptionedFigure"/>
      </w:pPr>
      <w:r>
        <w:rPr>
          <w:noProof/>
        </w:rPr>
        <w:lastRenderedPageBreak/>
        <w:drawing>
          <wp:inline distT="0" distB="0" distL="0" distR="0" wp14:anchorId="1B4F2F56" wp14:editId="47D7AF56">
            <wp:extent cx="5969000" cy="3702084"/>
            <wp:effectExtent l="0" t="0" r="0" b="0"/>
            <wp:docPr id="59" name="Picture" descr="Figure 4.  Vignettes for Standing et al., 2008."/>
            <wp:cNvGraphicFramePr/>
            <a:graphic xmlns:a="http://schemas.openxmlformats.org/drawingml/2006/main">
              <a:graphicData uri="http://schemas.openxmlformats.org/drawingml/2006/picture">
                <pic:pic xmlns:pic="http://schemas.openxmlformats.org/drawingml/2006/picture">
                  <pic:nvPicPr>
                    <pic:cNvPr id="60" name="Picture" descr="images/metaware_vigs.png"/>
                    <pic:cNvPicPr>
                      <a:picLocks noChangeAspect="1" noChangeArrowheads="1"/>
                    </pic:cNvPicPr>
                  </pic:nvPicPr>
                  <pic:blipFill>
                    <a:blip r:embed="rId18"/>
                    <a:stretch>
                      <a:fillRect/>
                    </a:stretch>
                  </pic:blipFill>
                  <pic:spPr bwMode="auto">
                    <a:xfrm>
                      <a:off x="0" y="0"/>
                      <a:ext cx="5969000" cy="3702084"/>
                    </a:xfrm>
                    <a:prstGeom prst="rect">
                      <a:avLst/>
                    </a:prstGeom>
                    <a:noFill/>
                    <a:ln w="9525">
                      <a:noFill/>
                      <a:headEnd/>
                      <a:tailEnd/>
                    </a:ln>
                  </pic:spPr>
                </pic:pic>
              </a:graphicData>
            </a:graphic>
          </wp:inline>
        </w:drawing>
      </w:r>
    </w:p>
    <w:p w14:paraId="22E8FE99" w14:textId="77777777" w:rsidR="00845521" w:rsidRDefault="00000000">
      <w:pPr>
        <w:pStyle w:val="ImageCaption"/>
      </w:pPr>
      <w:r>
        <w:rPr>
          <w:i/>
          <w:iCs/>
        </w:rPr>
        <w:t>Figure</w:t>
      </w:r>
      <w:r>
        <w:t xml:space="preserve"> </w:t>
      </w:r>
      <w:r>
        <w:rPr>
          <w:i/>
          <w:iCs/>
        </w:rPr>
        <w:t xml:space="preserve">4. </w:t>
      </w:r>
      <w:r>
        <w:t xml:space="preserve"> Vignettes for Standing et al., 2008.</w:t>
      </w:r>
    </w:p>
    <w:p w14:paraId="5F7C06AD" w14:textId="77777777" w:rsidR="00845521" w:rsidRDefault="00000000">
      <w:pPr>
        <w:pStyle w:val="BodyText"/>
      </w:pPr>
      <w:r>
        <w:t xml:space="preserve">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provide hypothesis-consistent responses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t>
      </w:r>
      <w:r>
        <w:lastRenderedPageBreak/>
        <w:t>whether they believed participants would change their responses to confirm the hypothesis, which we discuss later. These questions were presented in random order.</w:t>
      </w:r>
    </w:p>
    <w:p w14:paraId="3419058C" w14:textId="77777777" w:rsidR="00845521" w:rsidRDefault="00000000">
      <w:pPr>
        <w:pStyle w:val="BodyText"/>
      </w:pPr>
      <w:r>
        <w:t>For each vignette, ratings were removed if the rater did not correctly identify the hypothesis communicated in the vignette. The remaining ratings were averaged across raters to provide mean estimates of motivation, opportunity, and belief.</w:t>
      </w:r>
    </w:p>
    <w:p w14:paraId="3EF69883" w14:textId="77777777" w:rsidR="00845521" w:rsidRDefault="00000000">
      <w:pPr>
        <w:pStyle w:val="Heading3"/>
        <w:framePr w:wrap="around"/>
      </w:pPr>
      <w:bookmarkStart w:id="26" w:name="X50ac5346a764638f68a9356056d1f2c3e87ad60"/>
      <w:r>
        <w:t>Accounting for different demand comparisons.</w:t>
      </w:r>
    </w:p>
    <w:p w14:paraId="3C22EE0A" w14:textId="77777777" w:rsidR="001E4784" w:rsidRDefault="001E4784">
      <w:pPr>
        <w:pStyle w:val="CaptionedFigure"/>
      </w:pPr>
    </w:p>
    <w:p w14:paraId="1545AC77" w14:textId="24ED3BFC" w:rsidR="00845521" w:rsidRDefault="00000000">
      <w:pPr>
        <w:pStyle w:val="CaptionedFigure"/>
      </w:pPr>
      <w:r>
        <w:rPr>
          <w:noProof/>
        </w:rPr>
        <w:drawing>
          <wp:inline distT="0" distB="0" distL="0" distR="0" wp14:anchorId="386E5FD1" wp14:editId="7D5EAC24">
            <wp:extent cx="5518484" cy="4665960"/>
            <wp:effectExtent l="0" t="0" r="0" b="0"/>
            <wp:docPr id="62"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wp:cNvGraphicFramePr/>
            <a:graphic xmlns:a="http://schemas.openxmlformats.org/drawingml/2006/main">
              <a:graphicData uri="http://schemas.openxmlformats.org/drawingml/2006/picture">
                <pic:pic xmlns:pic="http://schemas.openxmlformats.org/drawingml/2006/picture">
                  <pic:nvPicPr>
                    <pic:cNvPr id="63" name="Picture" descr="images/metaware_mods.png"/>
                    <pic:cNvPicPr>
                      <a:picLocks noChangeAspect="1" noChangeArrowheads="1"/>
                    </pic:cNvPicPr>
                  </pic:nvPicPr>
                  <pic:blipFill>
                    <a:blip r:embed="rId19"/>
                    <a:stretch>
                      <a:fillRect/>
                    </a:stretch>
                  </pic:blipFill>
                  <pic:spPr bwMode="auto">
                    <a:xfrm>
                      <a:off x="0" y="0"/>
                      <a:ext cx="5518484" cy="4665960"/>
                    </a:xfrm>
                    <a:prstGeom prst="rect">
                      <a:avLst/>
                    </a:prstGeom>
                    <a:noFill/>
                    <a:ln w="9525">
                      <a:noFill/>
                      <a:headEnd/>
                      <a:tailEnd/>
                    </a:ln>
                  </pic:spPr>
                </pic:pic>
              </a:graphicData>
            </a:graphic>
          </wp:inline>
        </w:drawing>
      </w:r>
    </w:p>
    <w:p w14:paraId="2CF600A9" w14:textId="77777777" w:rsidR="00845521" w:rsidRDefault="00000000">
      <w:pPr>
        <w:pStyle w:val="ImageCaption"/>
      </w:pPr>
      <w:commentRangeStart w:id="27"/>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w:t>
      </w:r>
      <w:commentRangeEnd w:id="27"/>
      <w:r w:rsidR="001E4784">
        <w:rPr>
          <w:rStyle w:val="CommentReference"/>
        </w:rPr>
        <w:commentReference w:id="27"/>
      </w:r>
    </w:p>
    <w:p w14:paraId="74842C68" w14:textId="77777777" w:rsidR="00845521" w:rsidRDefault="00000000">
      <w:pPr>
        <w:pStyle w:val="BodyText"/>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((Rosnow &amp; Rosenthal, 1997); see Figure 5, Panel A, Column 1). When comparing the two demand conditions, the size of the demand effect should be doubled because the motivational forces in the two conditions produce an additive effect. Alternatively, these motivational forces could hypothetically cancel each other out. This might happen if participants were (a) motivated to confirm the hypothesis in the positive demand condition, and (b) motivated to disconfirm the hypothesis in the negative demand condition (see Figure 5, Panel A, Column 2). Summing motivation scores allowed us to accommodate this possibility, and we used the same approach for belief (Figure 5, Panel B) and opportunity ratings (Figure 5, Panel C).</w:t>
      </w:r>
    </w:p>
    <w:p w14:paraId="0DA889E5" w14:textId="77777777" w:rsidR="00845521" w:rsidRDefault="00000000">
      <w:pPr>
        <w:pStyle w:val="BodyText"/>
      </w:pPr>
      <w:r>
        <w:t xml:space="preserve">We did not include nil-hypothesis comparisons in our analyses because our coding strategy could not accommodate the potential moderating role of motivation and belief in this </w:t>
      </w:r>
      <w:r>
        <w:lastRenderedPageBreak/>
        <w:t xml:space="preserve">condition.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15BED044" w14:textId="77777777" w:rsidR="00845521" w:rsidRDefault="00000000">
      <w:pPr>
        <w:pStyle w:val="Heading3"/>
        <w:framePr w:wrap="around"/>
      </w:pPr>
      <w:bookmarkStart w:id="28" w:name="rater-forecasts-of-demand-effects"/>
      <w:bookmarkEnd w:id="26"/>
      <w:r>
        <w:t>Rater forecasts of demand effects.</w:t>
      </w:r>
    </w:p>
    <w:p w14:paraId="54486B69" w14:textId="77777777" w:rsidR="00845521"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(Orne, 1969). To examine this, raters who reviewed the vignettes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794D8983" w14:textId="77777777" w:rsidR="00845521" w:rsidRDefault="00000000">
      <w:pPr>
        <w:pStyle w:val="Heading2"/>
      </w:pPr>
      <w:bookmarkStart w:id="29" w:name="results-1"/>
      <w:bookmarkEnd w:id="25"/>
      <w:bookmarkEnd w:id="28"/>
      <w:r>
        <w:lastRenderedPageBreak/>
        <w:t>Results</w:t>
      </w:r>
    </w:p>
    <w:p w14:paraId="2EA155C9" w14:textId="77777777" w:rsidR="00845521" w:rsidRDefault="00000000">
      <w:pPr>
        <w:pStyle w:val="CaptionedFigure"/>
      </w:pPr>
      <w:r>
        <w:rPr>
          <w:noProof/>
        </w:rPr>
        <w:drawing>
          <wp:inline distT="0" distB="0" distL="0" distR="0" wp14:anchorId="33FECB67" wp14:editId="50CDFEAA">
            <wp:extent cx="4587290" cy="3669832"/>
            <wp:effectExtent l="0" t="0" r="0" b="0"/>
            <wp:docPr id="68" name="Picture" descr="(#fig:mod.fig)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9" name="Picture" descr="metaware_manuscript_files/figure-docx/mod.fig-1.png"/>
                    <pic:cNvPicPr>
                      <a:picLocks noChangeAspect="1" noChangeArrowheads="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p>
    <w:p w14:paraId="7E64C8C5" w14:textId="77777777" w:rsidR="00845521" w:rsidRDefault="00000000">
      <w:pPr>
        <w:pStyle w:val="ImageCaption"/>
      </w:pPr>
      <w:commentRangeStart w:id="30"/>
      <w:r>
        <w:rPr>
          <w:i/>
          <w:iCs/>
        </w:rPr>
        <w:t>(#fig:mod.fig)The</w:t>
      </w:r>
      <w:r>
        <w:t xml:space="preserve"> </w:t>
      </w:r>
      <w:r>
        <w:rPr>
          <w:i/>
          <w:iCs/>
        </w:rPr>
        <w:t>effects</w:t>
      </w:r>
      <w:r>
        <w:t xml:space="preserve"> of demand characteristics on participants’ responses were not significantly moderated by motivation (Panel A) or opportunity (Panel B) ratings. They were, however, significantly moderated by belief (Panel C) and prediction (Panel D) ratings.</w:t>
      </w:r>
      <w:commentRangeEnd w:id="30"/>
      <w:r w:rsidR="00D17559">
        <w:rPr>
          <w:rStyle w:val="CommentReference"/>
        </w:rPr>
        <w:commentReference w:id="30"/>
      </w:r>
    </w:p>
    <w:p w14:paraId="7B773C14" w14:textId="77777777" w:rsidR="00845521"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(Figure @ref(fig:mod.fig) )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@(fig:mod.fig) ).</w:t>
      </w:r>
    </w:p>
    <w:p w14:paraId="2848B7B0" w14:textId="77777777" w:rsidR="00845521" w:rsidRDefault="00000000">
      <w:pPr>
        <w:pStyle w:val="BodyText"/>
      </w:pPr>
      <w:r>
        <w:t xml:space="preserve">If demand effects are driven by placebo, their effects are expected to be moderated by participants’ belief in the communicated hypothesis. Consistent with this view, demand </w:t>
      </w:r>
      <w:r>
        <w:lastRenderedPageBreak/>
        <w:t xml:space="preserve">characteristic effects were larger when raters indicated that they believed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@ref(fig:mod.fig).</w:t>
      </w:r>
    </w:p>
    <w:p w14:paraId="08BBAE7C" w14:textId="77777777" w:rsidR="00845521" w:rsidRDefault="00000000">
      <w:pPr>
        <w:pStyle w:val="BodyText"/>
      </w:pPr>
      <w:r>
        <w:t xml:space="preserve">Raters’ predictions about the effects of demand characteristics were associated with the observed effects, but this association was weak,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@ref(fig:mod.fig).</w:t>
      </w:r>
    </w:p>
    <w:p w14:paraId="232192D5" w14:textId="77777777" w:rsidR="00845521" w:rsidRDefault="00000000">
      <w:pPr>
        <w:pStyle w:val="Heading2"/>
      </w:pPr>
      <w:bookmarkStart w:id="31" w:name="discussion-1"/>
      <w:bookmarkEnd w:id="29"/>
      <w:r>
        <w:t>Discussion</w:t>
      </w:r>
    </w:p>
    <w:p w14:paraId="5A0AA94E" w14:textId="77777777" w:rsidR="00845521" w:rsidRDefault="00000000">
      <w:pPr>
        <w:pStyle w:val="FirstParagraph"/>
      </w:pPr>
      <w:r>
        <w:t>Contrary to classic conceptualizations of the impact of demand characteristics and comprehensive frameworks proposed by Rosnow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 providing preliminary evidence of a placebo-based mechanism.</w:t>
      </w:r>
    </w:p>
    <w:p w14:paraId="660DEA74" w14:textId="77777777" w:rsidR="00845521"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experimenter’s communicated hypothesis. For the sake of feasibility, we gave participants a short summary of the study set-up and the hypothesis communicated by the researcher. However, it is not clear if participants could accurately imagine the reality of being in these studies based on these relatively short descriptions. Indeed, when trying to gauge the impact of demand characteristics, Orne (1969) </w:t>
      </w:r>
      <w:r>
        <w:lastRenderedPageBreak/>
        <w:t>often would provide participants with extensive information about the study—perhaps even by running them through some of the procedures. It is thus possible that participants would have provided more valid ratings if we would have provided them with more information about the study (e.g., video recreations of the procedures).</w:t>
      </w:r>
    </w:p>
    <w:p w14:paraId="3EE84B2B" w14:textId="77777777" w:rsidR="00845521" w:rsidRDefault="00000000">
      <w:pPr>
        <w:pStyle w:val="BodyText"/>
      </w:pPr>
      <w:r>
        <w:t xml:space="preserve">Second, it is possible that our specific sample of raters—or maybe even modern-day participants in general—are not representative of the participants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do not believe it explains our pattern of results. To test it, we re-ran our motivation, opportunity, and belief moderator analyses focusing only on studies completed in the </w:t>
      </w:r>
      <w:r>
        <w:rPr>
          <w:i/>
          <w:iCs/>
        </w:rPr>
        <w:t>past decade</w:t>
      </w:r>
      <w:r>
        <w:t>. Focusing on the past decade might help minimize differences between the participants who completed the original studies and the participants who completed our rating task. The pattern of results in this sensitive analysis, however, was largely the same as the results from the full dataset.</w:t>
      </w:r>
    </w:p>
    <w:p w14:paraId="70988117" w14:textId="77777777" w:rsidR="00845521" w:rsidRDefault="00000000">
      <w:pPr>
        <w:pStyle w:val="BodyText"/>
      </w:pPr>
      <w:r>
        <w:t>Third, like most meta-analyses, it is possible that our moderator analyses were underpowered and/or contained unidentified confounds. To address these three limitations, we re-examined the moderators in a small replication of an experiment in the demand characteristics literature.</w:t>
      </w:r>
    </w:p>
    <w:p w14:paraId="259D52B5" w14:textId="77777777" w:rsidR="00845521" w:rsidRDefault="00000000">
      <w:pPr>
        <w:pStyle w:val="Heading1"/>
      </w:pPr>
      <w:bookmarkStart w:id="32" w:name="study-2"/>
      <w:bookmarkEnd w:id="24"/>
      <w:bookmarkEnd w:id="31"/>
      <w:r>
        <w:t>Study 2</w:t>
      </w:r>
    </w:p>
    <w:p w14:paraId="1F7AAD44" w14:textId="77777777" w:rsidR="00845521" w:rsidRDefault="00000000">
      <w:pPr>
        <w:pStyle w:val="FirstParagraph"/>
      </w:pPr>
      <w:r>
        <w:t>After Study 1b participants completed the vignette ratings task, we had them complete a close replication of Coles, Gaertner, et al. (2022).</w:t>
      </w:r>
    </w:p>
    <w:p w14:paraId="4055D66E" w14:textId="77777777" w:rsidR="00845521" w:rsidRDefault="00000000">
      <w:pPr>
        <w:pStyle w:val="Heading2"/>
      </w:pPr>
      <w:bookmarkStart w:id="33" w:name="methodology-2"/>
      <w:r>
        <w:lastRenderedPageBreak/>
        <w:t>Methodology</w:t>
      </w:r>
    </w:p>
    <w:p w14:paraId="381013CD" w14:textId="77777777" w:rsidR="00845521" w:rsidRDefault="00000000">
      <w:pPr>
        <w:pStyle w:val="FirstParagraph"/>
      </w:pPr>
      <w:r>
        <w:t>After completing the Study 1b ratings, we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p w14:paraId="5BD47125" w14:textId="77777777" w:rsidR="00845521" w:rsidRDefault="00000000">
      <w:pPr>
        <w:pStyle w:val="Heading2"/>
      </w:pPr>
      <w:bookmarkStart w:id="34" w:name="results-2"/>
      <w:bookmarkEnd w:id="33"/>
      <w:r>
        <w:t>Results</w:t>
      </w:r>
    </w:p>
    <w:p w14:paraId="000571D6" w14:textId="77777777" w:rsidR="00845521" w:rsidRDefault="00000000">
      <w:pPr>
        <w:pStyle w:val="FirstParagraph"/>
      </w:pPr>
      <w:r>
        <w:t xml:space="preserve">Replicating Coles, Gaertner, et al. (2022), a mixed-effect regression with (a) facial pose, demand characteristics, and block number entered as effect-coded factors and (b) random-intercepts for participants, indicated that participants reported higher levels of happiness after posing happy vs. neutral expressions, </w:t>
      </w:r>
      <w:r>
        <w:rPr>
          <w:i/>
          <w:iCs/>
        </w:rPr>
        <w:t>M</w:t>
      </w:r>
      <w:r>
        <w:rPr>
          <w:i/>
          <w:iCs/>
          <w:vertAlign w:val="subscript"/>
        </w:rPr>
        <w:t>diff</w:t>
      </w:r>
      <w:r>
        <w:t xml:space="preserve"> = 0.66, </w:t>
      </w:r>
      <w:r>
        <w:rPr>
          <w:i/>
          <w:iCs/>
        </w:rPr>
        <w:t>F</w:t>
      </w:r>
      <w:r>
        <w:t xml:space="preserve">(1, 581.62) = 180.15, </w:t>
      </w:r>
      <w:r>
        <w:rPr>
          <w:i/>
          <w:iCs/>
        </w:rPr>
        <w:t>p</w:t>
      </w:r>
      <w:r>
        <w:t xml:space="preserve"> &lt; .001. Furthermore, this effect was more pronounced in the positive (</w:t>
      </w:r>
      <w:r>
        <w:rPr>
          <w:i/>
          <w:iCs/>
        </w:rPr>
        <w:t>M</w:t>
      </w:r>
      <w:r>
        <w:rPr>
          <w:i/>
          <w:iCs/>
          <w:vertAlign w:val="subscript"/>
        </w:rPr>
        <w:t>diff</w:t>
      </w:r>
      <w:r>
        <w:t xml:space="preserve"> = 0.83) vs. nil (</w:t>
      </w:r>
      <w:r>
        <w:rPr>
          <w:i/>
          <w:iCs/>
        </w:rPr>
        <w:t>M</w:t>
      </w:r>
      <w:r>
        <w:rPr>
          <w:i/>
          <w:iCs/>
          <w:vertAlign w:val="subscript"/>
        </w:rPr>
        <w:t>diff</w:t>
      </w:r>
      <w:r>
        <w:t xml:space="preserve"> = 0.55) demand conditions, </w:t>
      </w:r>
      <w:r>
        <w:rPr>
          <w:i/>
          <w:iCs/>
        </w:rPr>
        <w:t>F</w:t>
      </w:r>
      <w:r>
        <w:t xml:space="preserve">(1, 581.62) = 7.75, </w:t>
      </w:r>
      <w:r>
        <w:rPr>
          <w:i/>
          <w:iCs/>
        </w:rPr>
        <w:t>p =</w:t>
      </w:r>
      <w:r>
        <w:t xml:space="preserve"> .006.</w:t>
      </w:r>
    </w:p>
    <w:p w14:paraId="6BECC69A" w14:textId="77777777" w:rsidR="00845521" w:rsidRDefault="00000000">
      <w:pPr>
        <w:pStyle w:val="BodyText"/>
      </w:pPr>
      <w:r>
        <w:lastRenderedPageBreak/>
        <w:t>Most importantly, we replicated the pattern of results from Study 1b. For each moderator (motivation, opportunity, and belief), we fit a mixed-effect regression containing (a) facial pose and block number as effect-coded factors, (b) the moderator entered as a continuous variable, (c) a higher-order facial pose by moderator interaction term, and (d) random intercepts for participants. We did not find that the effect of facial poses on happiness was moderated by ratings of motivation to confirm the hypothesis (</w:t>
      </w:r>
      <w:r>
        <w:rPr>
          <w:i/>
          <w:iCs/>
        </w:rPr>
        <w:t>F</w:t>
      </w:r>
      <w:r>
        <w:t xml:space="preserve">(1, 585.46) = 2.46, </w:t>
      </w:r>
      <w:r>
        <w:rPr>
          <w:i/>
          <w:iCs/>
        </w:rPr>
        <w:t>p =</w:t>
      </w:r>
      <w:r>
        <w:t xml:space="preserve"> .117 or opportunity to adjust responses (</w:t>
      </w:r>
      <w:r>
        <w:rPr>
          <w:i/>
          <w:iCs/>
        </w:rPr>
        <w:t>F</w:t>
      </w:r>
      <w:r>
        <w:t xml:space="preserve">(1, 585.25) = 1.48, </w:t>
      </w:r>
      <w:r>
        <w:rPr>
          <w:i/>
          <w:iCs/>
        </w:rPr>
        <w:t>p</w:t>
      </w:r>
      <w:r>
        <w:t xml:space="preserve"> = .224. We did, however, find that the effect of facial poses was moderated by participants’ beliefs about the hypothesized effect (</w:t>
      </w:r>
      <w:r>
        <w:rPr>
          <w:i/>
          <w:iCs/>
        </w:rPr>
        <w:t>F</w:t>
      </w:r>
      <w:r>
        <w:t xml:space="preserve">(1, 583.41) = 6.42, </w:t>
      </w:r>
      <w:r>
        <w:rPr>
          <w:i/>
          <w:iCs/>
        </w:rPr>
        <w:t>p =</w:t>
      </w:r>
      <w:r>
        <w:t xml:space="preserve"> .012. Specifically, the facial feedback effect was larger among participants who more strongly believed in the effect, </w:t>
      </w:r>
      <m:oMath>
        <m:r>
          <w:rPr>
            <w:rFonts w:ascii="Cambria Math" w:hAnsi="Cambria Math"/>
          </w:rPr>
          <m:t>β</m:t>
        </m:r>
      </m:oMath>
      <w:r>
        <w:t xml:space="preserve"> = 0.63.</w:t>
      </w:r>
    </w:p>
    <w:p w14:paraId="758BF40F" w14:textId="77777777" w:rsidR="00845521" w:rsidRDefault="00000000">
      <w:pPr>
        <w:pStyle w:val="Heading1"/>
      </w:pPr>
      <w:bookmarkStart w:id="35" w:name="general-discussion"/>
      <w:bookmarkEnd w:id="32"/>
      <w:bookmarkEnd w:id="34"/>
      <w:r>
        <w:t>General Discussion</w:t>
      </w:r>
    </w:p>
    <w:p w14:paraId="151EE3A8" w14:textId="77777777" w:rsidR="00845521" w:rsidRDefault="00000000">
      <w:pPr>
        <w:pStyle w:val="FirstParagraph"/>
      </w:pPr>
      <w:r>
        <w:t>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-1.62 to </w:t>
      </w:r>
      <m:oMath>
        <m:r>
          <w:rPr>
            <w:rFonts w:ascii="Cambria Math" w:hAnsi="Cambria Math"/>
          </w:rPr>
          <m:t>d</m:t>
        </m:r>
      </m:oMath>
      <w:r>
        <w:t xml:space="preserve"> = 1.90. This range covers the magnitude of almost every conceivable effect in experimental psychology. Thus, in order to distinguish theory-relevant effects from artifactual demand effects, it is essential that experimental psychologists better understand how the latter work.</w:t>
      </w:r>
    </w:p>
    <w:p w14:paraId="5D104F6A" w14:textId="77777777" w:rsidR="00845521" w:rsidRDefault="00000000">
      <w:pPr>
        <w:pStyle w:val="BodyText"/>
      </w:pPr>
      <w:r>
        <w:lastRenderedPageBreak/>
        <w:t>An examination of all available evidence provides a surprising clue about how demand characteristics bias participant responses. Contrary to virtually every pre-existing theoretical framework Coles, Gaertner, et al. (2022), we did not find evidence that demand effects are driven by response bias. More specifically, we did not find that two moderators 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strong evidence that demand characteristics can produce placebo-related shifts in participants’ responses, it would be premature to dismiss other potential mediators (e.g., ones that produce response biases).</w:t>
      </w:r>
    </w:p>
    <w:p w14:paraId="55C375DD" w14:textId="77777777" w:rsidR="00845521" w:rsidRDefault="00000000">
      <w:pPr>
        <w:pStyle w:val="BodyText"/>
      </w:pPr>
      <w:r>
        <w:t>Additional moderator analyses indicated that some methodological decisions—such as sampling students, running studies in-person, and not offering participant payment—are associated with increases in hypothesis-consistent responding. Furthermore, participants seem to have a modest ability to predict how demand characteristics will impact their responses. However, these conclusions should also be considered preliminary, as many meta-analytic moderator analyses have limited underpowered and/or may contain unidentified confounds.</w:t>
      </w:r>
    </w:p>
    <w:p w14:paraId="468D8FC1" w14:textId="77777777" w:rsidR="00845521" w:rsidRDefault="00000000">
      <w:pPr>
        <w:pStyle w:val="Heading2"/>
      </w:pPr>
      <w:bookmarkStart w:id="36" w:name="X7c4e31a4195cc27ff3128d99e8a746c7aa8b278"/>
      <w:r>
        <w:t>Implications for conceptualizations of participant roles</w:t>
      </w:r>
    </w:p>
    <w:p w14:paraId="3FD0AB3E" w14:textId="77777777" w:rsidR="00845521" w:rsidRDefault="00000000">
      <w:pPr>
        <w:pStyle w:val="FirstParagraph"/>
      </w:pPr>
      <w:r>
        <w:t xml:space="preserve">In his pioneering work on demand characteristics, Orne (1962) characterized participants as “good subjects” who are motivated to help the researcher confirm their hypothesis. Our </w:t>
      </w:r>
      <w:r>
        <w:lastRenderedPageBreak/>
        <w:t>results—although not without their limitations—suggest that this is not a prominent participant goal. Indeed, across all experimental contexts reviewed by Study1b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reported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w:rPr>
            <w:rFonts w:ascii="Cambria Math" w:hAnsi="Cambria Math"/>
          </w:rPr>
          <m:t>r</m:t>
        </m:r>
      </m:oMath>
      <w:r>
        <w:t xml:space="preserve"> = 0.52). These results are consistent with a placebo-based account of demand characteristics.</w:t>
      </w:r>
    </w:p>
    <w:p w14:paraId="434631FB" w14:textId="77777777" w:rsidR="00845521" w:rsidRDefault="00000000">
      <w:pPr>
        <w:pStyle w:val="BodyText"/>
      </w:pPr>
      <w:r>
        <w:t>A placebo account—in retrospect—could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76F83675" w14:textId="77777777" w:rsidR="00845521" w:rsidRDefault="00000000">
      <w:pPr>
        <w:pStyle w:val="BodyText"/>
      </w:pPr>
      <w:r>
        <w:lastRenderedPageBreak/>
        <w:t>Although our results are most consistent with a placebo account, it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several other reviews have provided evidence of this “socially desirable’ responding Sedikides &amp; Gebauer (2010). Conversely, participants may be motivated to help some experimenters (e.g., very friendly ones) confirm their hypothesis—even if they don’t believe the hypothesis or that conforming to the hypothesis will help them secure a positive evaluation. Although our meta-analysis does not provide evidence for these mechanisms, we caution against preemptively dismissing their potential impact.</w:t>
      </w:r>
    </w:p>
    <w:p w14:paraId="2B4E2343" w14:textId="77777777" w:rsidR="00845521" w:rsidRDefault="00000000">
      <w:pPr>
        <w:pStyle w:val="Heading2"/>
      </w:pPr>
      <w:bookmarkStart w:id="37" w:name="future-directions"/>
      <w:bookmarkEnd w:id="36"/>
      <w:r>
        <w:t>Future directions</w:t>
      </w:r>
    </w:p>
    <w:p w14:paraId="6FAB8572" w14:textId="77777777" w:rsidR="00845521" w:rsidRDefault="00000000">
      <w:pPr>
        <w:pStyle w:val="FirstParagraph"/>
      </w:pPr>
      <w:r>
        <w:t>In work originally published in 1969, McGuire (2009) suggested that there are three stages to a methodological artifact: ignorance, coping, and understanding/exploitation. At that same time, McGuire suggested that demand characteristics were entering the third stage. Unfortunately, over 50 years since McGuire’s initial publication, it would seem that only limited progress through this third stage has been made. There have been very few direct tests of the mechanisms believed to underlie demand effects. Furthermore, our attempts to test these mechanisms through external ratings and a small replication study largely failed to support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14:paraId="222B6AE4" w14:textId="77777777" w:rsidR="00845521" w:rsidRDefault="00000000">
      <w:pPr>
        <w:pStyle w:val="BodyText"/>
      </w:pPr>
      <w:r>
        <w:lastRenderedPageBreak/>
        <w:t xml:space="preserve">Theoretically, it is no longer tenable to keep demand characteristics conceptually divorced from related work on placebo effects. Consistent with recently proposed extensions of demand characteristic frameworks Corneille &amp; Lush (2022), our meta-analysis and replication study most strongly support </w:t>
      </w:r>
      <w:r>
        <w:rPr>
          <w:i/>
          <w:iCs/>
        </w:rPr>
        <w:t>participants’</w:t>
      </w:r>
      <w:r>
        <w:t xml:space="preserve"> </w:t>
      </w:r>
      <w:r>
        <w:rPr>
          <w:i/>
          <w:iCs/>
        </w:rPr>
        <w:t>beliefs</w:t>
      </w:r>
      <w:r>
        <w:t xml:space="preserve"> as a driver of demand effects. This may occur because demand characteristics activate pre-existing beliefs about a phenomenon being investigated—but it is also possible that these demand characteristics cause participants to update pre-existing beliefs or form new beliefs (Coles, Gaertner, et al., 2022).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smaller effects in contexts where participants’ possess relatively strong pre-existing beliefs.</w:t>
      </w:r>
    </w:p>
    <w:p w14:paraId="76B065B2" w14:textId="77777777" w:rsidR="00845521" w:rsidRDefault="00000000">
      <w:pPr>
        <w:pStyle w:val="BodyText"/>
      </w:pPr>
      <w:r>
        <w:t>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help the experimenter, secure a positive evaluation, and/or adjust their responses. These potential mechanisms could also be manipulated. For example, researchers could manipulate participants’ motivation to help the experimenter by providing financial incentives for doing so (Mummolo &amp; Peterson, 2019).</w:t>
      </w:r>
    </w:p>
    <w:p w14:paraId="683A58B2" w14:textId="77777777" w:rsidR="00845521" w:rsidRDefault="00000000">
      <w:pPr>
        <w:pStyle w:val="BodyText"/>
      </w:pPr>
      <w:r>
        <w:t xml:space="preserve">Implementation-wise, we urge future demand characteristic researchers to engage in open science practices. Records of unpublished or “file-drawered” studies would help address concerns about publication bias raised by the present meta-analysis. Access to open materials would better enable researchers to resolve discrepancies between previous studies through replication efforts Zwaan, Etz, Lucas, &amp; Donnellan (2018). Last, open data and code would better allow researchers </w:t>
      </w:r>
      <w:r>
        <w:lastRenderedPageBreak/>
        <w:t>to verify published results, reproduce analytic workflows, and explore new questions through secondary analyses.</w:t>
      </w:r>
    </w:p>
    <w:p w14:paraId="21698865" w14:textId="77777777" w:rsidR="00845521" w:rsidRDefault="00000000">
      <w:pPr>
        <w:pStyle w:val="Heading1"/>
      </w:pPr>
      <w:bookmarkStart w:id="38" w:name="conclusion"/>
      <w:bookmarkEnd w:id="35"/>
      <w:bookmarkEnd w:id="37"/>
      <w:r>
        <w:t>Conclusion</w:t>
      </w:r>
    </w:p>
    <w:p w14:paraId="68A25B76" w14:textId="2D7033B2" w:rsidR="00845521" w:rsidRDefault="00000000">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comprehensive examination of a textbook methodological concern in experimental psychology—demand characteristics—raises humbling questions about the superiority of our own discipline. After all, an examination of all available evidence indicates that demand characteristics too can bias participant responses in any direction, have extremely heterogeneous effects, and have somewhat unclear mechanisms of action. Contrary to leading ideas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w:t>
      </w:r>
      <w:del w:id="39" w:author="Nicholas Alvaro Coles" w:date="2023-02-16T20:23:00Z">
        <w:r w:rsidDel="001E4784">
          <w:delText xml:space="preserve">nature of the </w:delText>
        </w:r>
      </w:del>
      <w:r>
        <w:t>measures of potential underlying mechanisms.</w:t>
      </w:r>
    </w:p>
    <w:p w14:paraId="379BB6BA" w14:textId="77777777" w:rsidR="00845521" w:rsidRDefault="00000000">
      <w:pPr>
        <w:pStyle w:val="BodyText"/>
      </w:pPr>
      <w:r>
        <w:t xml:space="preserve">After taking stock of what we know—and don’t know—about demand characteristics, we are convinced that experimental psychology can be at least </w:t>
      </w:r>
      <w:r w:rsidRPr="001E4784">
        <w:rPr>
          <w:i/>
          <w:iCs/>
          <w:rPrChange w:id="40" w:author="Nicholas Alvaro Coles" w:date="2023-02-16T20:23:00Z">
            <w:rPr/>
          </w:rPrChange>
        </w:rPr>
        <w:t>somewhat</w:t>
      </w:r>
      <w:r>
        <w:t xml:space="preserve"> distinguished from the clearly invalid methods of Crankology. Yet, for experimental psychologists to maintain that reputation, one thing is clear: more work is needed to understand the textbook methodological issue of demand characteristics.</w:t>
      </w:r>
    </w:p>
    <w:p w14:paraId="6BBDD6E2" w14:textId="77777777" w:rsidR="00845521" w:rsidRDefault="00000000">
      <w:pPr>
        <w:pStyle w:val="Heading1"/>
      </w:pPr>
      <w:bookmarkStart w:id="41" w:name="to-do"/>
      <w:bookmarkEnd w:id="38"/>
      <w:r>
        <w:lastRenderedPageBreak/>
        <w:t>To-do</w:t>
      </w:r>
    </w:p>
    <w:p w14:paraId="6CE989B8" w14:textId="77777777" w:rsidR="00845521" w:rsidRDefault="00000000">
      <w:pPr>
        <w:pStyle w:val="FirstParagraph"/>
      </w:pPr>
      <w:r>
        <w:t>[] Work through Mike’s comment regarding the histogram</w:t>
      </w:r>
    </w:p>
    <w:p w14:paraId="56554E28" w14:textId="77777777" w:rsidR="00845521" w:rsidRDefault="00000000">
      <w:pPr>
        <w:pStyle w:val="BodyText"/>
      </w:pPr>
      <w:r>
        <w:t>[] Fix bug that is causing figures to not correctly display</w:t>
      </w:r>
    </w:p>
    <w:p w14:paraId="21A4272E" w14:textId="77777777" w:rsidR="00845521" w:rsidRDefault="00000000">
      <w:pPr>
        <w:pStyle w:val="BodyText"/>
      </w:pPr>
      <w:r>
        <w:t>---</w:t>
      </w:r>
    </w:p>
    <w:p w14:paraId="317FD09A" w14:textId="77777777" w:rsidR="00845521" w:rsidRDefault="00000000">
      <w:pPr>
        <w:pStyle w:val="BodyText"/>
      </w:pPr>
      <w:r>
        <w:t>[] F-value looks off here “Instances where a demand characteristic condition was compared to a control group allowed us to additional test whether participants respond more strongly to positive, nil, or negative demand characteristics.”</w:t>
      </w:r>
    </w:p>
    <w:p w14:paraId="0F7262F7" w14:textId="77777777" w:rsidR="00845521" w:rsidRDefault="00000000">
      <w:pPr>
        <w:pStyle w:val="BodyText"/>
      </w:pPr>
      <w:r>
        <w:t>---</w:t>
      </w:r>
    </w:p>
    <w:p w14:paraId="324B47FE" w14:textId="77777777" w:rsidR="00845521" w:rsidRDefault="00000000">
      <w:pPr>
        <w:pStyle w:val="BodyText"/>
      </w:pPr>
      <w:r>
        <w:t>[] Clean up folder structure</w:t>
      </w:r>
    </w:p>
    <w:p w14:paraId="0D159FD6" w14:textId="77777777" w:rsidR="00845521" w:rsidRDefault="00000000">
      <w:pPr>
        <w:pStyle w:val="BodyText"/>
      </w:pPr>
      <w:r>
        <w:t>[] Codebooks</w:t>
      </w:r>
    </w:p>
    <w:p w14:paraId="11A18FF0" w14:textId="77777777" w:rsidR="00845521" w:rsidRDefault="00000000">
      <w:pPr>
        <w:pStyle w:val="Heading1"/>
      </w:pPr>
      <w:bookmarkStart w:id="42" w:name="references"/>
      <w:bookmarkEnd w:id="41"/>
      <w:r>
        <w:t>References</w:t>
      </w:r>
    </w:p>
    <w:p w14:paraId="7E1BB0B1" w14:textId="77777777" w:rsidR="00845521" w:rsidRDefault="00000000">
      <w:pPr>
        <w:pStyle w:val="Bibliography"/>
      </w:pPr>
      <w:bookmarkStart w:id="43" w:name="ref-allen2012demand"/>
      <w:bookmarkStart w:id="44"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07567396" w14:textId="77777777" w:rsidR="00845521" w:rsidRDefault="00000000">
      <w:pPr>
        <w:pStyle w:val="Bibliography"/>
      </w:pPr>
      <w:bookmarkStart w:id="45" w:name="ref-barbuto1998motivation"/>
      <w:bookmarkEnd w:id="43"/>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1A9CE995" w14:textId="77777777" w:rsidR="00845521" w:rsidRDefault="00000000">
      <w:pPr>
        <w:pStyle w:val="Bibliography"/>
      </w:pPr>
      <w:bookmarkStart w:id="46" w:name="ref-berkowitz1971weapons"/>
      <w:bookmarkEnd w:id="45"/>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10B9B36D" w14:textId="77777777" w:rsidR="00845521" w:rsidRDefault="00000000">
      <w:pPr>
        <w:pStyle w:val="Bibliography"/>
      </w:pPr>
      <w:bookmarkStart w:id="47" w:name="ref-borenstein2009effect"/>
      <w:bookmarkEnd w:id="46"/>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3F251C36" w14:textId="77777777" w:rsidR="00845521" w:rsidRDefault="00000000">
      <w:pPr>
        <w:pStyle w:val="Bibliography"/>
      </w:pPr>
      <w:bookmarkStart w:id="48" w:name="ref-borenstein2011introduction"/>
      <w:bookmarkEnd w:id="47"/>
      <w:r>
        <w:t xml:space="preserve">Borenstein, M., Hedges, L. V., Higgins, J. P., &amp; Rothstein, H. R. (2011). </w:t>
      </w:r>
      <w:r>
        <w:rPr>
          <w:i/>
          <w:iCs/>
        </w:rPr>
        <w:t>Introduction to meta-analysis</w:t>
      </w:r>
      <w:r>
        <w:t>. John Wiley &amp; Sons.</w:t>
      </w:r>
    </w:p>
    <w:p w14:paraId="0DB825A0" w14:textId="77777777" w:rsidR="00845521" w:rsidRDefault="00000000">
      <w:pPr>
        <w:pStyle w:val="Bibliography"/>
      </w:pPr>
      <w:bookmarkStart w:id="49" w:name="ref-boudreaux2013goal"/>
      <w:bookmarkEnd w:id="48"/>
      <w:r>
        <w:t xml:space="preserve">Boudreaux, M. J., &amp; Ozer, D. J. (2013). Goal conflict, goal striving, and psychological well-being. </w:t>
      </w:r>
      <w:r>
        <w:rPr>
          <w:i/>
          <w:iCs/>
        </w:rPr>
        <w:t>Motivation and Emotion</w:t>
      </w:r>
      <w:r>
        <w:t xml:space="preserve">, </w:t>
      </w:r>
      <w:r>
        <w:rPr>
          <w:i/>
          <w:iCs/>
        </w:rPr>
        <w:t>37</w:t>
      </w:r>
      <w:r>
        <w:t>(3), 433–443.</w:t>
      </w:r>
    </w:p>
    <w:p w14:paraId="6C883514" w14:textId="77777777" w:rsidR="00845521" w:rsidRDefault="00000000">
      <w:pPr>
        <w:pStyle w:val="Bibliography"/>
      </w:pPr>
      <w:bookmarkStart w:id="50" w:name="ref-cohen1988statistical"/>
      <w:bookmarkEnd w:id="49"/>
      <w:r>
        <w:t xml:space="preserve">Cohen, J. (2013). </w:t>
      </w:r>
      <w:r>
        <w:rPr>
          <w:i/>
          <w:iCs/>
        </w:rPr>
        <w:t>Statistical power analysis for the behavioral sciences</w:t>
      </w:r>
      <w:r>
        <w:t xml:space="preserve"> (Vol. 2). New York, NY: Lawrence Erlbaum Associates.</w:t>
      </w:r>
    </w:p>
    <w:p w14:paraId="406924D2" w14:textId="77777777" w:rsidR="00845521" w:rsidRDefault="00000000">
      <w:pPr>
        <w:pStyle w:val="Bibliography"/>
      </w:pPr>
      <w:bookmarkStart w:id="51" w:name="ref-coles2022fact"/>
      <w:bookmarkEnd w:id="50"/>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1CB65D24" w14:textId="77777777" w:rsidR="00845521" w:rsidRDefault="00000000">
      <w:pPr>
        <w:pStyle w:val="Bibliography"/>
      </w:pPr>
      <w:bookmarkStart w:id="52" w:name="ref-coles2019meta"/>
      <w:bookmarkEnd w:id="51"/>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1B1FE12F" w14:textId="77777777" w:rsidR="00845521" w:rsidRDefault="00000000">
      <w:pPr>
        <w:pStyle w:val="Bibliography"/>
      </w:pPr>
      <w:bookmarkStart w:id="53" w:name="ref-coles2022multi"/>
      <w:bookmarkEnd w:id="52"/>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310E76E8" w14:textId="77777777" w:rsidR="00845521" w:rsidRDefault="00000000">
      <w:pPr>
        <w:pStyle w:val="Bibliography"/>
      </w:pPr>
      <w:bookmarkStart w:id="54" w:name="ref-coles2018costs"/>
      <w:bookmarkEnd w:id="53"/>
      <w:r>
        <w:t xml:space="preserve">Coles, N. A., Tiokhin, L., Scheel, A. M., Isager, P. M., &amp; Lakens, D. (2018). The costs and benefits of replication studies. </w:t>
      </w:r>
      <w:r>
        <w:rPr>
          <w:i/>
          <w:iCs/>
        </w:rPr>
        <w:t>The Behavioral and Brain Sciences</w:t>
      </w:r>
      <w:r>
        <w:t>.</w:t>
      </w:r>
    </w:p>
    <w:p w14:paraId="12F469EA" w14:textId="77777777" w:rsidR="00845521" w:rsidRDefault="00000000">
      <w:pPr>
        <w:pStyle w:val="Bibliography"/>
      </w:pPr>
      <w:bookmarkStart w:id="55" w:name="ref-cook1970demand"/>
      <w:bookmarkEnd w:id="54"/>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4590025C" w14:textId="77777777" w:rsidR="00845521" w:rsidRDefault="00000000">
      <w:pPr>
        <w:pStyle w:val="Bibliography"/>
      </w:pPr>
      <w:bookmarkStart w:id="56" w:name="ref-corneille2022sixty"/>
      <w:bookmarkEnd w:id="55"/>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40B760C8" w14:textId="77777777" w:rsidR="00845521" w:rsidRDefault="00000000">
      <w:pPr>
        <w:pStyle w:val="Bibliography"/>
      </w:pPr>
      <w:bookmarkStart w:id="57" w:name="ref-drevon2017intercoder"/>
      <w:bookmarkEnd w:id="56"/>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5608BEEF" w14:textId="77777777" w:rsidR="00845521" w:rsidRDefault="00000000">
      <w:pPr>
        <w:pStyle w:val="Bibliography"/>
      </w:pPr>
      <w:bookmarkStart w:id="58" w:name="ref-fillenbaun1970more"/>
      <w:bookmarkEnd w:id="57"/>
      <w:r>
        <w:t xml:space="preserve">Fillenbaun, S., &amp; Frey, R. (1970). More on the" faithful" behavior of suspicious subjects. </w:t>
      </w:r>
      <w:r>
        <w:rPr>
          <w:i/>
          <w:iCs/>
        </w:rPr>
        <w:t>Journal of Personality</w:t>
      </w:r>
      <w:r>
        <w:t xml:space="preserve">, </w:t>
      </w:r>
      <w:r>
        <w:rPr>
          <w:i/>
          <w:iCs/>
        </w:rPr>
        <w:t>38</w:t>
      </w:r>
      <w:r>
        <w:t>(1), 43–51.</w:t>
      </w:r>
    </w:p>
    <w:p w14:paraId="2891AE58" w14:textId="77777777" w:rsidR="00845521" w:rsidRDefault="00000000">
      <w:pPr>
        <w:pStyle w:val="Bibliography"/>
      </w:pPr>
      <w:bookmarkStart w:id="59" w:name="ref-franco2014publication"/>
      <w:bookmarkEnd w:id="58"/>
      <w:r>
        <w:t xml:space="preserve">Franco, A., Malhotra, N., &amp; Simonovits, G. (2014). Publication bias in the social sciences: Unlocking the file drawer. </w:t>
      </w:r>
      <w:r>
        <w:rPr>
          <w:i/>
          <w:iCs/>
        </w:rPr>
        <w:t>Science</w:t>
      </w:r>
      <w:r>
        <w:t xml:space="preserve">, </w:t>
      </w:r>
      <w:r>
        <w:rPr>
          <w:i/>
          <w:iCs/>
        </w:rPr>
        <w:t>345</w:t>
      </w:r>
      <w:r>
        <w:t>(6203), 1502–1505.</w:t>
      </w:r>
    </w:p>
    <w:p w14:paraId="77DA1F70" w14:textId="77777777" w:rsidR="00845521" w:rsidRDefault="00000000">
      <w:pPr>
        <w:pStyle w:val="Bibliography"/>
      </w:pPr>
      <w:bookmarkStart w:id="60" w:name="ref-hayes1967two"/>
      <w:bookmarkEnd w:id="59"/>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5F4F1BE" w14:textId="77777777" w:rsidR="00845521" w:rsidRDefault="00000000">
      <w:pPr>
        <w:pStyle w:val="Bibliography"/>
      </w:pPr>
      <w:bookmarkStart w:id="61" w:name="ref-kenealy1988validation"/>
      <w:bookmarkEnd w:id="60"/>
      <w:r>
        <w:t xml:space="preserve">Kenealy, P. (1988). Validation of a music mood induction procedure: Some preliminary findings. </w:t>
      </w:r>
      <w:r>
        <w:rPr>
          <w:i/>
          <w:iCs/>
        </w:rPr>
        <w:t>Cognition &amp; Emotion</w:t>
      </w:r>
      <w:r>
        <w:t xml:space="preserve">, </w:t>
      </w:r>
      <w:r>
        <w:rPr>
          <w:i/>
          <w:iCs/>
        </w:rPr>
        <w:t>2</w:t>
      </w:r>
      <w:r>
        <w:t>(1), 41–48.</w:t>
      </w:r>
    </w:p>
    <w:p w14:paraId="20EAC8C9" w14:textId="77777777" w:rsidR="00845521" w:rsidRDefault="00000000">
      <w:pPr>
        <w:pStyle w:val="Bibliography"/>
      </w:pPr>
      <w:bookmarkStart w:id="62" w:name="ref-kruglanski1975human"/>
      <w:bookmarkEnd w:id="61"/>
      <w:r>
        <w:t xml:space="preserve">Kruglanski, A. W. (1975). The human subject in the psychology experiment: Fact and artifact. </w:t>
      </w:r>
      <w:r>
        <w:rPr>
          <w:i/>
          <w:iCs/>
        </w:rPr>
        <w:t>Advances in Experimental Social Psychology</w:t>
      </w:r>
      <w:r>
        <w:t xml:space="preserve">, </w:t>
      </w:r>
      <w:r>
        <w:rPr>
          <w:i/>
          <w:iCs/>
        </w:rPr>
        <w:t>8</w:t>
      </w:r>
      <w:r>
        <w:t>, 101–147.</w:t>
      </w:r>
    </w:p>
    <w:p w14:paraId="6A259ACA" w14:textId="77777777" w:rsidR="00845521" w:rsidRPr="005335E1" w:rsidRDefault="00000000">
      <w:pPr>
        <w:pStyle w:val="Bibliography"/>
        <w:rPr>
          <w:lang w:val="fr-FR"/>
        </w:rPr>
      </w:pPr>
      <w:bookmarkStart w:id="63" w:name="ref-kube2021beliefs"/>
      <w:bookmarkEnd w:id="62"/>
      <w:r>
        <w:lastRenderedPageBreak/>
        <w:t xml:space="preserve">Kube, T., &amp; Rozenkrantz, L. (2021). When beliefs face reality: An integrative review of belief updating in mental health and illness. </w:t>
      </w:r>
      <w:r w:rsidRPr="005335E1">
        <w:rPr>
          <w:i/>
          <w:iCs/>
          <w:lang w:val="fr-FR"/>
        </w:rPr>
        <w:t xml:space="preserve">Perspectives on </w:t>
      </w:r>
      <w:proofErr w:type="spellStart"/>
      <w:r w:rsidRPr="005335E1">
        <w:rPr>
          <w:i/>
          <w:iCs/>
          <w:lang w:val="fr-FR"/>
        </w:rPr>
        <w:t>Psychological</w:t>
      </w:r>
      <w:proofErr w:type="spellEnd"/>
      <w:r w:rsidRPr="005335E1">
        <w:rPr>
          <w:i/>
          <w:iCs/>
          <w:lang w:val="fr-FR"/>
        </w:rPr>
        <w:t xml:space="preserve"> Science</w:t>
      </w:r>
      <w:r w:rsidRPr="005335E1">
        <w:rPr>
          <w:lang w:val="fr-FR"/>
        </w:rPr>
        <w:t xml:space="preserve">, </w:t>
      </w:r>
      <w:r w:rsidRPr="005335E1">
        <w:rPr>
          <w:i/>
          <w:iCs/>
          <w:lang w:val="fr-FR"/>
        </w:rPr>
        <w:t>16</w:t>
      </w:r>
      <w:r w:rsidRPr="005335E1">
        <w:rPr>
          <w:lang w:val="fr-FR"/>
        </w:rPr>
        <w:t>(2), 247–274.</w:t>
      </w:r>
    </w:p>
    <w:p w14:paraId="3FB01412" w14:textId="77777777" w:rsidR="00845521" w:rsidRDefault="00000000">
      <w:pPr>
        <w:pStyle w:val="Bibliography"/>
      </w:pPr>
      <w:bookmarkStart w:id="64" w:name="ref-lanz2022social"/>
      <w:bookmarkEnd w:id="63"/>
      <w:r w:rsidRPr="005335E1">
        <w:rPr>
          <w:lang w:val="fr-FR"/>
        </w:rPr>
        <w:t xml:space="preserve">Lanz, L., </w:t>
      </w:r>
      <w:proofErr w:type="spellStart"/>
      <w:r w:rsidRPr="005335E1">
        <w:rPr>
          <w:lang w:val="fr-FR"/>
        </w:rPr>
        <w:t>Thielmann</w:t>
      </w:r>
      <w:proofErr w:type="spellEnd"/>
      <w:r w:rsidRPr="005335E1">
        <w:rPr>
          <w:lang w:val="fr-FR"/>
        </w:rPr>
        <w:t xml:space="preserve">, I., &amp; </w:t>
      </w:r>
      <w:proofErr w:type="spellStart"/>
      <w:r w:rsidRPr="005335E1">
        <w:rPr>
          <w:lang w:val="fr-FR"/>
        </w:rPr>
        <w:t>Gerpott</w:t>
      </w:r>
      <w:proofErr w:type="spellEnd"/>
      <w:r w:rsidRPr="005335E1">
        <w:rPr>
          <w:lang w:val="fr-FR"/>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60FEC476" w14:textId="77777777" w:rsidR="00845521" w:rsidRDefault="00000000">
      <w:pPr>
        <w:pStyle w:val="Bibliography"/>
      </w:pPr>
      <w:bookmarkStart w:id="65" w:name="ref-masling1966role"/>
      <w:bookmarkEnd w:id="64"/>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8C3DF7A" w14:textId="77777777" w:rsidR="00845521" w:rsidRDefault="00000000">
      <w:pPr>
        <w:pStyle w:val="Bibliography"/>
      </w:pPr>
      <w:bookmarkStart w:id="66" w:name="ref-mcguire2009suspiciousness"/>
      <w:bookmarkEnd w:id="65"/>
      <w:r>
        <w:t xml:space="preserve">McGuire, W. J. (2009). Suspiciousness of experimenter’s intent. </w:t>
      </w:r>
      <w:r>
        <w:rPr>
          <w:i/>
          <w:iCs/>
        </w:rPr>
        <w:t>Artifacts in Behavioral Research. New York: Oxford</w:t>
      </w:r>
      <w:r>
        <w:t>, 15–47.</w:t>
      </w:r>
    </w:p>
    <w:p w14:paraId="7D61016A" w14:textId="77777777" w:rsidR="00845521" w:rsidRDefault="00000000">
      <w:pPr>
        <w:pStyle w:val="Bibliography"/>
      </w:pPr>
      <w:bookmarkStart w:id="67" w:name="ref-milgram1972interpreting"/>
      <w:bookmarkEnd w:id="66"/>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0D804542" w14:textId="77777777" w:rsidR="00845521" w:rsidRDefault="00000000">
      <w:pPr>
        <w:pStyle w:val="Bibliography"/>
      </w:pPr>
      <w:bookmarkStart w:id="68" w:name="ref-mummolo2019demand"/>
      <w:bookmarkEnd w:id="67"/>
      <w:r>
        <w:t xml:space="preserve">Mummolo, J., &amp; Peterson, E. (2019). Demand effects in survey experiments: An empirical assessment. </w:t>
      </w:r>
      <w:r>
        <w:rPr>
          <w:i/>
          <w:iCs/>
        </w:rPr>
        <w:t>American Political Science Review</w:t>
      </w:r>
      <w:r>
        <w:t xml:space="preserve">, </w:t>
      </w:r>
      <w:r>
        <w:rPr>
          <w:i/>
          <w:iCs/>
        </w:rPr>
        <w:t>113</w:t>
      </w:r>
      <w:r>
        <w:t>(2), 517–529.</w:t>
      </w:r>
    </w:p>
    <w:p w14:paraId="0CEDB14C" w14:textId="77777777" w:rsidR="00845521" w:rsidRDefault="00000000">
      <w:pPr>
        <w:pStyle w:val="Bibliography"/>
      </w:pPr>
      <w:bookmarkStart w:id="69" w:name="ref-orne1959nature"/>
      <w:bookmarkEnd w:id="68"/>
      <w:r>
        <w:t xml:space="preserve">Orne, M. T. (1959). The nature of hypnosis: Artifact and essence. </w:t>
      </w:r>
      <w:r>
        <w:rPr>
          <w:i/>
          <w:iCs/>
        </w:rPr>
        <w:t>The Journal of Abnormal and Social Psychology</w:t>
      </w:r>
      <w:r>
        <w:t xml:space="preserve">, </w:t>
      </w:r>
      <w:r>
        <w:rPr>
          <w:i/>
          <w:iCs/>
        </w:rPr>
        <w:t>58</w:t>
      </w:r>
      <w:r>
        <w:t>(3), 277–299.</w:t>
      </w:r>
    </w:p>
    <w:p w14:paraId="15B76C8E" w14:textId="77777777" w:rsidR="00845521" w:rsidRDefault="00000000">
      <w:pPr>
        <w:pStyle w:val="Bibliography"/>
      </w:pPr>
      <w:bookmarkStart w:id="70" w:name="ref-orne1962social"/>
      <w:bookmarkEnd w:id="69"/>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38CC430D" w14:textId="77777777" w:rsidR="00845521" w:rsidRDefault="00000000">
      <w:pPr>
        <w:pStyle w:val="Bibliography"/>
      </w:pPr>
      <w:bookmarkStart w:id="71" w:name="ref-orne1969demand"/>
      <w:bookmarkEnd w:id="70"/>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0F351DCC" w14:textId="77777777" w:rsidR="00845521" w:rsidRDefault="00000000">
      <w:pPr>
        <w:pStyle w:val="Bibliography"/>
      </w:pPr>
      <w:bookmarkStart w:id="72" w:name="ref-riecken1962program"/>
      <w:bookmarkEnd w:id="71"/>
      <w:r>
        <w:t xml:space="preserve">Riecken, H. W. (1962). A program for research on experiments in social psychology. In N. W. Washburne (Ed.), </w:t>
      </w:r>
      <w:r>
        <w:rPr>
          <w:i/>
          <w:iCs/>
        </w:rPr>
        <w:t>Decisions, values and groups</w:t>
      </w:r>
      <w:r>
        <w:t xml:space="preserve"> (Vol. 2, pp. 25–41). New York, NY: Pergamon Press.</w:t>
      </w:r>
    </w:p>
    <w:p w14:paraId="03C4C6F2" w14:textId="77777777" w:rsidR="00845521" w:rsidRDefault="00000000">
      <w:pPr>
        <w:pStyle w:val="Bibliography"/>
      </w:pPr>
      <w:bookmarkStart w:id="73" w:name="ref-rodgers2021evaluating"/>
      <w:bookmarkEnd w:id="72"/>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2F10EF5B" w14:textId="77777777" w:rsidR="00845521" w:rsidRDefault="00000000">
      <w:pPr>
        <w:pStyle w:val="Bibliography"/>
      </w:pPr>
      <w:bookmarkStart w:id="74" w:name="ref-rosenberg1969conditions"/>
      <w:bookmarkEnd w:id="73"/>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37BB4DCD" w14:textId="77777777" w:rsidR="00845521" w:rsidRDefault="00000000">
      <w:pPr>
        <w:pStyle w:val="Bibliography"/>
      </w:pPr>
      <w:bookmarkStart w:id="75" w:name="ref-rosnow1973mediation"/>
      <w:bookmarkEnd w:id="74"/>
      <w:r>
        <w:t xml:space="preserve">Rosnow, R. L., &amp; Aiken, L. S. (1973). Mediation of artifacts in behavioral research. </w:t>
      </w:r>
      <w:r>
        <w:rPr>
          <w:i/>
          <w:iCs/>
        </w:rPr>
        <w:t>Journal of Experimental Social Psychology</w:t>
      </w:r>
      <w:r>
        <w:t xml:space="preserve">, </w:t>
      </w:r>
      <w:r>
        <w:rPr>
          <w:i/>
          <w:iCs/>
        </w:rPr>
        <w:t>9</w:t>
      </w:r>
      <w:r>
        <w:t>(3), 181–201.</w:t>
      </w:r>
    </w:p>
    <w:p w14:paraId="27A47FD9" w14:textId="77777777" w:rsidR="00845521" w:rsidRDefault="00000000">
      <w:pPr>
        <w:pStyle w:val="Bibliography"/>
      </w:pPr>
      <w:bookmarkStart w:id="76" w:name="ref-rosnow1997people"/>
      <w:bookmarkEnd w:id="75"/>
      <w:r>
        <w:t xml:space="preserve">Rosnow, R. L., &amp; Rosenthal, R. (1997). </w:t>
      </w:r>
      <w:r>
        <w:rPr>
          <w:i/>
          <w:iCs/>
        </w:rPr>
        <w:t>People studying people: Artifacts and ethics in behavioral research</w:t>
      </w:r>
      <w:r>
        <w:t>. New York, NY: Freeman.</w:t>
      </w:r>
    </w:p>
    <w:p w14:paraId="6CC98185" w14:textId="77777777" w:rsidR="00845521" w:rsidRDefault="00000000">
      <w:pPr>
        <w:pStyle w:val="Bibliography"/>
      </w:pPr>
      <w:bookmarkStart w:id="77" w:name="ref-schardt2007utilization"/>
      <w:bookmarkEnd w:id="76"/>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097AB56B" w14:textId="77777777" w:rsidR="00845521" w:rsidRDefault="00000000">
      <w:pPr>
        <w:pStyle w:val="Bibliography"/>
      </w:pPr>
      <w:bookmarkStart w:id="78" w:name="ref-sedikides2010religiosity"/>
      <w:bookmarkEnd w:id="77"/>
      <w:r>
        <w:lastRenderedPageBreak/>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438E8524" w14:textId="77777777" w:rsidR="00845521" w:rsidRDefault="00000000">
      <w:pPr>
        <w:pStyle w:val="Bibliography"/>
      </w:pPr>
      <w:bookmarkStart w:id="79" w:name="ref-sharpe2016frightened"/>
      <w:bookmarkEnd w:id="78"/>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4D96838E" w14:textId="77777777" w:rsidR="00845521" w:rsidRDefault="00000000">
      <w:pPr>
        <w:pStyle w:val="Bibliography"/>
      </w:pPr>
      <w:bookmarkStart w:id="80" w:name="ref-sigall1970cooperative"/>
      <w:bookmarkEnd w:id="79"/>
      <w:r>
        <w:t xml:space="preserve">Sigall, H., Aronson, E., &amp; Van Hoose, T. (1970). The cooperative subject: Myth or reality? </w:t>
      </w:r>
      <w:r>
        <w:rPr>
          <w:i/>
          <w:iCs/>
        </w:rPr>
        <w:t>Journal of Experimental Social Psychology</w:t>
      </w:r>
      <w:r>
        <w:t xml:space="preserve">, </w:t>
      </w:r>
      <w:r>
        <w:rPr>
          <w:i/>
          <w:iCs/>
        </w:rPr>
        <w:t>6</w:t>
      </w:r>
      <w:r>
        <w:t>(1), 1–10.</w:t>
      </w:r>
    </w:p>
    <w:p w14:paraId="2241B162" w14:textId="77777777" w:rsidR="00845521" w:rsidRDefault="00000000">
      <w:pPr>
        <w:pStyle w:val="Bibliography"/>
      </w:pPr>
      <w:bookmarkStart w:id="81" w:name="ref-standing2008demonstration"/>
      <w:bookmarkEnd w:id="80"/>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4D3ECB6D" w14:textId="77777777" w:rsidR="00845521" w:rsidRDefault="00000000">
      <w:pPr>
        <w:pStyle w:val="Bibliography"/>
      </w:pPr>
      <w:bookmarkStart w:id="82" w:name="ref-stanley2014meta"/>
      <w:bookmarkEnd w:id="81"/>
      <w:r>
        <w:t xml:space="preserve">Stanley, T. D., &amp; Doucouliagos, H. (2014). Meta-regression approximations to reduce publication selection bias. </w:t>
      </w:r>
      <w:r>
        <w:rPr>
          <w:i/>
          <w:iCs/>
        </w:rPr>
        <w:t>Research Synthesis Methods</w:t>
      </w:r>
      <w:r>
        <w:t xml:space="preserve">, </w:t>
      </w:r>
      <w:r>
        <w:rPr>
          <w:i/>
          <w:iCs/>
        </w:rPr>
        <w:t>5</w:t>
      </w:r>
      <w:r>
        <w:t>(1), 60–78.</w:t>
      </w:r>
    </w:p>
    <w:p w14:paraId="7D0EF1BB" w14:textId="77777777" w:rsidR="00845521" w:rsidRDefault="00000000">
      <w:pPr>
        <w:pStyle w:val="Bibliography"/>
      </w:pPr>
      <w:bookmarkStart w:id="83" w:name="ref-strohmetz2008research"/>
      <w:bookmarkEnd w:id="82"/>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415C8AAB" w14:textId="77777777" w:rsidR="00845521" w:rsidRDefault="00000000">
      <w:pPr>
        <w:pStyle w:val="Bibliography"/>
      </w:pPr>
      <w:bookmarkStart w:id="84" w:name="ref-vesely2020social"/>
      <w:bookmarkEnd w:id="83"/>
      <w:r>
        <w:t xml:space="preserve">Vesely, S., &amp; Klöckner, C. A. (2020). Social desirability in environmental psychology research: Three meta-analyses. </w:t>
      </w:r>
      <w:r>
        <w:rPr>
          <w:i/>
          <w:iCs/>
        </w:rPr>
        <w:t>Frontiers in Psychology</w:t>
      </w:r>
      <w:r>
        <w:t xml:space="preserve">, </w:t>
      </w:r>
      <w:r>
        <w:rPr>
          <w:i/>
          <w:iCs/>
        </w:rPr>
        <w:t>11</w:t>
      </w:r>
      <w:r>
        <w:t>, 1–9.</w:t>
      </w:r>
    </w:p>
    <w:p w14:paraId="1640A627" w14:textId="77777777" w:rsidR="00845521" w:rsidRDefault="00000000">
      <w:pPr>
        <w:pStyle w:val="Bibliography"/>
      </w:pPr>
      <w:bookmarkStart w:id="85" w:name="ref-vevea1995general"/>
      <w:bookmarkEnd w:id="84"/>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4932EC73" w14:textId="77777777" w:rsidR="00845521" w:rsidRDefault="00000000">
      <w:pPr>
        <w:pStyle w:val="Bibliography"/>
      </w:pPr>
      <w:bookmarkStart w:id="86" w:name="ref-weber1972subject"/>
      <w:bookmarkEnd w:id="85"/>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41A5E027" w14:textId="77777777" w:rsidR="00845521" w:rsidRPr="005335E1" w:rsidRDefault="00000000">
      <w:pPr>
        <w:pStyle w:val="Bibliography"/>
        <w:rPr>
          <w:lang w:val="fr-FR"/>
        </w:rPr>
      </w:pPr>
      <w:bookmarkStart w:id="87" w:name="ref-yarkoni2017choosing"/>
      <w:bookmarkEnd w:id="86"/>
      <w:r>
        <w:lastRenderedPageBreak/>
        <w:t xml:space="preserve">Yarkoni, T., &amp; Westfall, J. (2017). Choosing prediction over explanation in psychology: Lessons from machine learning. </w:t>
      </w:r>
      <w:r w:rsidRPr="005335E1">
        <w:rPr>
          <w:i/>
          <w:iCs/>
          <w:lang w:val="fr-FR"/>
        </w:rPr>
        <w:t xml:space="preserve">Perspectives on </w:t>
      </w:r>
      <w:proofErr w:type="spellStart"/>
      <w:r w:rsidRPr="005335E1">
        <w:rPr>
          <w:i/>
          <w:iCs/>
          <w:lang w:val="fr-FR"/>
        </w:rPr>
        <w:t>Psychological</w:t>
      </w:r>
      <w:proofErr w:type="spellEnd"/>
      <w:r w:rsidRPr="005335E1">
        <w:rPr>
          <w:i/>
          <w:iCs/>
          <w:lang w:val="fr-FR"/>
        </w:rPr>
        <w:t xml:space="preserve"> Science</w:t>
      </w:r>
      <w:r w:rsidRPr="005335E1">
        <w:rPr>
          <w:lang w:val="fr-FR"/>
        </w:rPr>
        <w:t xml:space="preserve">, </w:t>
      </w:r>
      <w:r w:rsidRPr="005335E1">
        <w:rPr>
          <w:i/>
          <w:iCs/>
          <w:lang w:val="fr-FR"/>
        </w:rPr>
        <w:t>12</w:t>
      </w:r>
      <w:r w:rsidRPr="005335E1">
        <w:rPr>
          <w:lang w:val="fr-FR"/>
        </w:rPr>
        <w:t>(6), 1100–1122.</w:t>
      </w:r>
    </w:p>
    <w:p w14:paraId="139512FC" w14:textId="77777777" w:rsidR="00845521" w:rsidRDefault="00000000">
      <w:pPr>
        <w:pStyle w:val="Bibliography"/>
      </w:pPr>
      <w:bookmarkStart w:id="88" w:name="ref-zion2018mindsets"/>
      <w:bookmarkEnd w:id="87"/>
      <w:r w:rsidRPr="005335E1">
        <w:rPr>
          <w:lang w:val="fr-FR"/>
        </w:rPr>
        <w:t xml:space="preserve">Zion, S. R., &amp; </w:t>
      </w:r>
      <w:proofErr w:type="spellStart"/>
      <w:r w:rsidRPr="005335E1">
        <w:rPr>
          <w:lang w:val="fr-FR"/>
        </w:rPr>
        <w:t>Crum</w:t>
      </w:r>
      <w:proofErr w:type="spellEnd"/>
      <w:r w:rsidRPr="005335E1">
        <w:rPr>
          <w:lang w:val="fr-FR"/>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590606B7" w14:textId="77777777" w:rsidR="00845521" w:rsidRDefault="00000000">
      <w:pPr>
        <w:pStyle w:val="Bibliography"/>
      </w:pPr>
      <w:bookmarkStart w:id="89" w:name="ref-zwaan2018making"/>
      <w:bookmarkEnd w:id="88"/>
      <w:r>
        <w:t xml:space="preserve">Zwaan, R. A., Etz, A., Lucas, R. E., &amp; Donnellan, M. B. (2018). Making replication mainstream. </w:t>
      </w:r>
      <w:r>
        <w:rPr>
          <w:i/>
          <w:iCs/>
        </w:rPr>
        <w:t>Behavioral and Brain Sciences</w:t>
      </w:r>
      <w:r>
        <w:t xml:space="preserve">, </w:t>
      </w:r>
      <w:r>
        <w:rPr>
          <w:i/>
          <w:iCs/>
        </w:rPr>
        <w:t>41</w:t>
      </w:r>
      <w:r>
        <w:t>.</w:t>
      </w:r>
      <w:bookmarkEnd w:id="42"/>
      <w:bookmarkEnd w:id="44"/>
      <w:bookmarkEnd w:id="89"/>
    </w:p>
    <w:sectPr w:rsidR="00845521" w:rsidSect="00CB20D0">
      <w:headerReference w:type="even" r:id="rId21"/>
      <w:headerReference w:type="default" r:id="rId22"/>
      <w:headerReference w:type="first" r:id="rId23"/>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icholas Alvaro Coles" w:date="2023-02-16T20:15:00Z" w:initials="NAC">
    <w:p w14:paraId="01A77452" w14:textId="77777777" w:rsidR="001E4784" w:rsidRDefault="001E4784" w:rsidP="003A7C31">
      <w:pPr>
        <w:pStyle w:val="CommentText"/>
      </w:pPr>
      <w:r>
        <w:rPr>
          <w:rStyle w:val="CommentReference"/>
        </w:rPr>
        <w:annotationRef/>
      </w:r>
      <w:r>
        <w:t>Knock out receptivity</w:t>
      </w:r>
      <w:r>
        <w:br/>
      </w:r>
      <w:r>
        <w:br/>
        <w:t>Unbold moderators</w:t>
      </w:r>
      <w:r>
        <w:br/>
      </w:r>
      <w:r>
        <w:br/>
        <w:t>Add belief moderator</w:t>
      </w:r>
      <w:r>
        <w:br/>
      </w:r>
      <w:r>
        <w:br/>
        <w:t>Change colors and try to match aes of forest plot</w:t>
      </w:r>
    </w:p>
  </w:comment>
  <w:comment w:id="22" w:author="Nicholas Alvaro Coles" w:date="2023-02-16T20:19:00Z" w:initials="NAC">
    <w:p w14:paraId="00482BC3" w14:textId="77777777" w:rsidR="001E4784" w:rsidRDefault="001E4784" w:rsidP="00B13CF7">
      <w:pPr>
        <w:pStyle w:val="CommentText"/>
      </w:pPr>
      <w:r>
        <w:rPr>
          <w:rStyle w:val="CommentReference"/>
        </w:rPr>
        <w:annotationRef/>
      </w:r>
      <w:r>
        <w:t>Lower amount of space at bottom of y axis.</w:t>
      </w:r>
      <w:r>
        <w:br/>
      </w:r>
      <w:r>
        <w:br/>
        <w:t>Make y-axes consistent and then remove the axis for y</w:t>
      </w:r>
      <w:r>
        <w:br/>
      </w:r>
      <w:r>
        <w:br/>
        <w:t>Make x-axis consistent</w:t>
      </w:r>
      <w:r>
        <w:br/>
      </w:r>
      <w:r>
        <w:br/>
        <w:t>Match colors of Fig 2</w:t>
      </w:r>
    </w:p>
  </w:comment>
  <w:comment w:id="27" w:author="Nicholas Alvaro Coles" w:date="2023-02-16T20:20:00Z" w:initials="NAC">
    <w:p w14:paraId="2312D804" w14:textId="77777777" w:rsidR="001E4784" w:rsidRDefault="001E4784" w:rsidP="006820EA">
      <w:pPr>
        <w:pStyle w:val="CommentText"/>
      </w:pPr>
      <w:r>
        <w:rPr>
          <w:rStyle w:val="CommentReference"/>
        </w:rPr>
        <w:annotationRef/>
      </w:r>
      <w:r>
        <w:t>Recreate this in R. Make aesthetics similar. Color code</w:t>
      </w:r>
    </w:p>
  </w:comment>
  <w:comment w:id="30" w:author="Nicholas Alvaro Coles" w:date="2023-02-16T20:48:00Z" w:initials="NAC">
    <w:p w14:paraId="74D50B6C" w14:textId="77777777" w:rsidR="00D17559" w:rsidRDefault="00D17559" w:rsidP="00BF41D9">
      <w:pPr>
        <w:pStyle w:val="CommentText"/>
      </w:pPr>
      <w:r>
        <w:rPr>
          <w:rStyle w:val="CommentReference"/>
        </w:rPr>
        <w:annotationRef/>
      </w:r>
      <w:r>
        <w:t>Match aes from the other plots. Also make it full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A77452" w15:done="0"/>
  <w15:commentEx w15:paraId="00482BC3" w15:done="0"/>
  <w15:commentEx w15:paraId="2312D804" w15:done="0"/>
  <w15:commentEx w15:paraId="74D50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90D66" w16cex:dateUtc="2023-02-17T04:15:00Z"/>
  <w16cex:commentExtensible w16cex:durableId="27990E53" w16cex:dateUtc="2023-02-17T04:19:00Z"/>
  <w16cex:commentExtensible w16cex:durableId="27990E97" w16cex:dateUtc="2023-02-17T04:20:00Z"/>
  <w16cex:commentExtensible w16cex:durableId="27991533" w16cex:dateUtc="2023-02-17T0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A77452" w16cid:durableId="27990D66"/>
  <w16cid:commentId w16cid:paraId="00482BC3" w16cid:durableId="27990E53"/>
  <w16cid:commentId w16cid:paraId="2312D804" w16cid:durableId="27990E97"/>
  <w16cid:commentId w16cid:paraId="74D50B6C" w16cid:durableId="279915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50403" w14:textId="77777777" w:rsidR="004E2494" w:rsidRDefault="004E2494">
      <w:pPr>
        <w:spacing w:before="0" w:after="0" w:line="240" w:lineRule="auto"/>
      </w:pPr>
      <w:r>
        <w:separator/>
      </w:r>
    </w:p>
  </w:endnote>
  <w:endnote w:type="continuationSeparator" w:id="0">
    <w:p w14:paraId="0890B388" w14:textId="77777777" w:rsidR="004E2494" w:rsidRDefault="004E24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3EBF0" w14:textId="77777777" w:rsidR="004E2494" w:rsidRDefault="004E2494">
      <w:r>
        <w:separator/>
      </w:r>
    </w:p>
  </w:footnote>
  <w:footnote w:type="continuationSeparator" w:id="0">
    <w:p w14:paraId="552DC7B2" w14:textId="77777777" w:rsidR="004E2494" w:rsidRDefault="004E2494">
      <w:r>
        <w:continuationSeparator/>
      </w:r>
    </w:p>
  </w:footnote>
  <w:footnote w:id="1">
    <w:p w14:paraId="4A6C236F" w14:textId="77777777" w:rsidR="00845521"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80F500D"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7ED320"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0DEBB6"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1890DE"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A58B7D9"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91D2A1" w14:textId="77777777" w:rsidR="00DA0F6A" w:rsidRDefault="00000000" w:rsidP="00DA0F6A">
    <w:pPr>
      <w:pStyle w:val="Header"/>
      <w:ind w:right="360"/>
    </w:pPr>
    <w:r>
      <w:t>Running head: DEMAND CHARACTERISTICS META-ANALYSIS</w:t>
    </w:r>
  </w:p>
  <w:p w14:paraId="1D4A3951"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A42E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82B24D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82174573">
    <w:abstractNumId w:val="13"/>
  </w:num>
  <w:num w:numId="2" w16cid:durableId="961421345">
    <w:abstractNumId w:val="13"/>
  </w:num>
  <w:num w:numId="3" w16cid:durableId="818038554">
    <w:abstractNumId w:val="14"/>
  </w:num>
  <w:num w:numId="4" w16cid:durableId="806893576">
    <w:abstractNumId w:val="1"/>
  </w:num>
  <w:num w:numId="5" w16cid:durableId="1235894713">
    <w:abstractNumId w:val="2"/>
  </w:num>
  <w:num w:numId="6" w16cid:durableId="1633099417">
    <w:abstractNumId w:val="3"/>
  </w:num>
  <w:num w:numId="7" w16cid:durableId="1632438241">
    <w:abstractNumId w:val="4"/>
  </w:num>
  <w:num w:numId="8" w16cid:durableId="2000572831">
    <w:abstractNumId w:val="9"/>
  </w:num>
  <w:num w:numId="9" w16cid:durableId="1997565484">
    <w:abstractNumId w:val="5"/>
  </w:num>
  <w:num w:numId="10" w16cid:durableId="1645044606">
    <w:abstractNumId w:val="6"/>
  </w:num>
  <w:num w:numId="11" w16cid:durableId="314921909">
    <w:abstractNumId w:val="7"/>
  </w:num>
  <w:num w:numId="12" w16cid:durableId="876771954">
    <w:abstractNumId w:val="8"/>
  </w:num>
  <w:num w:numId="13" w16cid:durableId="2108771858">
    <w:abstractNumId w:val="10"/>
  </w:num>
  <w:num w:numId="14" w16cid:durableId="1898781732">
    <w:abstractNumId w:val="14"/>
  </w:num>
  <w:num w:numId="15" w16cid:durableId="1025668683">
    <w:abstractNumId w:val="0"/>
  </w:num>
  <w:num w:numId="16" w16cid:durableId="1220480900">
    <w:abstractNumId w:val="0"/>
  </w:num>
  <w:num w:numId="17" w16cid:durableId="1467040835">
    <w:abstractNumId w:val="11"/>
  </w:num>
  <w:num w:numId="18" w16cid:durableId="145602512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5521"/>
    <w:rsid w:val="001C213D"/>
    <w:rsid w:val="001E4784"/>
    <w:rsid w:val="003911D5"/>
    <w:rsid w:val="004E2494"/>
    <w:rsid w:val="00506C89"/>
    <w:rsid w:val="005335E1"/>
    <w:rsid w:val="00845521"/>
    <w:rsid w:val="00D17559"/>
    <w:rsid w:val="00D27B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807A3"/>
  <w15:docId w15:val="{89023F6F-0A7B-4B8B-BC3A-39C7F4365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1E4784"/>
    <w:rPr>
      <w:sz w:val="16"/>
      <w:szCs w:val="16"/>
    </w:rPr>
  </w:style>
  <w:style w:type="paragraph" w:styleId="CommentText">
    <w:name w:val="annotation text"/>
    <w:basedOn w:val="Normal"/>
    <w:link w:val="CommentTextChar"/>
    <w:unhideWhenUsed/>
    <w:rsid w:val="001E4784"/>
    <w:pPr>
      <w:spacing w:line="240" w:lineRule="auto"/>
    </w:pPr>
    <w:rPr>
      <w:sz w:val="20"/>
      <w:szCs w:val="20"/>
    </w:rPr>
  </w:style>
  <w:style w:type="character" w:customStyle="1" w:styleId="CommentTextChar">
    <w:name w:val="Comment Text Char"/>
    <w:basedOn w:val="DefaultParagraphFont"/>
    <w:link w:val="CommentText"/>
    <w:rsid w:val="001E4784"/>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1E4784"/>
    <w:rPr>
      <w:b/>
      <w:bCs/>
    </w:rPr>
  </w:style>
  <w:style w:type="character" w:customStyle="1" w:styleId="CommentSubjectChar">
    <w:name w:val="Comment Subject Char"/>
    <w:basedOn w:val="CommentTextChar"/>
    <w:link w:val="CommentSubject"/>
    <w:semiHidden/>
    <w:rsid w:val="001E4784"/>
    <w:rPr>
      <w:rFonts w:ascii="Times New Roman" w:hAnsi="Times New Roman"/>
      <w:b/>
      <w:bCs/>
      <w:sz w:val="20"/>
      <w:szCs w:val="20"/>
    </w:rPr>
  </w:style>
  <w:style w:type="paragraph" w:styleId="Revision">
    <w:name w:val="Revision"/>
    <w:hidden/>
    <w:semiHidden/>
    <w:rsid w:val="001E478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coles@stanford.edu"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F7CFA-2DAC-49C5-9621-ED8FDAD3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51</Pages>
  <Words>11157</Words>
  <Characters>63597</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74605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4</cp:revision>
  <dcterms:created xsi:type="dcterms:W3CDTF">2023-02-17T04:04:00Z</dcterms:created>
  <dcterms:modified xsi:type="dcterms:W3CDTF">2023-02-17T04:48:00Z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y fmtid="{D5CDD505-2E9C-101B-9397-08002B2CF9AE}" pid="18" name="Mendeley Recent Style Id 0_1">
    <vt:lpwstr>http://www.zotero.org/styles/american-medical-association</vt:lpwstr>
  </property>
  <property fmtid="{D5CDD505-2E9C-101B-9397-08002B2CF9AE}" pid="19" name="Mendeley Recent Style Name 0_1">
    <vt:lpwstr>American Medical Association 11th edition</vt:lpwstr>
  </property>
  <property fmtid="{D5CDD505-2E9C-101B-9397-08002B2CF9AE}" pid="20" name="Mendeley Recent Style Id 1_1">
    <vt:lpwstr>http://www.zotero.org/styles/american-political-science-association</vt:lpwstr>
  </property>
  <property fmtid="{D5CDD505-2E9C-101B-9397-08002B2CF9AE}" pid="21" name="Mendeley Recent Style Name 1_1">
    <vt:lpwstr>American Political Science Association</vt:lpwstr>
  </property>
  <property fmtid="{D5CDD505-2E9C-101B-9397-08002B2CF9AE}" pid="22" name="Mendeley Recent Style Id 2_1">
    <vt:lpwstr>http://csl.mendeley.com/styles/470255051/apa</vt:lpwstr>
  </property>
  <property fmtid="{D5CDD505-2E9C-101B-9397-08002B2CF9AE}" pid="23" name="Mendeley Recent Style Name 2_1">
    <vt:lpwstr>American Psychological Association 6th edition - Nicholas Coles</vt:lpwstr>
  </property>
  <property fmtid="{D5CDD505-2E9C-101B-9397-08002B2CF9AE}" pid="24" name="Mendeley Recent Style Id 3_1">
    <vt:lpwstr>http://www.zotero.org/styles/american-sociological-association</vt:lpwstr>
  </property>
  <property fmtid="{D5CDD505-2E9C-101B-9397-08002B2CF9AE}" pid="25" name="Mendeley Recent Style Name 3_1">
    <vt:lpwstr>American Sociological Association 6th edition</vt:lpwstr>
  </property>
  <property fmtid="{D5CDD505-2E9C-101B-9397-08002B2CF9AE}" pid="26" name="Mendeley Recent Style Id 4_1">
    <vt:lpwstr>http://www.zotero.org/styles/chicago-author-date</vt:lpwstr>
  </property>
  <property fmtid="{D5CDD505-2E9C-101B-9397-08002B2CF9AE}" pid="27" name="Mendeley Recent Style Name 4_1">
    <vt:lpwstr>Chicago Manual of Style 17th edition (author-date)</vt:lpwstr>
  </property>
  <property fmtid="{D5CDD505-2E9C-101B-9397-08002B2CF9AE}" pid="28" name="Mendeley Recent Style Id 5_1">
    <vt:lpwstr>http://www.zotero.org/styles/harvard-cite-them-right</vt:lpwstr>
  </property>
  <property fmtid="{D5CDD505-2E9C-101B-9397-08002B2CF9AE}" pid="29" name="Mendeley Recent Style Name 5_1">
    <vt:lpwstr>Cite Them Right 10th edition - Harvard</vt:lpwstr>
  </property>
  <property fmtid="{D5CDD505-2E9C-101B-9397-08002B2CF9AE}" pid="30" name="Mendeley Recent Style Id 6_1">
    <vt:lpwstr>http://www.zotero.org/styles/ieee</vt:lpwstr>
  </property>
  <property fmtid="{D5CDD505-2E9C-101B-9397-08002B2CF9AE}" pid="31" name="Mendeley Recent Style Name 6_1">
    <vt:lpwstr>IEEE</vt:lpwstr>
  </property>
  <property fmtid="{D5CDD505-2E9C-101B-9397-08002B2CF9AE}" pid="32" name="Mendeley Recent Style Id 7_1">
    <vt:lpwstr>http://www.zotero.org/styles/modern-humanities-research-association</vt:lpwstr>
  </property>
  <property fmtid="{D5CDD505-2E9C-101B-9397-08002B2CF9AE}" pid="33" name="Mendeley Recent Style Name 7_1">
    <vt:lpwstr>Modern Humanities Research Association 3rd edition (note with bibliography)</vt:lpwstr>
  </property>
  <property fmtid="{D5CDD505-2E9C-101B-9397-08002B2CF9AE}" pid="34" name="Mendeley Recent Style Id 8_1">
    <vt:lpwstr>http://www.zotero.org/styles/modern-language-association</vt:lpwstr>
  </property>
  <property fmtid="{D5CDD505-2E9C-101B-9397-08002B2CF9AE}" pid="35" name="Mendeley Recent Style Name 8_1">
    <vt:lpwstr>Modern Language Association 8th edition</vt:lpwstr>
  </property>
  <property fmtid="{D5CDD505-2E9C-101B-9397-08002B2CF9AE}" pid="36" name="Mendeley Recent Style Id 9_1">
    <vt:lpwstr>http://www.zotero.org/styles/nature</vt:lpwstr>
  </property>
  <property fmtid="{D5CDD505-2E9C-101B-9397-08002B2CF9AE}" pid="37" name="Mendeley Recent Style Name 9_1">
    <vt:lpwstr>Nature</vt:lpwstr>
  </property>
</Properties>
</file>