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explain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If this scenario were real, you would reasonably question whether Colesology is a valid method of scientific inquiry. But what if we’re not merely describing Colesology? What if we are also, to some extent, describing</w:t>
      </w:r>
      <w:r>
        <w:t xml:space="preserve"> </w:t>
      </w:r>
      <w:r>
        <w:rPr>
          <w:iCs/>
          <w:i/>
        </w:rPr>
        <w:t xml:space="preserve">experimental psychology</w:t>
      </w:r>
      <w:r>
        <w:t xml:space="preserve">.</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In this paper,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 a methodological artifact called</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controversial at first, with some researchers arguing that Orne’s claims about demand characteristics were vague and/or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state of affairs: demand characteristics are a literal textbook methodological concern, but it is not clear when and how their effects emerge. The goal of the current paper is to use meta-analysis to take stock of what we know—and what we don’t know—about this methodological artifact. 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cues"/>
    <w:p>
      <w:pPr>
        <w:pStyle w:val="berschrift3"/>
      </w:pPr>
      <w:r>
        <w:t xml:space="preserve">Receptivity to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agreed on one overarching principle: that participants’ motivation to provide hypothesis-consistent responses drives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overall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might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–not necessarily their actual mood.</w:t>
      </w:r>
    </w:p>
    <w:p>
      <w:pPr>
        <w:pStyle w:val="Textkrper"/>
      </w:pPr>
      <w:r>
        <w:t xml:space="preserve">Coles et al. (2022)</w:t>
      </w:r>
      <w:r>
        <w:t xml:space="preserve"> </w:t>
      </w:r>
      <w:r>
        <w:t xml:space="preserve">argued that demand characteristics not only have the potential to lead to response biases, 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w:t>
      </w:r>
      <w:r>
        <w:t xml:space="preserve"> </w:t>
      </w:r>
      <w:r>
        <w:t xml:space="preserve">Orne (1962)</w:t>
      </w:r>
      <w:r>
        <w:t xml:space="preserve"> </w:t>
      </w:r>
      <w:r>
        <w:t xml:space="preserve">more broadly defined demand characteristics as</w:t>
      </w:r>
      <w:r>
        <w:t xml:space="preserve"> </w:t>
      </w:r>
      <w:r>
        <w:rPr>
          <w:iCs/>
          <w:i/>
        </w:rPr>
        <w:t xml:space="preserve">any</w:t>
      </w:r>
      <w:r>
        <w:t xml:space="preserve"> </w:t>
      </w:r>
      <w:r>
        <w:t xml:space="preserve">cue that may impact participants’ beliefs about the purpose of the study, including instructions, rumors, and experimenter behavior. However, such a definition creates a boundless and blurry conceptual space where any systematic change in a research design might be considered a test of demand characteristics. Thus,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a research assistant screened records independently, reviewed potentially relevant records together, and worked together to code the information for moderator analyses and effect size computations. Disagreements and discrepancies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posing smiles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(i.e., acquiescence occured).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 range in overall effect size estimates—so we do not discuss them further.</w:t>
      </w:r>
    </w:p>
    <w:p>
      <w:pPr>
        <w:pStyle w:val="Textkrper"/>
      </w:pPr>
      <w:r>
        <w:t xml:space="preserve">85% of studies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estimated in the studies included in the meta-analysis.</w:t>
      </w:r>
    </w:p>
    <w:p>
      <w:pPr>
        <w:pStyle w:val="Textkrper"/>
      </w:pPr>
      <w:r>
        <w:t xml:space="preserve">As an indirect measure of these moderators-of-interest, we estimated their values through a new set of participants.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95 undergraduates from Stanford University reviewed 10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and (3) believe the experimenter’s hypothesis (-3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above,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might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3LMA is used.</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non-independent effect sizes are aggregated.</w:t>
      </w:r>
    </w:p>
    <w:p>
      <w:pPr>
        <w:pStyle w:val="Textkrper"/>
      </w:pPr>
      <w:r>
        <w:t xml:space="preserve">As a sensitivity analysis, we included publication status as a dummy-coded predictor to our overall-effect 3LMA. This allowed us to estimate the difference in the magnitude of published vs. unpublished effects.</w:t>
      </w:r>
    </w:p>
    <w:bookmarkEnd w:id="44"/>
    <w:bookmarkEnd w:id="45"/>
    <w:bookmarkEnd w:id="46"/>
    <w:bookmarkStart w:id="55"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w:t>
      </w:r>
    </w:p>
    <w:bookmarkStart w:id="52" w:name="moderator-analyses"/>
    <w:p>
      <w:pPr>
        <w:pStyle w:val="berschrift3"/>
      </w:pPr>
      <w:r>
        <w:t xml:space="preserve">Moderator analyses.</w:t>
      </w:r>
    </w:p>
    <w:p>
      <w:pPr>
        <w:pStyle w:val="FirstParagraph"/>
      </w:pPr>
      <w:r>
        <w:t xml:space="preserve">The observed effects of demand characteristics were highly heterogeneous. Indeed, the between-study (</w:t>
      </w:r>
      <m:oMath>
        <m:r>
          <m:t>τ</m:t>
        </m:r>
      </m:oMath>
      <w:r>
        <w:t xml:space="preserve"> </w:t>
      </w:r>
      <w:r>
        <w:t xml:space="preserve">= 0.30) and within-study (</w:t>
      </w:r>
      <m:oMath>
        <m:r>
          <m:t>σ</m:t>
        </m:r>
      </m:oMath>
      <w:r>
        <w:t xml:space="preserve"> </w:t>
      </w:r>
      <w:r>
        <w:t xml:space="preserve">= 0.20) effect standard deviation was approximately the same size of the overall effect. This suggests that moderators (as opposed to mere sampling error) are producing meaningful shifts in the effects of demand characteristics.</w:t>
      </w:r>
    </w:p>
    <w:bookmarkStart w:id="50" w:name="motivation-opportunity-and-belief"/>
    <w:p>
      <w:pPr>
        <w:pStyle w:val="berschrift4"/>
      </w:pPr>
      <w:r>
        <w:t xml:space="preserve">Motivation, opportunity, and belief.</w:t>
      </w:r>
    </w:p>
    <w:p>
      <w:pPr>
        <w:pStyle w:val="FirstParagraph"/>
      </w:pPr>
      <w:r>
        <w:t xml:space="preserve">TMP TEX?</w:t>
      </w:r>
    </w:p>
    <w:p>
      <w:pPr>
        <w:pStyle w:val="CaptionedFigure"/>
      </w:pPr>
      <w:r>
        <w:drawing>
          <wp:inline>
            <wp:extent cx="4587290" cy="3669832"/>
            <wp:effectExtent b="0" l="0" r="0" t="0"/>
            <wp:docPr descr="(#fig:mod.fig)The effects of demand characteristics on participants’ responses were not significantly moderated by motivation or opportunity ratings. They were, however, significantly moderated by belief and prediction ratings." title="" id="48" name="Picture"/>
            <a:graphic>
              <a:graphicData uri="http://schemas.openxmlformats.org/drawingml/2006/picture">
                <pic:pic>
                  <pic:nvPicPr>
                    <pic:cNvPr descr="metaware_manuscript_files/figure-docx/mod.fig-1.png" id="49"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(#fig:mod.fig)The</w:t>
      </w:r>
      <w:r>
        <w:t xml:space="preserve"> </w:t>
      </w:r>
      <w:r>
        <w:rPr>
          <w:iCs/>
          <w:i/>
        </w:rPr>
        <w:t xml:space="preserve">effects</w:t>
      </w:r>
      <w:r>
        <w:t xml:space="preserve"> </w:t>
      </w:r>
      <w:r>
        <w:t xml:space="preserve">of demand characteristics on participants’ responses were not significantly moderated by motivation or opportunity ratings. They were, however, significantly moderated by belief and prediction ratings.</w:t>
      </w:r>
    </w:p>
    <w:p>
      <w:pPr>
        <w:pStyle w:val="Textkrper"/>
      </w:pPr>
      <w:r>
        <w:t xml:space="preserve">Contrary to predictions made by</w:t>
      </w:r>
      <w:r>
        <w:t xml:space="preserve"> </w:t>
      </w:r>
      <w:r>
        <w:t xml:space="preserve">Rosnow and Rosenthal (1997)</w:t>
      </w:r>
      <w:r>
        <w:t xml:space="preserve"> </w:t>
      </w:r>
      <w:r>
        <w:t xml:space="preserve">and</w:t>
      </w:r>
      <w:r>
        <w:t xml:space="preserve"> </w:t>
      </w:r>
      <w:r>
        <w:t xml:space="preserve">Coles et al. (2022)</w:t>
      </w:r>
      <w:r>
        <w:t xml:space="preserve">,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-0.01, 95% CI [-0.09, 0.07],</w:t>
      </w:r>
      <w:r>
        <w:t xml:space="preserve"> </w:t>
      </w:r>
      <m:oMath>
        <m:r>
          <m:t>t</m:t>
        </m:r>
      </m:oMath>
      <w:r>
        <w:t xml:space="preserve">(150) = -0.29,</w:t>
      </w:r>
      <w:r>
        <w:t xml:space="preserve"> </w:t>
      </w:r>
      <m:oMath>
        <m:r>
          <m:t>p</m:t>
        </m:r>
      </m:oMath>
      <w:r>
        <w:t xml:space="preserve"> </w:t>
      </w:r>
      <w:r>
        <w:t xml:space="preserve">= .774 (Figure @ref(fig:mod.fig). We also did not find that demand characteristic effects were moderated by ratings of the extent to which participants could control the outcome of interest,</w:t>
      </w:r>
      <w:r>
        <w:t xml:space="preserve"> </w:t>
      </w:r>
      <m:oMath>
        <m:r>
          <m:t>β</m:t>
        </m:r>
      </m:oMath>
      <w:r>
        <w:t xml:space="preserve"> </w:t>
      </w:r>
      <w:r>
        <w:t xml:space="preserve">= 0.02, 95% CI [-0.04, 0.08],</w:t>
      </w:r>
      <w:r>
        <w:t xml:space="preserve"> </w:t>
      </w:r>
      <m:oMath>
        <m:r>
          <m:t>t</m:t>
        </m:r>
      </m:oMath>
      <w:r>
        <w:t xml:space="preserve">(150) = 0.74,</w:t>
      </w:r>
      <w:r>
        <w:t xml:space="preserve"> </w:t>
      </w:r>
      <m:oMath>
        <m:r>
          <m:t>p</m:t>
        </m:r>
      </m:oMath>
      <w:r>
        <w:t xml:space="preserve"> </w:t>
      </w:r>
      <w:r>
        <w:t xml:space="preserve">= .463 (Figure @ref(fig:mod.fig). Consistent with</w:t>
      </w:r>
      <w:r>
        <w:t xml:space="preserve"> </w:t>
      </w:r>
      <w:r>
        <w:t xml:space="preserve">Coles et al. (2022)</w:t>
      </w:r>
      <w:r>
        <w:t xml:space="preserve">, however, demand characteristic effects were larger when raters indicated that they believed the experimenter’s hypothesis,</w:t>
      </w:r>
      <w:r>
        <w:t xml:space="preserve"> </w:t>
      </w:r>
      <m:oMath>
        <m:r>
          <m:t>β</m:t>
        </m:r>
      </m:oMath>
      <w:r>
        <w:t xml:space="preserve"> </w:t>
      </w:r>
      <w:r>
        <w:t xml:space="preserve">= 0.08, 95% CI [0.01, 0.16],</w:t>
      </w:r>
      <w:r>
        <w:t xml:space="preserve"> </w:t>
      </w:r>
      <m:oMath>
        <m:r>
          <m:t>t</m:t>
        </m:r>
      </m:oMath>
      <w:r>
        <w:t xml:space="preserve">(150) = 2.23,</w:t>
      </w:r>
      <w:r>
        <w:t xml:space="preserve"> </w:t>
      </w:r>
      <m:oMath>
        <m:r>
          <m:t>p</m:t>
        </m:r>
      </m:oMath>
      <w:r>
        <w:t xml:space="preserve"> </w:t>
      </w:r>
      <w:r>
        <w:t xml:space="preserve">= .028 (Figure @ref(fig:mod.fig).</w:t>
      </w:r>
    </w:p>
    <w:bookmarkEnd w:id="50"/>
    <w:bookmarkStart w:id="51"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(2, 131) = 5.41,</w:t>
      </w:r>
      <w:r>
        <w:t xml:space="preserve"> </w:t>
      </w:r>
      <m:oMath>
        <m:r>
          <m:t>p</m:t>
        </m:r>
      </m:oMath>
      <w:r>
        <w:t xml:space="preserve"> </w:t>
      </w:r>
      <w:r>
        <w:t xml:space="preserve">.006. The effect of demand characteristics was nearly twice as large in the nil (</w:t>
      </w:r>
      <m:oMath>
        <m:r>
          <m:t>d</m:t>
        </m:r>
      </m:oMath>
      <w:r>
        <w:t xml:space="preserve"> </w:t>
      </w:r>
      <w:r>
        <w:t xml:space="preserve">= 0.42, 95% CI [0.24, 0.60],</w:t>
      </w:r>
      <w:r>
        <w:t xml:space="preserve"> </w:t>
      </w:r>
      <m:oMath>
        <m:r>
          <m:t>p</m:t>
        </m:r>
      </m:oMath>
      <w:r>
        <w:t xml:space="preserve"> </w:t>
      </w:r>
      <w:r>
        <w:t xml:space="preserve">&lt; .001) vs. positive (</w:t>
      </w:r>
      <m:oMath>
        <m:r>
          <m:t>d</m:t>
        </m:r>
      </m:oMath>
      <w:r>
        <w:t xml:space="preserve"> </w:t>
      </w:r>
      <w:r>
        <w:t xml:space="preserve">= 0.20, 95% CI [0.08, 0.32],</w:t>
      </w:r>
      <w:r>
        <w:t xml:space="preserve"> </w:t>
      </w:r>
      <m:oMath>
        <m:r>
          <m:t>p</m:t>
        </m:r>
      </m:oMath>
      <w:r>
        <w:t xml:space="preserve"> </w:t>
      </w:r>
      <w:r>
        <w:t xml:space="preserve">= .002), and negative demand conditions (</w:t>
      </w:r>
      <m:oMath>
        <m:r>
          <m:t>d</m:t>
        </m:r>
      </m:oMath>
      <w:r>
        <w:t xml:space="preserve"> </w:t>
      </w:r>
      <w:r>
        <w:t xml:space="preserve">= 0.16, 95% CI [0.01, 0.30],</w:t>
      </w:r>
      <w:r>
        <w:t xml:space="preserve"> </w:t>
      </w:r>
      <m:oMath>
        <m:r>
          <m:t>p</m:t>
        </m:r>
      </m:oMath>
      <w:r>
        <w:t xml:space="preserve"> </w:t>
      </w:r>
      <w:r>
        <w:t xml:space="preserve">= .034).</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51"/>
    <w:bookmarkEnd w:id="52"/>
    <w:bookmarkStart w:id="53" w:name="forecasts"/>
    <w:p>
      <w:pPr>
        <w:pStyle w:val="berschrift3"/>
      </w:pPr>
      <w:r>
        <w:t xml:space="preserve">Forecasts.</w:t>
      </w:r>
    </w:p>
    <w:p>
      <w:pPr>
        <w:pStyle w:val="FirstParagraph"/>
      </w:pPr>
      <w:r>
        <w:t xml:space="preserve">Raters predictions about the effects of demand characteristics were associated with the observed effects, but this association was weak,</w:t>
      </w:r>
      <w:r>
        <w:t xml:space="preserve"> </w:t>
      </w:r>
      <m:oMath>
        <m:r>
          <m:t>β</m:t>
        </m:r>
      </m:oMath>
      <w:r>
        <w:t xml:space="preserve"> </w:t>
      </w:r>
      <w:r>
        <w:t xml:space="preserve">= 0.07, 95% CI [-0.02, 0.15],</w:t>
      </w:r>
      <w:r>
        <w:t xml:space="preserve"> </w:t>
      </w:r>
      <m:oMath>
        <m:r>
          <m:t>t</m:t>
        </m:r>
      </m:oMath>
      <w:r>
        <w:t xml:space="preserve">(150) = 1.53,</w:t>
      </w:r>
      <w:r>
        <w:t xml:space="preserve"> </w:t>
      </w:r>
      <m:oMath>
        <m:r>
          <m:t>p</m:t>
        </m:r>
      </m:oMath>
      <w:r>
        <w:t xml:space="preserve"> </w:t>
      </w:r>
      <w:r>
        <w:t xml:space="preserve">= .128 (Figure @ref(fig:mod.fig).</w:t>
      </w:r>
    </w:p>
    <w:p>
      <w:pPr>
        <w:pStyle w:val="Textkrper"/>
      </w:pPr>
      <w:r>
        <w:t xml:space="preserve">Would be nice to be able to explain how much heterogeneity is explained by this variable…</w:t>
      </w:r>
    </w:p>
    <w:bookmarkEnd w:id="53"/>
    <w:bookmarkStart w:id="54"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p>
      <w:pPr>
        <w:pStyle w:val="Textkrper"/>
      </w:pPr>
      <w:r>
        <w:t xml:space="preserve">(Not currently describing Mathur sensitivity analysis because of uncertainty around direction of bias, which must be specified in the analysis.)</w:t>
      </w:r>
    </w:p>
    <w:bookmarkEnd w:id="54"/>
    <w:bookmarkEnd w:id="55"/>
    <w:bookmarkStart w:id="59" w:name="new-pub-bias-plot"/>
    <w:p>
      <w:pPr>
        <w:pStyle w:val="berschrift1"/>
      </w:pPr>
      <w:r>
        <w:t xml:space="preserve">New pub bias plot</w:t>
      </w:r>
    </w:p>
    <w:p>
      <w:pPr>
        <w:pStyle w:val="CaptionedFigure"/>
      </w:pPr>
      <w:r>
        <w:drawing>
          <wp:inline>
            <wp:extent cx="4587290" cy="3669832"/>
            <wp:effectExtent b="0" l="0" r="0" t="0"/>
            <wp:docPr descr="Figure 4.  tmp" title="" id="57" name="Picture"/>
            <a:graphic>
              <a:graphicData uri="http://schemas.openxmlformats.org/drawingml/2006/picture">
                <pic:pic>
                  <pic:nvPicPr>
                    <pic:cNvPr descr="metaware_manuscript_files/figure-docx/funnel2-1.png" id="58"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tmp</w:t>
      </w:r>
    </w:p>
    <w:bookmarkEnd w:id="59"/>
    <w:bookmarkStart w:id="61" w:name="discussion"/>
    <w:p>
      <w:pPr>
        <w:pStyle w:val="berschrift1"/>
      </w:pPr>
      <w:r>
        <w:t xml:space="preserve">Discussion</w:t>
      </w:r>
    </w:p>
    <w:p>
      <w:pPr>
        <w:pStyle w:val="FirstParagraph"/>
      </w:pPr>
      <w:r>
        <w:t xml:space="preserve">Contrary to classic coneptualizations of the impact of demand characteristics () and frameworks proposed by</w:t>
      </w:r>
      <w:r>
        <w:t xml:space="preserve"> </w:t>
      </w:r>
      <w:r>
        <w:t xml:space="preserve">Rosnow and Rosenthal (1997)</w:t>
      </w:r>
      <w:r>
        <w:t xml:space="preserve"> </w:t>
      </w:r>
      <w:r>
        <w:t xml:space="preserve">and</w:t>
      </w:r>
      <w:r>
        <w:t xml:space="preserve"> </w:t>
      </w:r>
      <w:r>
        <w:t xml:space="preserve">Coles et al. (2022)</w:t>
      </w:r>
      <w:r>
        <w:t xml:space="preserve">, we did not find evidence of two moderators that should underlie response biases: motivation to adjust responses and opportunity to adjust responses. Instead, our results are unexpectedly more consistent with a more parsimonious view: that phenomena typically described by experimental psychologists as</w:t>
      </w:r>
      <w:r>
        <w:t xml:space="preserve"> </w:t>
      </w:r>
      <w:r>
        <w:t xml:space="preserve">“</w:t>
      </w:r>
      <w:r>
        <w:t xml:space="preserve">demand effects</w:t>
      </w:r>
      <w:r>
        <w:t xml:space="preserve">”</w:t>
      </w:r>
      <w:r>
        <w:t xml:space="preserve"> </w:t>
      </w:r>
      <w:r>
        <w:t xml:space="preserve">are actually</w:t>
      </w:r>
      <w:r>
        <w:t xml:space="preserve"> </w:t>
      </w:r>
      <w:r>
        <w:rPr>
          <w:iCs/>
          <w:i/>
        </w:rPr>
        <w:t xml:space="preserve">placebo effects</w:t>
      </w:r>
      <w:r>
        <w:t xml:space="preserve">. Applied to classic work by Orne, maybe participants did not exhibit sham symptoms of hypnosis because they were motivated to please the experimenter; instead maybe they intentionally or unintentionally responded in a manner that was consistent with their personal beliefs (a self-fulfilling prophecy or placebo effect).</w:t>
      </w:r>
    </w:p>
    <w:p>
      <w:pPr>
        <w:pStyle w:val="Textkrper"/>
      </w:pPr>
      <w:r>
        <w:t xml:space="preserve">This still doesn’t make sense when explaining why Mummolo didn’t find the effect. Had above average belief ratings</w:t>
      </w:r>
    </w:p>
    <w:bookmarkStart w:id="60" w:name="implications"/>
    <w:p>
      <w:pPr>
        <w:pStyle w:val="berschrift2"/>
      </w:pPr>
      <w:r>
        <w:t xml:space="preserve">Implications</w:t>
      </w:r>
    </w:p>
    <w:p>
      <w:pPr>
        <w:pStyle w:val="FirstParagraph"/>
      </w:pPr>
      <w:r>
        <w:t xml:space="preserve">Based on the belief that demand characteristics is a response bias moderated by motivation and opportunity to adjust responses, two recommendations have been proposed to combat demand characteristics: lower participants’ (1) motivation to adjust responses (e.g., by emphasizing the importance of natural responding), and/or (2) ability to adjust responses (e.g., by using difficult-to-control measures, like implicit or physiological measures). The</w:t>
      </w:r>
      <w:r>
        <w:t xml:space="preserve"> </w:t>
      </w:r>
      <w:r>
        <w:t xml:space="preserve">“</w:t>
      </w:r>
      <w:r>
        <w:t xml:space="preserve">demand-as-placebo</w:t>
      </w:r>
      <w:r>
        <w:t xml:space="preserve">”</w:t>
      </w:r>
      <w:r>
        <w:t xml:space="preserve"> </w:t>
      </w:r>
      <w:r>
        <w:t xml:space="preserve">account, however, suggests that these approaches are likely to be ineffective. Regardless of whether participants are motivated or able to adjust responses, knowledge of the experimenter’s hypothesis can create placebo-induced changes in their responses.</w:t>
      </w:r>
    </w:p>
    <w:bookmarkEnd w:id="60"/>
    <w:bookmarkEnd w:id="61"/>
    <w:bookmarkStart w:id="62" w:name="limitations"/>
    <w:p>
      <w:pPr>
        <w:pStyle w:val="berschrift1"/>
      </w:pPr>
      <w:r>
        <w:t xml:space="preserve">Limitations</w:t>
      </w:r>
    </w:p>
    <w:p>
      <w:pPr>
        <w:pStyle w:val="FirstParagraph"/>
      </w:pPr>
      <w:r>
        <w:t xml:space="preserve">We had to rely on ratings of motivation, opportunity, and belief that were both (a) ad-hoc (unvalidated), and (b) post-hoc (estimated with a new group of participants).</w:t>
      </w:r>
    </w:p>
    <w:p>
      <w:pPr>
        <w:numPr>
          <w:ilvl w:val="0"/>
          <w:numId w:val="1002"/>
        </w:numPr>
      </w:pPr>
      <w:r>
        <w:t xml:space="preserve">This is largely because researchers rarely have measured these proposed moderators.</w:t>
      </w:r>
    </w:p>
    <w:p>
      <w:pPr>
        <w:numPr>
          <w:ilvl w:val="0"/>
          <w:numId w:val="1002"/>
        </w:numPr>
      </w:pPr>
      <w:r>
        <w:t xml:space="preserve">It’s possible that some of these measures may have been more valid than others. For example, participants who review descriptions of studies may be better able to estimate their beliefs about the hypothesized effect than their motivation to confirm the hypothesized effect.</w:t>
      </w:r>
    </w:p>
    <w:p>
      <w:pPr>
        <w:numPr>
          <w:ilvl w:val="0"/>
          <w:numId w:val="1002"/>
        </w:numPr>
      </w:pPr>
      <w:r>
        <w:t xml:space="preserve">Future research can address this by more intentionally measuring and manipulating these constructs in experimental tests of the role of demand characteristics.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62"/>
    <w:bookmarkStart w:id="64"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Start w:id="63" w:name="exploratory-stuff"/>
    <w:p>
      <w:pPr>
        <w:pStyle w:val="berschrift3"/>
      </w:pPr>
      <w:r>
        <w:t xml:space="preserve">Exploratory stuff.</w:t>
      </w:r>
    </w:p>
    <w:p>
      <w:pPr>
        <w:pStyle w:val="SourceCode"/>
      </w:pPr>
      <w:r>
        <w:rPr>
          <w:rStyle w:val="VerbatimChar"/>
        </w:rPr>
        <w:t xml:space="preserve">## </w:t>
      </w:r>
      <w:r>
        <w:br/>
      </w:r>
      <w:r>
        <w:rPr>
          <w:rStyle w:val="VerbatimChar"/>
        </w:rPr>
        <w:t xml:space="preserve">## Test of Moderators (coefficients 2:4):</w:t>
      </w:r>
      <w:r>
        <w:br/>
      </w:r>
      <w:r>
        <w:rPr>
          <w:rStyle w:val="VerbatimChar"/>
        </w:rPr>
        <w:t xml:space="preserve">## F(df1 = 3, df2 = 148) = 1.6151, p-val = 0.1883</w:t>
      </w:r>
    </w:p>
    <w:bookmarkEnd w:id="63"/>
    <w:bookmarkEnd w:id="64"/>
    <w:bookmarkStart w:id="65" w:name="to-do"/>
    <w:p>
      <w:pPr>
        <w:pStyle w:val="berschrift1"/>
      </w:pPr>
      <w:r>
        <w:t xml:space="preserve">To-do</w:t>
      </w:r>
    </w:p>
    <w:p>
      <w:pPr>
        <w:pStyle w:val="FirstParagraph"/>
      </w:pPr>
      <w:r>
        <w:t xml:space="preserve">[] Add Figure 4 number</w:t>
      </w:r>
    </w:p>
    <w:p>
      <w:pPr>
        <w:pStyle w:val="Textkrper"/>
      </w:pPr>
      <w:r>
        <w:t xml:space="preserve">[] Need to add refs</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work on outcome type</w:t>
      </w:r>
    </w:p>
    <w:p>
      <w:pPr>
        <w:pStyle w:val="Textkrper"/>
      </w:pPr>
      <w:r>
        <w:t xml:space="preserve">[] Have M.W. build codebooks</w:t>
      </w:r>
    </w:p>
    <w:p>
      <w:pPr>
        <w:pStyle w:val="Textkrper"/>
      </w:pPr>
      <w:r>
        <w:t xml:space="preserve">[] Will have to update figures</w:t>
      </w:r>
    </w:p>
    <w:bookmarkEnd w:id="65"/>
    <w:bookmarkStart w:id="100" w:name="references"/>
    <w:p>
      <w:pPr>
        <w:pStyle w:val="berschrift1"/>
      </w:pPr>
      <w:r>
        <w:t xml:space="preserve">References</w:t>
      </w:r>
    </w:p>
    <w:bookmarkStart w:id="99" w:name="refs"/>
    <w:bookmarkStart w:id="66"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6"/>
    <w:bookmarkStart w:id="67"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67"/>
    <w:bookmarkStart w:id="68"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68"/>
    <w:bookmarkStart w:id="69"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9"/>
    <w:bookmarkStart w:id="70"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70"/>
    <w:bookmarkStart w:id="71"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1"/>
    <w:bookmarkStart w:id="72"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2"/>
    <w:bookmarkStart w:id="73"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3"/>
    <w:bookmarkStart w:id="74"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74"/>
    <w:bookmarkStart w:id="75"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75"/>
    <w:bookmarkStart w:id="76"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76"/>
    <w:bookmarkStart w:id="77"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77"/>
    <w:bookmarkStart w:id="78"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8"/>
    <w:bookmarkStart w:id="79"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9"/>
    <w:bookmarkStart w:id="80"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80"/>
    <w:bookmarkStart w:id="81"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81"/>
    <w:bookmarkStart w:id="82"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82"/>
    <w:bookmarkStart w:id="83"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83"/>
    <w:bookmarkStart w:id="84"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84"/>
    <w:bookmarkStart w:id="85"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85"/>
    <w:bookmarkStart w:id="86"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86"/>
    <w:bookmarkStart w:id="87"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87"/>
    <w:bookmarkStart w:id="88"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8"/>
    <w:bookmarkStart w:id="89"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9"/>
    <w:bookmarkStart w:id="90"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90"/>
    <w:bookmarkStart w:id="91"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91"/>
    <w:bookmarkStart w:id="92"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92"/>
    <w:bookmarkStart w:id="93"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93"/>
    <w:bookmarkStart w:id="94"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94"/>
    <w:bookmarkStart w:id="95"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95"/>
    <w:bookmarkStart w:id="96"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96"/>
    <w:bookmarkStart w:id="97"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7"/>
    <w:bookmarkStart w:id="98"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8"/>
    <w:bookmarkEnd w:id="99"/>
    <w:bookmarkEnd w:id="10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2022-11-02T04:55:47Z</dcterms:created>
  <dcterms:modified xsi:type="dcterms:W3CDTF">2022-11-02T04:55:47Z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