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59.png" ContentType="image/png"/>
  <Override PartName="/word/media/rId56.png" ContentType="image/png"/>
  <Override PartName="/word/media/rId37.png" ContentType="image/png"/>
  <Override PartName="/word/media/rId49.png" ContentType="image/png"/>
  <Override PartName="/word/media/rId66.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pPr>
        <w:pStyle w:val="Textkrper"/>
      </w:pPr>
      <w:r>
        <w:t xml:space="preserve">The authors made the following contributions. Nicholas A. Coles: Conceptualization, Data Curation, Formal Analysis, Investigation, Methodology, Project administration, Software, Supervision, Visualization, Writing - Original Draft Preparation, Writing - Review &amp; Editing; Michael C. Frank: Formal Analysis, Investigation, Methodology, Project administration, Resources, Software, Supervision, Visualization, Writing - Review &amp; Editing.</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0.30;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1.97 (a large increase in hypothesis-consistent responding) to</w:t>
      </w:r>
      <w:r>
        <w:t xml:space="preserve"> </w:t>
      </w:r>
      <w:r>
        <w:rPr>
          <w:iCs/>
          <w:i/>
        </w:rPr>
        <w:t xml:space="preserve">d</w:t>
      </w:r>
      <w:r>
        <w:t xml:space="preserve"> </w:t>
      </w:r>
      <w:r>
        <w:t xml:space="preserve">= -1.44 (a large increase in hypothesis-</w:t>
      </w:r>
      <w:r>
        <w:rPr>
          <w:iCs/>
          <w:i/>
        </w:rPr>
        <w:t xml:space="preserve">in</w:t>
      </w:r>
      <w:r>
        <w:t xml:space="preserve">consistent responding). Contra prior frameworks, we did not find evidence that demand effects were driven by 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pPr>
        <w:pStyle w:val="Textkrper"/>
      </w:pPr>
      <w:r>
        <w:rPr>
          <w:iCs/>
          <w:i/>
        </w:rPr>
        <w:t xml:space="preserve">Keywords:</w:t>
      </w:r>
      <w:r>
        <w:t xml:space="preserve"> </w:t>
      </w:r>
      <w:r>
        <w:t xml:space="preserve">demand characteristics, placebo, mindsets, research methods, meta-analysis</w:t>
      </w:r>
    </w:p>
    <w:p>
      <w:pPr>
        <w:pStyle w:val="h1-pagebreak"/>
      </w:pPr>
      <w:r>
        <w:t xml:space="preserve">A quantitative review of demand characteristics and their underlying mechanisms</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They then offer a confession: the artifact doesn’t always impact their method, and they don’t understand why. Sometimes the artifact seems to matter, other times it doesn’t – and its underlying mechanisms are poorly understood. If this scenario were real, these concerns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w:t>
      </w:r>
      <w:r>
        <w:t xml:space="preserve"> </w:t>
      </w:r>
      <w:r>
        <w:rPr>
          <w:iCs/>
          <w:i/>
        </w:rPr>
        <w:t xml:space="preserve">active</w:t>
      </w:r>
      <w:r>
        <w:t xml:space="preserve"> </w:t>
      </w:r>
      <w:r>
        <w:t xml:space="preserve">responders to the experimental context. In particular, Orne argued that participants are perceptive to demand characteristics –</w:t>
      </w:r>
      <w:r>
        <w:t xml:space="preserve"> </w:t>
      </w:r>
      <w:r>
        <w:t xml:space="preserve">“</w:t>
      </w:r>
      <w:r>
        <w:t xml:space="preserve">cues which convey an experimental hypothesis</w:t>
      </w:r>
      <w:r>
        <w:t xml:space="preserve">”</w:t>
      </w:r>
      <w:r>
        <w:t xml:space="preserve"> </w:t>
      </w:r>
      <w:r>
        <w:t xml:space="preserve">– and are motivated to use these cues to help the experimenter confirm their hypothesis</w:t>
      </w:r>
      <w:r>
        <w:t xml:space="preserve"> </w:t>
      </w:r>
      <w:r>
        <w:t xml:space="preserve">(1962,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would become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 –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doing so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demand characteristics do not always seem to matter. For example, contrary to the aforementioned demonstration of demand effects, manipulations of demand characteristics have consistently failed to impact participants’ responses in large replications of classic studies in behavioral economics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characteristics are a fundamental methodological concern, but the magnitude, direction, and consistency of their effects remain unclear. In the present paper, we use meta-analysis and replication to shed light on these issues. We begin by briefly reviewing literature on the mechanisms theorized to underlie the effects of demand characteristics.</w:t>
      </w:r>
    </w:p>
    <w:bookmarkStart w:id="25" w:name="Xa0d64ece604650f58e403bddeb4af76aa562f5e"/>
    <w:p>
      <w:pPr>
        <w:pStyle w:val="berschrift2"/>
      </w:pPr>
      <w:r>
        <w:t xml:space="preserve">How do demand characteristics alter participant responses?</w:t>
      </w:r>
    </w:p>
    <w:p>
      <w:pPr>
        <w:pStyle w:val="FirstParagraph"/>
      </w:pPr>
      <w:r>
        <w:t xml:space="preserve">Historically, there has been little agreement about how demand characteristics alter participant responses</w:t>
      </w:r>
      <w:r>
        <w:t xml:space="preserve"> </w:t>
      </w:r>
      <w:r>
        <w:t xml:space="preserve">(for a recent review, see Corneille &amp; Lush, 2022)</w:t>
      </w:r>
      <w:r>
        <w:t xml:space="preserve">. In the present work, we focus on two potential mechanisms: response biases and placebo effects. We define</w:t>
      </w:r>
      <w:r>
        <w:t xml:space="preserve"> </w:t>
      </w:r>
      <w:r>
        <w:rPr>
          <w:iCs/>
          <w:i/>
        </w:rPr>
        <w:t xml:space="preserve">response biases</w:t>
      </w:r>
      <w:r>
        <w:t xml:space="preserve"> </w:t>
      </w:r>
      <w:r>
        <w:t xml:space="preserve">as changes mediated by relatively deliberate changes that participants make to their responses</w:t>
      </w:r>
      <w:r>
        <w:t xml:space="preserve"> </w:t>
      </w:r>
      <w:r>
        <w:t xml:space="preserve">(Rosnow &amp; Aiken, 1973; Strohmetz, 2008)</w:t>
      </w:r>
      <w:r>
        <w:t xml:space="preserve">. We distinguish these response biases from</w:t>
      </w:r>
      <w:r>
        <w:t xml:space="preserve"> </w:t>
      </w:r>
      <w:r>
        <w:rPr>
          <w:iCs/>
          <w:i/>
        </w:rPr>
        <w:t xml:space="preserve">placebo effects</w:t>
      </w:r>
      <w:r>
        <w:t xml:space="preserve">: changes mediated by the relatively automatic activation of beliefs and/or conditioned responses</w:t>
      </w:r>
      <w:r>
        <w:t xml:space="preserve"> </w:t>
      </w:r>
      <w:r>
        <w:t xml:space="preserve">(Stewart-Williams &amp; Podd, 2004; Zion &amp; Crum, 2018)</w:t>
      </w:r>
      <w:r>
        <w:t xml:space="preserve">. As an example of this distinction, imagine that a participant knows that a researcher expects an intervention to boost mood. Response bias, on on hand, would involve a change in participants’ self-reported mood without a concomitant change in actual mood. Placebo effects, on the other hand, would entail an actual change in mood.</w:t>
      </w:r>
    </w:p>
    <w:p>
      <w:pPr>
        <w:pStyle w:val="Textkrper"/>
      </w:pPr>
      <w:r>
        <w:t xml:space="preserve">One of the most influential frameworks for conceptualizing demand characteristics as response biases was developed by</w:t>
      </w:r>
      <w:r>
        <w:t xml:space="preserve"> </w:t>
      </w:r>
      <w:r>
        <w:t xml:space="preserve">Rosnow and Rosenthal (1997)</w:t>
      </w:r>
      <w:r>
        <w:t xml:space="preserve">, who proposed three key moderators: (1) receptivity to cues, (2) motivation to provide hypothesis-consistent responses, and (3) opportunity to alter responses (Figure</w:t>
      </w:r>
      <w:r>
        <w:t xml:space="preserve"> </w:t>
      </w:r>
      <w:r>
        <w:t xml:space="preserve">1</w:t>
      </w:r>
      <w:r>
        <w:t xml:space="preserve">).</w:t>
      </w:r>
    </w:p>
    <w:p>
      <w:pPr>
        <w:pStyle w:val="Textkrper"/>
      </w:pPr>
      <w:r>
        <w:t xml:space="preserve">To start,</w:t>
      </w:r>
      <w:r>
        <w:t xml:space="preserve"> </w:t>
      </w:r>
      <w:r>
        <w:t xml:space="preserve">Rosnow and Rosenthal (1997)</w:t>
      </w:r>
      <w:r>
        <w:t xml:space="preserve"> </w:t>
      </w:r>
      <w:r>
        <w:t xml:space="preserve">reasoned that participants must be receptive to demand characteristics in order for there to be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In the present work, we will pay less attention to receptivity as a moderator by focusing on scenarios where participants are likely to be highly receptive to cues.</w:t>
      </w:r>
    </w:p>
    <w:p>
      <w:pPr>
        <w:pStyle w:val="Textkrper"/>
      </w:pPr>
      <w:r>
        <w:t xml:space="preserve">Rosnow and Rosenthal (1997)</w:t>
      </w:r>
      <w:r>
        <w:t xml:space="preserve"> </w:t>
      </w:r>
      <w:r>
        <w:t xml:space="preserve">theorized that response biases are driven by participants’ motivation (or lack thereof) to provide hypothesis-consistent responses. Early research on demand characteristics focused on participants’ default motivations, characterizing them as (a)</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w:t>
      </w:r>
      <w:r>
        <w:t xml:space="preserve"> </w:t>
      </w:r>
      <w:r>
        <w:t xml:space="preserve">(Orne, 1962)</w:t>
      </w:r>
      <w:r>
        <w:t xml:space="preserve">, (b)</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 (c)</w:t>
      </w:r>
      <w:r>
        <w:t xml:space="preserve"> </w:t>
      </w:r>
      <w:r>
        <w:t xml:space="preserve">“</w:t>
      </w:r>
      <w:r>
        <w:t xml:space="preserve">negativistic subjects</w:t>
      </w:r>
      <w:r>
        <w:t xml:space="preserve">”</w:t>
      </w:r>
      <w:r>
        <w:t xml:space="preserve"> </w:t>
      </w:r>
      <w:r>
        <w:t xml:space="preserve">who are motivated to interfere with the purpose of the study</w:t>
      </w:r>
      <w:r>
        <w:t xml:space="preserve"> </w:t>
      </w:r>
      <w:r>
        <w:t xml:space="preserve">(Cook et al., 1970; Masling, 1966)</w:t>
      </w:r>
      <w:r>
        <w:t xml:space="preserve">, or (d)</w:t>
      </w:r>
      <w:r>
        <w:t xml:space="preserve"> </w:t>
      </w:r>
      <w:r>
        <w:t xml:space="preserve">“</w:t>
      </w:r>
      <w:r>
        <w:t xml:space="preserve">faithful subjects</w:t>
      </w:r>
      <w:r>
        <w:t xml:space="preserve">”</w:t>
      </w:r>
      <w:r>
        <w:t xml:space="preserve"> </w:t>
      </w:r>
      <w:r>
        <w:t xml:space="preserve">who are motivated to follow directions as closely as possible</w:t>
      </w:r>
      <w:r>
        <w:t xml:space="preserve"> </w:t>
      </w:r>
      <w:r>
        <w:t xml:space="preserve">(Fillenbaun &amp; Frey, 1970)</w:t>
      </w:r>
      <w:r>
        <w:t xml:space="preserve">. However, participants have multiple goals in mind when they conceptualize their roles as subjects</w:t>
      </w:r>
      <w:r>
        <w:t xml:space="preserve"> </w:t>
      </w:r>
      <w:r>
        <w:t xml:space="preserve">(Rosnow &amp; Rosenthal, 1997)</w:t>
      </w:r>
      <w:r>
        <w:t xml:space="preserve">, and situational forces may affect which of these goals are most salient. For example, participants appear to be motivated to increase performance on simple tasks when told that this is the experimenter’s expectation – but not when the experimenter adds that this increase in performance will be indicative of a negative personality trait</w:t>
      </w:r>
      <w:r>
        <w:t xml:space="preserve"> </w:t>
      </w:r>
      <w:r>
        <w:t xml:space="preserve">(Sigall et al., 1970)</w:t>
      </w:r>
      <w:r>
        <w:t xml:space="preserve">. Synthesizing the above observations and reasoning,</w:t>
      </w:r>
      <w:r>
        <w:t xml:space="preserve"> </w:t>
      </w:r>
      <w:r>
        <w:t xml:space="preserve">Rosnow and Rosenthal (1997)</w:t>
      </w:r>
      <w:r>
        <w:t xml:space="preserve"> </w:t>
      </w:r>
      <w:r>
        <w:t xml:space="preserve">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w:t>
      </w:r>
    </w:p>
    <w:p>
      <w:pPr>
        <w:pStyle w:val="Textkrper"/>
      </w:pPr>
      <w:r>
        <w:t xml:space="preserve">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placebo effects.</w:t>
      </w:r>
    </w:p>
    <w:p>
      <w:pPr>
        <w:pStyle w:val="Textkrper"/>
      </w:pPr>
      <w:r>
        <w:t xml:space="preserve">Coles, Gaertner, et al. (2022)</w:t>
      </w:r>
      <w:r>
        <w:t xml:space="preserve"> </w:t>
      </w:r>
      <w:r>
        <w:t xml:space="preserve">recently argued that demand characteristics can produce both response biases and</w:t>
      </w:r>
      <w:r>
        <w:t xml:space="preserve"> </w:t>
      </w:r>
      <w:r>
        <w:rPr>
          <w:iCs/>
          <w:i/>
        </w:rPr>
        <w:t xml:space="preserve">placebo effects</w:t>
      </w:r>
      <w:r>
        <w:t xml:space="preserve"> </w:t>
      </w:r>
      <w:r>
        <w:t xml:space="preserve">– the latter which are theorized to be mediated by the relatively automatic activation of beliefs and/or conditioned responses</w:t>
      </w:r>
      <w:r>
        <w:t xml:space="preserve"> </w:t>
      </w:r>
      <w:r>
        <w:t xml:space="preserve">(Stewart-Williams &amp; Podd, 2004)</w:t>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w:t>
      </w:r>
      <w:r>
        <w:t xml:space="preserve"> </w:t>
      </w:r>
      <w:r>
        <w:t xml:space="preserve">Coles, Gaertner, et al. (2022)</w:t>
      </w:r>
      <w:r>
        <w:t xml:space="preserve"> </w:t>
      </w:r>
      <w:r>
        <w:t xml:space="preserve">found that participants’ beliefs about facial feedback effects did not always match the hypothesis communicated; furthermore, both the communicated hypothesis and measures of participants’ beliefs moderated the effects of posed expressions on emotion. This finding provides evidence that demand characteristics can produce both response biases and placebo effects, the latter which can emerge even when participants have neither the motivation nor the opportunity to adjust their responses.</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title="" id="23" name="Picture"/>
            <a:graphic>
              <a:graphicData uri="http://schemas.openxmlformats.org/drawingml/2006/picture">
                <pic:pic>
                  <pic:nvPicPr>
                    <pic:cNvPr descr="images/metaware_framework.png" id="24" name="Picture"/>
                    <pic:cNvPicPr>
                      <a:picLocks noChangeArrowheads="1" noChangeAspect="1"/>
                    </pic:cNvPicPr>
                  </pic:nvPicPr>
                  <pic:blipFill>
                    <a:blip r:embed="rId22"/>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t xml:space="preserve">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bookmarkEnd w:id="25"/>
    <w:bookmarkStart w:id="26" w:name="the-current-paper"/>
    <w:p>
      <w:pPr>
        <w:pStyle w:val="berschrift2"/>
      </w:pPr>
      <w:r>
        <w:t xml:space="preserve">The current paper</w:t>
      </w:r>
    </w:p>
    <w:p>
      <w:pPr>
        <w:pStyle w:val="FirstParagraph"/>
      </w:pPr>
      <w:r>
        <w:t xml:space="preserve">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pPr>
        <w:pStyle w:val="Textkrper"/>
      </w:pPr>
      <w:r>
        <w:t xml:space="preserve">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these raters could predict the effects of demand characteristic manipulations in the meta-analysis.</w:t>
      </w:r>
    </w:p>
    <w:p>
      <w:pPr>
        <w:pStyle w:val="Textkrper"/>
      </w:pPr>
      <w:r>
        <w:t xml:space="preserve">In Study 3, we report an exploratory replication experiment that re-examines the extent to which demand effects are driven by response biases and placebo effects. In this replication, we manipulated demand characteristics in an experiment on the proposed effects of facial poses on emotional experience</w:t>
      </w:r>
      <w:r>
        <w:t xml:space="preserve"> </w:t>
      </w:r>
      <w:r>
        <w:t xml:space="preserve">(Coles, Larsen, &amp; Lench, 2019; Coles, March, et al., 2022)</w:t>
      </w:r>
      <w:r>
        <w:t xml:space="preserve">. We then examined the extent to which the effect of facial poses was moderated by the factors believed to underlie response biases and placebo effects.</w:t>
      </w:r>
    </w:p>
    <w:bookmarkEnd w:id="26"/>
    <w:bookmarkStart w:id="55" w:name="study-1"/>
    <w:p>
      <w:pPr>
        <w:pStyle w:val="berschrift1"/>
      </w:pPr>
      <w:r>
        <w:t xml:space="preserve">Study 1</w:t>
      </w:r>
    </w:p>
    <w:p>
      <w:pPr>
        <w:pStyle w:val="FirstParagraph"/>
      </w:pPr>
      <w:r>
        <w:t xml:space="preserve">Study 1 was designed to provide a quantitative synthesis of demand effects via meta-analysis.</w:t>
      </w:r>
    </w:p>
    <w:bookmarkStart w:id="36"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27"/>
    <w:bookmarkStart w:id="29"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28"/>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29"/>
    <w:bookmarkStart w:id="30"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0"/>
    <w:bookmarkStart w:id="31"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Demand effects should presumably be additive. For example, imagine a study where the effect of an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t xml:space="preserve">Whether students, non-students (e.g., MTurk workers), or a mix of students and non-students were sampled.</w:t>
      </w:r>
    </w:p>
    <w:p>
      <w:pPr>
        <w:numPr>
          <w:ilvl w:val="0"/>
          <w:numId w:val="1002"/>
        </w:numPr>
      </w:pPr>
      <w:r>
        <w:t xml:space="preserve">Whether the study was conducted online or in-person.</w:t>
      </w:r>
    </w:p>
    <w:p>
      <w:pPr>
        <w:numPr>
          <w:ilvl w:val="0"/>
          <w:numId w:val="1002"/>
        </w:numPr>
      </w:pPr>
      <w:r>
        <w:t xml:space="preserve">Whether demand characteristics were manipulation within- vs. between-subjects.</w:t>
      </w:r>
    </w:p>
    <w:p>
      <w:pPr>
        <w:numPr>
          <w:ilvl w:val="0"/>
          <w:numId w:val="1002"/>
        </w:numPr>
      </w:pPr>
      <w:r>
        <w:t xml:space="preserve">Whether participants were paid or unpaid.</w:t>
      </w:r>
    </w:p>
    <w:bookmarkEnd w:id="31"/>
    <w:bookmarkStart w:id="34" w:name="meta-analytic-approach"/>
    <w:p>
      <w:pPr>
        <w:pStyle w:val="berschrift3"/>
      </w:pPr>
      <w:r>
        <w:t xml:space="preserve">Meta-analytic approach.</w:t>
      </w:r>
    </w:p>
    <w:p>
      <w:pPr>
        <w:pStyle w:val="FirstParagraph"/>
      </w:pPr>
      <w:r>
        <w:t xml:space="preserve">We used three-level meta-analysis (3LMA; also referred to as</w:t>
      </w:r>
      <w:r>
        <w:t xml:space="preserve"> </w:t>
      </w:r>
      <w:r>
        <w:t xml:space="preserve">“</w:t>
      </w:r>
      <w:r>
        <w:t xml:space="preserve">multilevel</w:t>
      </w:r>
      <w:r>
        <w:t xml:space="preserve">”</w:t>
      </w:r>
      <w:r>
        <w:t xml:space="preserve"> </w:t>
      </w:r>
      <w:r>
        <w:t xml:space="preserve">meta-analysis), which accommodates nested effect sizes by modeling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To estimate the overall effect size, we fit an intercept-only 3LMA model. Unless otherwise specified, we conducted moderator analyses by separately entering dummy-coded categorical factors into the model, which was used to estimate the moderating relationship and the effect size within each subgroup of the moderator. Effect sizes were weighted based on their inverse-variance.</w:t>
      </w:r>
    </w:p>
    <w:bookmarkStart w:id="33"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2"/>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typically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allowed us to estimate the difference in the magnitude of published vs. unpublished effects.</w:t>
      </w:r>
    </w:p>
    <w:bookmarkEnd w:id="33"/>
    <w:bookmarkEnd w:id="34"/>
    <w:bookmarkStart w:id="35"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determined by the availability of relevant records. All code (including the script used to generate a computationally-reproducible manuscript) has been checked for reproducibility. Ethics approval was not requested for this study because no new data were collected.</w:t>
      </w:r>
    </w:p>
    <w:bookmarkEnd w:id="35"/>
    <w:bookmarkEnd w:id="36"/>
    <w:bookmarkStart w:id="53" w:name="results"/>
    <w:p>
      <w:pPr>
        <w:pStyle w:val="berschrift2"/>
      </w:pPr>
      <w:r>
        <w:t xml:space="preserve">Results</w:t>
      </w:r>
    </w:p>
    <w:p>
      <w:pPr>
        <w:pStyle w:val="FirstParagraph"/>
      </w:pPr>
      <w:r>
        <w:t xml:space="preserve">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38" name="Picture"/>
            <a:graphic>
              <a:graphicData uri="http://schemas.openxmlformats.org/drawingml/2006/picture">
                <pic:pic>
                  <pic:nvPicPr>
                    <pic:cNvPr descr="metaware_manuscript_files/figure-docx/forest-1.png" id="39" name="Picture"/>
                    <pic:cNvPicPr>
                      <a:picLocks noChangeArrowheads="1" noChangeAspect="1"/>
                    </pic:cNvPicPr>
                  </pic:nvPicPr>
                  <pic:blipFill>
                    <a:blip r:embed="rId37"/>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t xml:space="preserve">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Although demand characteristics produce more hypothesis-consistent responding</w:t>
      </w:r>
      <w:r>
        <w:t xml:space="preserve"> </w:t>
      </w:r>
      <w:r>
        <w:rPr>
          <w:iCs/>
          <w:i/>
        </w:rPr>
        <w:t xml:space="preserve">on average</w:t>
      </w:r>
      <w:r>
        <w:t xml:space="preserve">, these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we estimated that</w:t>
      </w:r>
      <w:r>
        <w:t xml:space="preserve"> </w:t>
      </w:r>
      <w:r>
        <w:rPr>
          <w:iCs/>
          <w:i/>
        </w:rPr>
        <w:t xml:space="preserve">true</w:t>
      </w:r>
      <w:r>
        <w:t xml:space="preserve"> </w:t>
      </w:r>
      <w:r>
        <w:t xml:space="preserve">demand effects can range from approximately</w:t>
      </w:r>
      <w:r>
        <w:t xml:space="preserve"> </w:t>
      </w:r>
      <m:oMath>
        <m:r>
          <m:t>d</m:t>
        </m:r>
      </m:oMath>
      <w:r>
        <w:t xml:space="preserve"> </w:t>
      </w:r>
      <w:r>
        <w:t xml:space="preserve">= -1.44 to</w:t>
      </w:r>
      <w:r>
        <w:t xml:space="preserve"> </w:t>
      </w:r>
      <m:oMath>
        <m:r>
          <m:t>d</m:t>
        </m:r>
      </m:oMath>
      <w:r>
        <w:t xml:space="preserve"> </w:t>
      </w:r>
      <w:r>
        <w:t xml:space="preserve">= 1.97.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our results indicate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3" w:name="moderator-analyses"/>
    <w:p>
      <w:pPr>
        <w:pStyle w:val="berschrift3"/>
      </w:pPr>
      <w:r>
        <w:t xml:space="preserve">Moderator analyses.</w:t>
      </w:r>
    </w:p>
    <w:p>
      <w:pPr>
        <w:pStyle w:val="CaptionedFigure"/>
      </w:pPr>
      <w:r>
        <w:drawing>
          <wp:inline>
            <wp:extent cx="5963478" cy="5137765"/>
            <wp:effectExtent b="0" l="0" r="0" t="0"/>
            <wp:docPr descr="Figure 3.  Selected moderator subgroup mean effect sizes (dots) and their 95% confidence intervals (error bars)." title="" id="41" name="Picture"/>
            <a:graphic>
              <a:graphicData uri="http://schemas.openxmlformats.org/drawingml/2006/picture">
                <pic:pic>
                  <pic:nvPicPr>
                    <pic:cNvPr descr="metaware_manuscript_files/figure-docx/modforest-1.png" id="42" name="Picture"/>
                    <pic:cNvPicPr>
                      <a:picLocks noChangeArrowheads="1" noChangeAspect="1"/>
                    </pic:cNvPicPr>
                  </pic:nvPicPr>
                  <pic:blipFill>
                    <a:blip r:embed="rId40"/>
                    <a:stretch>
                      <a:fillRect/>
                    </a:stretch>
                  </pic:blipFill>
                  <pic:spPr bwMode="auto">
                    <a:xfrm>
                      <a:off x="0" y="0"/>
                      <a:ext cx="5963478" cy="5137765"/>
                    </a:xfrm>
                    <a:prstGeom prst="rect">
                      <a:avLst/>
                    </a:prstGeom>
                    <a:noFill/>
                    <a:ln w="9525">
                      <a:noFill/>
                      <a:headEnd/>
                      <a:tailEnd/>
                    </a:ln>
                  </pic:spPr>
                </pic:pic>
              </a:graphicData>
            </a:graphic>
          </wp:inline>
        </w:drawing>
      </w:r>
    </w:p>
    <w:p>
      <w:pPr>
        <w:pStyle w:val="ImageCaption"/>
      </w:pPr>
      <w:r>
        <w:t xml:space="preserve">Figure 3: Selected moderator subgroup mean effect sizes (dots) and their 95% confidence intervals (error bars).</w:t>
      </w:r>
    </w:p>
    <w:p>
      <w:pPr>
        <w:pStyle w:val="Textkrper"/>
      </w:pPr>
      <w:r>
        <w:t xml:space="preserve">The observed variability in demand effects dramatically exceeded what would be expected from sampling error alone,</w:t>
      </w:r>
      <w:r>
        <w:t xml:space="preserve"> </w:t>
      </w:r>
      <m:oMath>
        <m:r>
          <m:t>Q</m:t>
        </m:r>
      </m:oMath>
      <w:r>
        <w:t xml:space="preserve">(194) = 901.77,</w:t>
      </w:r>
      <w:r>
        <w:t xml:space="preserve"> </w:t>
      </w:r>
      <m:oMath>
        <m:r>
          <m:t>p</m:t>
        </m:r>
      </m:oMath>
      <w:r>
        <w:t xml:space="preserve"> </w:t>
      </w:r>
      <w:r>
        <w:t xml:space="preserve">&lt; .001. This heterogeneity suggests the existence of moderators.</w:t>
      </w:r>
    </w:p>
    <w:p>
      <w:pPr>
        <w:pStyle w:val="Textkrper"/>
      </w:pPr>
      <w:r>
        <w:t xml:space="preserve">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As shown in Figure</w:t>
      </w:r>
      <w:r>
        <w:t xml:space="preserve"> </w:t>
      </w:r>
      <w:r>
        <w:t xml:space="preserve">3</w:t>
      </w:r>
      <w:r>
        <w:t xml:space="preserv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and near-zero in studies with non-students (</w:t>
      </w:r>
      <m:oMath>
        <m:r>
          <m:t>d</m:t>
        </m:r>
      </m:oMath>
      <w:r>
        <w:t xml:space="preserve"> </w:t>
      </w:r>
      <w:r>
        <w:t xml:space="preserve">= 0.00, 95% CI [-0.20, 0.20],</w:t>
      </w:r>
      <w:r>
        <w:t xml:space="preserve"> </w:t>
      </w:r>
      <m:oMath>
        <m:r>
          <m:t>p</m:t>
        </m:r>
      </m:oMath>
      <w:r>
        <w:t xml:space="preserve"> </w:t>
      </w:r>
      <w:r>
        <w:t xml:space="preserve">= .993) or a mix of students and non-students (</w:t>
      </w:r>
      <m:oMath>
        <m:r>
          <m:t>d</m:t>
        </m:r>
      </m:oMath>
      <w:r>
        <w:t xml:space="preserve"> </w:t>
      </w:r>
      <w:r>
        <w:t xml:space="preserve">= 0.04, 95% CI [-0.38, 0.47],</w:t>
      </w:r>
      <w:r>
        <w:t xml:space="preserve"> </w:t>
      </w:r>
      <m:oMath>
        <m:r>
          <m:t>p</m:t>
        </m:r>
      </m:oMath>
      <w:r>
        <w:t xml:space="preserve"> </w:t>
      </w:r>
      <w:r>
        <w:t xml:space="preserve">= .838).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however, this difference was not significant,</w:t>
      </w:r>
      <w:r>
        <w:t xml:space="preserve"> </w:t>
      </w:r>
      <m:oMath>
        <m:r>
          <m:t>F</m:t>
        </m:r>
      </m:oMath>
      <w:r>
        <w:t xml:space="preserve">(1, 189) = 3.61,</w:t>
      </w:r>
      <w:r>
        <w:t xml:space="preserve"> </w:t>
      </w:r>
      <m:oMath>
        <m:r>
          <m:t>p</m:t>
        </m:r>
      </m:oMath>
      <w:r>
        <w:t xml:space="preserve"> </w:t>
      </w:r>
      <w:r>
        <w:t xml:space="preserve">= .059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131) = 5.41,</w:t>
      </w:r>
      <w:r>
        <w:t xml:space="preserve"> </w:t>
      </w:r>
      <m:oMath>
        <m:r>
          <m:t>p</m:t>
        </m:r>
      </m:oMath>
      <w:r>
        <w:t xml:space="preserve"> </w:t>
      </w:r>
      <w:r>
        <w:t xml:space="preserve">= .006.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 In other words, participants’ responses most strongly shift when researchers communicate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(Figure</w:t>
      </w:r>
      <w:r>
        <w:t xml:space="preserve"> </w:t>
      </w:r>
      <w:r>
        <w:t xml:space="preserve">3</w:t>
      </w:r>
      <w:r>
        <w:t xml:space="preserve">). The effects of demand characteristics tended to be 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 – but this difference was not statistically significant,</w:t>
      </w:r>
      <w:r>
        <w:t xml:space="preserve"> </w:t>
      </w:r>
      <m:oMath>
        <m:r>
          <m:t>F</m:t>
        </m:r>
      </m:oMath>
      <w:r>
        <w:t xml:space="preserve">(1, 192) = 0.87,</w:t>
      </w:r>
      <w:r>
        <w:t xml:space="preserve"> </w:t>
      </w:r>
      <m:oMath>
        <m:r>
          <m:t>p</m:t>
        </m:r>
      </m:oMath>
      <w:r>
        <w:t xml:space="preserve"> </w:t>
      </w:r>
      <w:r>
        <w:t xml:space="preserve">= .352 (Figure</w:t>
      </w:r>
      <w:r>
        <w:t xml:space="preserve"> </w:t>
      </w:r>
      <w:r>
        <w:t xml:space="preserve">3</w:t>
      </w:r>
      <w:r>
        <w:t xml:space="preserve">).</w:t>
      </w:r>
    </w:p>
    <w:bookmarkEnd w:id="43"/>
    <w:bookmarkStart w:id="44" w:name="exploratory-robustness-checks"/>
    <w:p>
      <w:pPr>
        <w:pStyle w:val="berschrift3"/>
      </w:pPr>
      <w:r>
        <w:t xml:space="preserve">Exploratory robustness checks.</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pPr>
        <w:pStyle w:val="Textkrper"/>
      </w:pPr>
      <w:r>
        <w:t xml:space="preserve">As an exploratory robustness check, we fit a 3LMA with student status, data collection medium, and payment status entered as effect-coded factors. This exploratory analysis indicated that student status – but not data collection medium (</w:t>
      </w:r>
      <w:r>
        <w:rPr>
          <w:iCs/>
          <w:i/>
        </w:rPr>
        <w:t xml:space="preserve">F</w:t>
      </w:r>
      <w:r>
        <w:t xml:space="preserve">(1, 175) = 0.18,</w:t>
      </w:r>
      <w:r>
        <w:t xml:space="preserve"> </w:t>
      </w:r>
      <w:r>
        <w:rPr>
          <w:iCs/>
          <w:i/>
        </w:rPr>
        <w:t xml:space="preserve">p</w:t>
      </w:r>
      <w:r>
        <w:t xml:space="preserve"> </w:t>
      </w:r>
      <w:r>
        <w:t xml:space="preserve">= .669) or payment status (</w:t>
      </w:r>
      <w:r>
        <w:rPr>
          <w:iCs/>
          <w:i/>
        </w:rPr>
        <w:t xml:space="preserve">F</w:t>
      </w:r>
      <w:r>
        <w:t xml:space="preserve">(1, 175) = 1.18,</w:t>
      </w:r>
      <w:r>
        <w:t xml:space="preserve"> </w:t>
      </w:r>
      <w:r>
        <w:rPr>
          <w:iCs/>
          <w:i/>
        </w:rPr>
        <w:t xml:space="preserve">p</w:t>
      </w:r>
      <w:r>
        <w:t xml:space="preserve"> </w:t>
      </w:r>
      <w:r>
        <w:t xml:space="preserve">= .280) – was a significant moderator of demand effects,</w:t>
      </w:r>
      <w:r>
        <w:t xml:space="preserve"> </w:t>
      </w:r>
      <w:r>
        <w:rPr>
          <w:iCs/>
          <w:i/>
        </w:rPr>
        <w:t xml:space="preserve">F</w:t>
      </w:r>
      <w:r>
        <w:t xml:space="preserve">(2, 175) = 3.44,</w:t>
      </w:r>
      <w:r>
        <w:t xml:space="preserve"> </w:t>
      </w:r>
      <w:r>
        <w:rPr>
          <w:iCs/>
          <w:i/>
        </w:rPr>
        <w:t xml:space="preserve">p</w:t>
      </w:r>
      <w:r>
        <w:t xml:space="preserve"> </w:t>
      </w:r>
      <w:r>
        <w:t xml:space="preserve">= .034. In other words, only student status was robustly associated with differences in demand effects in a more complex model.</w:t>
      </w:r>
    </w:p>
    <w:bookmarkEnd w:id="44"/>
    <w:bookmarkStart w:id="48" w:name="X4d2f8228bdffda6a1bb824165ec8bac5cd8c7b9"/>
    <w:p>
      <w:pPr>
        <w:pStyle w:val="berschrift3"/>
      </w:pPr>
      <w:r>
        <w:t xml:space="preserve">Estimating demand effects in specific study contexts.</w:t>
      </w:r>
    </w:p>
    <w:p>
      <w:pPr>
        <w:pStyle w:val="CaptionedFigure"/>
      </w:pPr>
      <w:r>
        <w:drawing>
          <wp:inline>
            <wp:extent cx="5963478" cy="2752374"/>
            <wp:effectExtent b="0" l="0" r="0" t="0"/>
            <wp:docPr descr="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 title="" id="46" name="Picture"/>
            <a:graphic>
              <a:graphicData uri="http://schemas.openxmlformats.org/drawingml/2006/picture">
                <pic:pic>
                  <pic:nvPicPr>
                    <pic:cNvPr descr="metaware_manuscript_files/figure-docx/predplot-1.png" id="47" name="Picture"/>
                    <pic:cNvPicPr>
                      <a:picLocks noChangeArrowheads="1" noChangeAspect="1"/>
                    </pic:cNvPicPr>
                  </pic:nvPicPr>
                  <pic:blipFill>
                    <a:blip r:embed="rId45"/>
                    <a:stretch>
                      <a:fillRect/>
                    </a:stretch>
                  </pic:blipFill>
                  <pic:spPr bwMode="auto">
                    <a:xfrm>
                      <a:off x="0" y="0"/>
                      <a:ext cx="5963478" cy="2752374"/>
                    </a:xfrm>
                    <a:prstGeom prst="rect">
                      <a:avLst/>
                    </a:prstGeom>
                    <a:noFill/>
                    <a:ln w="9525">
                      <a:noFill/>
                      <a:headEnd/>
                      <a:tailEnd/>
                    </a:ln>
                  </pic:spPr>
                </pic:pic>
              </a:graphicData>
            </a:graphic>
          </wp:inline>
        </w:drawing>
      </w:r>
    </w:p>
    <w:p>
      <w:pPr>
        <w:pStyle w:val="ImageCaption"/>
      </w:pPr>
      <w:r>
        <w:t xml:space="preserve">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typically produce a small increase in hypothesis-consistent responding,</w:t>
      </w:r>
      <w:r>
        <w:t xml:space="preserve"> </w:t>
      </w:r>
      <m:oMath>
        <m:r>
          <m:t>d</m:t>
        </m:r>
      </m:oMath>
      <w:r>
        <w:t xml:space="preserve"> </w:t>
      </w:r>
      <w:r>
        <w:t xml:space="preserve">= 0.22, 95% CI [0.08, 0.36,</w:t>
      </w:r>
      <w:r>
        <w:t xml:space="preserve"> </w:t>
      </w:r>
      <m:oMath>
        <m:r>
          <m:t>p</m:t>
        </m:r>
      </m:oMath>
      <w:r>
        <w:t xml:space="preserve"> </w:t>
      </w:r>
      <w:r>
        <w:t xml:space="preserve">= .003]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are testing for a positive effect. Here, we did not find that demand characteristics, on average, produce changes in participants’ responses,</w:t>
      </w:r>
      <w:r>
        <w:t xml:space="preserve"> </w:t>
      </w:r>
      <m:oMath>
        <m:r>
          <m:t>d</m:t>
        </m:r>
      </m:oMath>
      <w:r>
        <w:t xml:space="preserve"> </w:t>
      </w:r>
      <w:r>
        <w:t xml:space="preserve">= 0.00, 95% CI [-0.18, 0.17,</w:t>
      </w:r>
      <w:r>
        <w:t xml:space="preserve"> </w:t>
      </w:r>
      <m:oMath>
        <m:r>
          <m:t>p</m:t>
        </m:r>
      </m:oMath>
      <w:r>
        <w:t xml:space="preserve"> </w:t>
      </w:r>
      <w:r>
        <w:t xml:space="preserve">= 0.97] (Figure</w:t>
      </w:r>
      <w:r>
        <w:t xml:space="preserve"> </w:t>
      </w:r>
      <w:r>
        <w:t xml:space="preserve">4</w:t>
      </w:r>
      <w:r>
        <w:t xml:space="preserve">).</w:t>
      </w:r>
    </w:p>
    <w:bookmarkEnd w:id="48"/>
    <w:bookmarkStart w:id="52"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5.  Raw (A) or aggregated (B) effect sizes plot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t xml:space="preserve">Figure 5: Raw (A) or aggregated (B) effect sizes plotted against their corresponding standard errors.</w:t>
      </w:r>
    </w:p>
    <w:bookmarkEnd w:id="52"/>
    <w:bookmarkEnd w:id="53"/>
    <w:bookmarkStart w:id="54"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effects were heterogeneous. As an illustration, we estimated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were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Of the three, sampling student populations appeared the be the most robust moderator.</w:t>
      </w:r>
    </w:p>
    <w:p>
      <w:pPr>
        <w:pStyle w:val="Textkrper"/>
      </w:pPr>
      <w:r>
        <w:t xml:space="preserve">Practically speaking,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4"/>
    <w:bookmarkEnd w:id="55"/>
    <w:bookmarkStart w:id="72" w:name="study-2"/>
    <w:p>
      <w:pPr>
        <w:pStyle w:val="berschrift1"/>
      </w:pPr>
      <w:r>
        <w:t xml:space="preserve">Study 2</w:t>
      </w:r>
    </w:p>
    <w:p>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bookmarkStart w:id="65"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57" name="Picture"/>
            <a:graphic>
              <a:graphicData uri="http://schemas.openxmlformats.org/drawingml/2006/picture">
                <pic:pic>
                  <pic:nvPicPr>
                    <pic:cNvPr descr="images/metaware_vigs.png" id="58" name="Picture"/>
                    <pic:cNvPicPr>
                      <a:picLocks noChangeArrowheads="1" noChangeAspect="1"/>
                    </pic:cNvPicPr>
                  </pic:nvPicPr>
                  <pic:blipFill>
                    <a:blip r:embed="rId56"/>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t xml:space="preserve">Figure 6: 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randomly-selected vignettes in exchange for course credit (49% female; 35% male, 14% did not report gender; 2% transgender or gender non-conforming). 32% of participants reported they were White/Caucasian, 28% Asian, 8% Black/African American, and 7% Native Hawaiian or Other Pacific Islander. 11% of participants indicated that there ethnicity could not be described by any single provided category, and 14%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pPr>
        <w:pStyle w:val="CaptionedFigure"/>
      </w:pPr>
      <w:r>
        <w:drawing>
          <wp:inline>
            <wp:extent cx="5518484" cy="4665960"/>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0" name="Picture"/>
            <a:graphic>
              <a:graphicData uri="http://schemas.openxmlformats.org/drawingml/2006/picture">
                <pic:pic>
                  <pic:nvPicPr>
                    <pic:cNvPr descr="images/metaware_mods.png" id="61" name="Picture"/>
                    <pic:cNvPicPr>
                      <a:picLocks noChangeArrowheads="1" noChangeAspect="1"/>
                    </pic:cNvPicPr>
                  </pic:nvPicPr>
                  <pic:blipFill>
                    <a:blip r:embed="rId59"/>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t xml:space="preserve">Figure 7: 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Panel A), belief in the stated hypothesis (</w:t>
      </w:r>
      <w:r>
        <w:rPr>
          <w:iCs/>
          <w:i/>
        </w:rPr>
        <w:t xml:space="preserve">b</w:t>
      </w:r>
      <w:r>
        <w:t xml:space="preserve">, Panel B), and opportunity to adjust responses (</w:t>
      </w:r>
      <w:r>
        <w:rPr>
          <w:iCs/>
          <w:i/>
        </w:rPr>
        <w:t xml:space="preserve">o</w:t>
      </w:r>
      <w:r>
        <w:t xml:space="preserve">, Panel C). In each panel, separate examples are provided for scenarios where motivation is invariant (Column 1) and variant (Column 2) across demand characteristic manipulations</w:t>
      </w:r>
    </w:p>
    <w:bookmarkStart w:id="62"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Panel A, Column 2). Summing motivation scores allowed us to accommodate this possibility, and we used the same approach for belief (Figure</w:t>
      </w:r>
      <w:r>
        <w:t xml:space="preserve"> </w:t>
      </w:r>
      <w:r>
        <w:t xml:space="preserve">7</w:t>
      </w:r>
      <w:r>
        <w:t xml:space="preserve">, Panel B) and opportunity ratings (Figure</w:t>
      </w:r>
      <w:r>
        <w:t xml:space="preserve"> </w:t>
      </w:r>
      <w:r>
        <w:t xml:space="preserve">7</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2"/>
    <w:bookmarkStart w:id="63"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3"/>
    <w:bookmarkStart w:id="64"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64"/>
    <w:bookmarkEnd w:id="65"/>
    <w:bookmarkStart w:id="70" w:name="results-1"/>
    <w:p>
      <w:pPr>
        <w:pStyle w:val="berschrift2"/>
      </w:pPr>
      <w:r>
        <w:t xml:space="preserve">Results</w:t>
      </w:r>
    </w:p>
    <w:p>
      <w:pPr>
        <w:pStyle w:val="CaptionedFigure"/>
      </w:pPr>
      <w:r>
        <w:drawing>
          <wp:inline>
            <wp:extent cx="5963478" cy="4128561"/>
            <wp:effectExtent b="0" l="0" r="0" t="0"/>
            <wp:docPr descr="Figure 8.  Scatterplots of relationships between the observed effects of demand characteristics (y-axis) and motivation (Panel A), opportunity (Panel B), belief (Panel C), and prediction (Panel D) ratings (x-axis). Grey dots represent jittered observations, black lines represent estimated linear relationships, and blue ribbons represent 95% confidence intervals for estimated linear relationships." title="" id="67" name="Picture"/>
            <a:graphic>
              <a:graphicData uri="http://schemas.openxmlformats.org/drawingml/2006/picture">
                <pic:pic>
                  <pic:nvPicPr>
                    <pic:cNvPr descr="metaware_manuscript_files/figure-docx/modfig-1.png" id="68" name="Picture"/>
                    <pic:cNvPicPr>
                      <a:picLocks noChangeArrowheads="1" noChangeAspect="1"/>
                    </pic:cNvPicPr>
                  </pic:nvPicPr>
                  <pic:blipFill>
                    <a:blip r:embed="rId66"/>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t xml:space="preserve">Figure 8: Scatterplots of relationships between the observed effects of demand characteristics (y-axis) and motivation (Panel A), opportunity (Panel B), belief (Panel C), and prediction (Panel D) ratings (x-axis). Grey dots represent jittered observations, black lines represent estimated linear relationships, and blue ribbons represent 95% confidence intervals for estimated linear relationships.</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w:t>
      </w:r>
      <w:r>
        <w:t xml:space="preserve"> </w:t>
      </w:r>
      <w:r>
        <w:t xml:space="preserve">8</w:t>
      </w:r>
      <w:r>
        <w:t xml:space="preserve">,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8</w:t>
      </w:r>
      <w:r>
        <w:t xml:space="preserve">, Panel C). Last, we did not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8</w:t>
      </w:r>
      <w:r>
        <w:t xml:space="preserve">, Panel D).</w:t>
      </w:r>
    </w:p>
    <w:bookmarkStart w:id="69" w:name="residual-variability"/>
    <w:p>
      <w:pPr>
        <w:pStyle w:val="berschrift3"/>
      </w:pPr>
      <w:r>
        <w:t xml:space="preserve">Residual variability.</w:t>
      </w:r>
    </w:p>
    <w:p>
      <w:pPr>
        <w:pStyle w:val="FirstParagraph"/>
      </w:pPr>
      <w:r>
        <w:t xml:space="preserve">To evaluate how much variability in demand effects is currently accounted for by our model, we calculated a psuedo-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bookmarkEnd w:id="69"/>
    <w:bookmarkEnd w:id="70"/>
    <w:bookmarkStart w:id="71" w:name="discussion-1"/>
    <w:p>
      <w:pPr>
        <w:pStyle w:val="berschrift2"/>
      </w:pPr>
      <w:r>
        <w:t xml:space="preserve">Discussion</w:t>
      </w:r>
    </w:p>
    <w:p>
      <w:pPr>
        <w:pStyle w:val="FirstParagraph"/>
      </w:pPr>
      <w:r>
        <w:t xml:space="preserve">Contrary to pre-existing conceptualizations of the impact of demand characteristics</w:t>
      </w:r>
      <w:r>
        <w:t xml:space="preserve"> </w:t>
      </w:r>
      <w:r>
        <w:t xml:space="preserve">(Coles, Gaertner, et al., 2022; Rosnow &amp; Rosenthal, 1997)</w:t>
      </w:r>
      <w:r>
        <w:t xml:space="preserve">,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pPr>
        <w:pStyle w:val="Textkrper"/>
      </w:pPr>
      <w:r>
        <w:t xml:space="preserve">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representative of the people sampled in previous research</w:t>
      </w:r>
      <w:r>
        <w:t xml:space="preserve"> </w:t>
      </w:r>
      <w:r>
        <w:t xml:space="preserve">(Gergen, 1973)</w:t>
      </w:r>
      <w:r>
        <w:t xml:space="preserve">. To test this idea, we re-ran our motivation, opportunity, and belief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these two limitations via a different strategy, we re-examined the mechanisms underlying demand effects in a small exploratory replication of an experiment in the meta-analysis.</w:t>
      </w:r>
    </w:p>
    <w:bookmarkEnd w:id="71"/>
    <w:bookmarkEnd w:id="72"/>
    <w:bookmarkStart w:id="76"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were randomized.</w:t>
      </w:r>
    </w:p>
    <w:bookmarkStart w:id="74"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3"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Sample size was based on availability of resources (i.e., we collected as much data as possible in a single semester). Because the study was exploratory, there was no pre-registration.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73"/>
    <w:bookmarkEnd w:id="74"/>
    <w:bookmarkStart w:id="75"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 95% CI [0.60, 0.82],</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95% CI [0.75, 1.04]) vs. nil (</w:t>
      </w:r>
      <w:r>
        <w:rPr>
          <w:iCs/>
          <w:i/>
        </w:rPr>
        <w:t xml:space="preserve">M</w:t>
      </w:r>
      <w:r>
        <w:rPr>
          <w:vertAlign w:val="subscript"/>
          <w:iCs/>
          <w:i/>
        </w:rPr>
        <w:t xml:space="preserve">diff</w:t>
      </w:r>
      <w:r>
        <w:t xml:space="preserve"> </w:t>
      </w:r>
      <w:r>
        <w:t xml:space="preserve">= 0.52, 95% CI [0.36, 0.68])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95% CI [0.00, 0.09]. However, the estimation of this moderating relationship was not significant,</w:t>
      </w:r>
      <w:r>
        <w:t xml:space="preserve"> </w:t>
      </w:r>
      <w:r>
        <w:rPr>
          <w:iCs/>
          <w:i/>
        </w:rPr>
        <w:t xml:space="preserve">t</w:t>
      </w:r>
      <w:r>
        <w:t xml:space="preserve">(472.40) = 1.86,</w:t>
      </w:r>
      <w:r>
        <w:t xml:space="preserve"> </w:t>
      </w:r>
      <w:r>
        <w:rPr>
          <w:iCs/>
          <w:i/>
        </w:rPr>
        <w:t xml:space="preserve">p</w:t>
      </w:r>
      <w:r>
        <w:t xml:space="preserve"> </w:t>
      </w:r>
      <w:r>
        <w:t xml:space="preserve">= .063. Furthermore, the estimation of this moderating relationship was less robust when including participants who did not correctly identify the communicated hypothesis,</w:t>
      </w:r>
      <w:r>
        <w:t xml:space="preserve"> </w:t>
      </w:r>
      <m:oMath>
        <m:r>
          <m:t>β</m:t>
        </m:r>
      </m:oMath>
      <w:r>
        <w:t xml:space="preserve"> </w:t>
      </w:r>
      <w:r>
        <w:t xml:space="preserve">= 0.03, 95% CI [-0.01, 0.07],</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 95% CI [-0.02, 0.08],</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 95% CI[0.01, 0.08],</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evidence that participants’ beliefs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w:t>
      </w:r>
    </w:p>
    <w:p>
      <w:pPr>
        <w:pStyle w:val="Textkrper"/>
      </w:pPr>
      <w:r>
        <w:t xml:space="preserve">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 95% CI [-0.02, 0.08],</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 95% CI [-0.05, 0.05],</w:t>
      </w:r>
      <w:r>
        <w:t xml:space="preserve"> </w:t>
      </w:r>
      <w:r>
        <w:rPr>
          <w:iCs/>
          <w:i/>
        </w:rPr>
        <w:t xml:space="preserve">t</w:t>
      </w:r>
      <w:r>
        <w:t xml:space="preserve">(471.16) = -0.18,</w:t>
      </w:r>
      <w:r>
        <w:t xml:space="preserve"> </w:t>
      </w:r>
      <w:r>
        <w:rPr>
          <w:iCs/>
          <w:i/>
        </w:rPr>
        <w:t xml:space="preserve">p</w:t>
      </w:r>
      <w:r>
        <w:t xml:space="preserve"> </w:t>
      </w:r>
      <w:r>
        <w:t xml:space="preserve">= .854.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 95% CI[0.02, 0.13],</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with higher belief ratings,</w:t>
      </w:r>
      <w:r>
        <w:t xml:space="preserve"> </w:t>
      </w:r>
      <m:oMath>
        <m:r>
          <m:t>β</m:t>
        </m:r>
      </m:oMath>
      <w:r>
        <w:t xml:space="preserve"> </w:t>
      </w:r>
      <w:r>
        <w:t xml:space="preserve">= 0.06, 95% CI [0.03, 0.10],</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5"/>
    <w:bookmarkEnd w:id="76"/>
    <w:bookmarkStart w:id="77" w:name="general-discussion"/>
    <w:p>
      <w:pPr>
        <w:pStyle w:val="berschrift1"/>
      </w:pPr>
      <w:r>
        <w:t xml:space="preserve">General Discussion</w:t>
      </w:r>
    </w:p>
    <w:p>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An estimated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-1.44 to</w:t>
      </w:r>
      <w:r>
        <w:t xml:space="preserve"> </w:t>
      </w:r>
      <m:oMath>
        <m:r>
          <m:t>d</m:t>
        </m:r>
      </m:oMath>
      <w:r>
        <w:t xml:space="preserve"> </w:t>
      </w:r>
      <w:r>
        <w:t xml:space="preserve">= 1.97. This distribution is remarkably similar to the distribution of theory-relevant effects in experimental psychology</w:t>
      </w:r>
      <w:r>
        <w:t xml:space="preserve"> </w:t>
      </w:r>
      <w:r>
        <w:t xml:space="preserve">(Lovakov &amp; Agadullina, 2021)</w:t>
      </w:r>
      <w:r>
        <w:t xml:space="preserve">. Thus, in order to distinguish theory-relevant effects from artifactual demand effects, it is essential that experimental psychologists better understand the latter.</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pPr>
        <w:pStyle w:val="Textkrper"/>
      </w:pPr>
      <w:r>
        <w:t xml:space="preserve">We found robust evidence that demand effects are at least partly driven by participants’ beliefs about the study they are participating in. This finding challenges historical distinctions made between placebo effects and demand characteristics – the later which have been conventionally conceptualized as a relatively deliberate response bias driven by participants’ motivation and ability to adjust their responses</w:t>
      </w:r>
      <w:r>
        <w:t xml:space="preserve"> </w:t>
      </w:r>
      <w:r>
        <w:t xml:space="preserve">(Cook et al., 1970; Orne, 1962; Riecken, 1962; Rosenberg, 1969; Rosnow &amp; Rosenthal, 1997; Sigall et al., 1970)</w:t>
      </w:r>
      <w:r>
        <w:t xml:space="preserve">. 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pPr>
        <w:pStyle w:val="Textkrper"/>
      </w:pPr>
      <w:r>
        <w:t xml:space="preserve">On the basis of these results, we suggest that it is no longer tenable to keep demand characteristics conceptually divorced from related work on placebo effects. Consistent with recently proposed extensions of demand characteristic frameworks, our results consistently indicated that participants’ beliefs partially drive demand effects</w:t>
      </w:r>
      <w:r>
        <w:t xml:space="preserve"> </w:t>
      </w:r>
      <w:r>
        <w:t xml:space="preserve">(Coles, Gaertner, et al., 2022; Corneille &amp; Lush, 2022)</w:t>
      </w:r>
      <w:r>
        <w:t xml:space="preserve">.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participants’ possess a rich array of pre-existing beliefs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psychologists study</w:t>
      </w:r>
      <w:r>
        <w:t xml:space="preserve"> </w:t>
      </w:r>
      <w:r>
        <w:t xml:space="preserve">(Lovakov &amp; Agadullina, 2021)</w:t>
      </w:r>
      <w:r>
        <w:t xml:space="preserve">.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 are likely to posses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bookmarkEnd w:id="77"/>
    <w:bookmarkStart w:id="131" w:name="references"/>
    <w:p>
      <w:pPr>
        <w:pStyle w:val="berschrift1"/>
      </w:pPr>
      <w:r>
        <w:t xml:space="preserve">References</w:t>
      </w:r>
    </w:p>
    <w:bookmarkStart w:id="130" w:name="refs"/>
    <w:bookmarkStart w:id="78"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8"/>
    <w:bookmarkStart w:id="80"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79">
        <w:r>
          <w:rPr>
            <w:rStyle w:val="Hyperlink"/>
          </w:rPr>
          <w:t xml:space="preserve">https://doi.org/10.18637/jss.v067.i01</w:t>
        </w:r>
      </w:hyperlink>
    </w:p>
    <w:bookmarkEnd w:id="80"/>
    <w:bookmarkStart w:id="81"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1"/>
    <w:bookmarkStart w:id="82"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2"/>
    <w:bookmarkStart w:id="83"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3"/>
    <w:bookmarkStart w:id="85"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4">
        <w:r>
          <w:rPr>
            <w:rStyle w:val="Hyperlink"/>
          </w:rPr>
          <w:t xml:space="preserve">https://CRAN.R-project.org/package=weightr</w:t>
        </w:r>
      </w:hyperlink>
    </w:p>
    <w:bookmarkEnd w:id="85"/>
    <w:bookmarkStart w:id="86"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6"/>
    <w:bookmarkStart w:id="87"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7"/>
    <w:bookmarkStart w:id="88"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8"/>
    <w:bookmarkStart w:id="89"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9"/>
    <w:bookmarkStart w:id="90"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0"/>
    <w:bookmarkStart w:id="91"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1"/>
    <w:bookmarkStart w:id="92"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2"/>
    <w:bookmarkStart w:id="93"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3"/>
    <w:bookmarkStart w:id="94"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4"/>
    <w:bookmarkStart w:id="95"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5"/>
    <w:bookmarkStart w:id="96"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6"/>
    <w:bookmarkStart w:id="97"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97"/>
    <w:bookmarkStart w:id="98"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8"/>
    <w:bookmarkStart w:id="99"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99"/>
    <w:bookmarkStart w:id="100"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100"/>
    <w:bookmarkStart w:id="101"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1"/>
    <w:bookmarkStart w:id="103"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02">
        <w:r>
          <w:rPr>
            <w:rStyle w:val="Hyperlink"/>
          </w:rPr>
          <w:t xml:space="preserve">https://CRAN.R-project.org/package=emmeans</w:t>
        </w:r>
      </w:hyperlink>
    </w:p>
    <w:bookmarkEnd w:id="103"/>
    <w:bookmarkStart w:id="104"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04"/>
    <w:bookmarkStart w:id="105"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5"/>
    <w:bookmarkStart w:id="106"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6"/>
    <w:bookmarkStart w:id="107"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7"/>
    <w:bookmarkStart w:id="108"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8"/>
    <w:bookmarkStart w:id="109"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9"/>
    <w:bookmarkStart w:id="110"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0"/>
    <w:bookmarkStart w:id="112"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1">
        <w:r>
          <w:rPr>
            <w:rStyle w:val="Hyperlink"/>
          </w:rPr>
          <w:t xml:space="preserve">https://www.R-project.org/</w:t>
        </w:r>
      </w:hyperlink>
    </w:p>
    <w:bookmarkEnd w:id="112"/>
    <w:bookmarkStart w:id="113"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3"/>
    <w:bookmarkStart w:id="114"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4"/>
    <w:bookmarkStart w:id="115"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5"/>
    <w:bookmarkStart w:id="116"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6"/>
    <w:bookmarkStart w:id="117"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7"/>
    <w:bookmarkStart w:id="118"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8"/>
    <w:bookmarkStart w:id="119"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9"/>
    <w:bookmarkStart w:id="120"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0"/>
    <w:bookmarkStart w:id="121"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1"/>
    <w:bookmarkStart w:id="122"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2"/>
    <w:bookmarkStart w:id="123"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23"/>
    <w:bookmarkStart w:id="124"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4"/>
    <w:bookmarkStart w:id="125"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5"/>
    <w:bookmarkStart w:id="127"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26">
        <w:r>
          <w:rPr>
            <w:rStyle w:val="Hyperlink"/>
          </w:rPr>
          <w:t xml:space="preserve">https://doi.org/10.18637/jss.v036.i03</w:t>
        </w:r>
      </w:hyperlink>
    </w:p>
    <w:bookmarkEnd w:id="127"/>
    <w:bookmarkStart w:id="128"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8"/>
    <w:bookmarkStart w:id="129"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9"/>
    <w:bookmarkEnd w:id="130"/>
    <w:bookmarkEnd w:id="13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2">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QUANTITATIVE REVIEW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QUANTITATIVE REVIEW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6"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6"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2023-10-08T00:55:27Z</dcterms:created>
  <dcterms:modified xsi:type="dcterms:W3CDTF">2023-10-08T00:55:27Z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