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They then offer a confession: the artifact doesn’t always impact their method,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demand characteristics do not always seem to matter. For example, contrary to the aforementioned demonstration of demand effects,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p>
    <w:bookmarkStart w:id="25"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w:t>
      </w:r>
      <w:r>
        <w:t xml:space="preserve"> </w:t>
      </w:r>
      <w:r>
        <w:t xml:space="preserve">(for a recent review, see Corneille &amp; Lush, 2022)</w:t>
      </w:r>
      <w:r>
        <w:t xml:space="preserve">. In the present work, we focus on two potential mechanisms: response biases and placebo effects. We define</w:t>
      </w:r>
      <w:r>
        <w:t xml:space="preserve"> </w:t>
      </w:r>
      <w:r>
        <w:rPr>
          <w:iCs/>
          <w:i/>
        </w:rPr>
        <w:t xml:space="preserve">response biases</w:t>
      </w:r>
      <w:r>
        <w:t xml:space="preserve"> </w:t>
      </w:r>
      <w:r>
        <w:t xml:space="preserve">as changes mediated by relatively deliberate changes that participants make to their responses</w:t>
      </w:r>
      <w:r>
        <w:t xml:space="preserve"> </w:t>
      </w:r>
      <w:r>
        <w:t xml:space="preserve">(Rosnow &amp; Aiken, 1973; Strohmetz, 2008)</w:t>
      </w:r>
      <w:r>
        <w:t xml:space="preserve">. We distinguish these response biases from</w:t>
      </w:r>
      <w:r>
        <w:t xml:space="preserve"> </w:t>
      </w:r>
      <w:r>
        <w:rPr>
          <w:iCs/>
          <w:i/>
        </w:rPr>
        <w:t xml:space="preserve">placebo effects</w:t>
      </w:r>
      <w:r>
        <w:t xml:space="preserve">: changes mediated by the relatively automatic activation of beliefs and/or conditioned responses</w:t>
      </w:r>
      <w:r>
        <w:t xml:space="preserve"> </w:t>
      </w:r>
      <w:r>
        <w:t xml:space="preserve">(Stewart-Williams &amp; Podd, 2004; Zion &amp; Crum, 2018)</w:t>
      </w:r>
      <w:r>
        <w:t xml:space="preserve">. As an example of this distinction, imagine that a participant knows that a researcher expects an intervention to boost mood. Response bias, on on hand, would involve a change in participants’ self-reported mood without a concomitant change in actual mood. Placebo effects, on the other hand, would entail an actual change in mood.</w:t>
      </w:r>
    </w:p>
    <w:p>
      <w:pPr>
        <w:pStyle w:val="Textkrper"/>
      </w:pPr>
      <w:r>
        <w:t xml:space="preserve">One of the most influential frameworks for conceptualizing demand characteristics as response biases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Rosnow and Rosenthal (1997)</w:t>
      </w:r>
      <w:r>
        <w:t xml:space="preserve"> </w:t>
      </w:r>
      <w:r>
        <w:t xml:space="preserve">theorized that response biases are driven by participants’ motivation (or lack thereof) to provide hypothesis-consistent responses. Early research on demand characteristics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 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placebo effects.</w:t>
      </w:r>
    </w:p>
    <w:p>
      <w:pPr>
        <w:pStyle w:val="Textkrper"/>
      </w:pPr>
      <w:r>
        <w:t xml:space="preserve">Coles, Gaertner, et al. (2022)</w:t>
      </w:r>
      <w:r>
        <w:t xml:space="preserve"> </w:t>
      </w:r>
      <w:r>
        <w:t xml:space="preserve">recently argued that demand characteristics can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(Stewart-Williams &amp; Podd, 2004)</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evidence that demand characteristics can produce both response biases and placebo effects, the latter which can emerge even when participants have neither the motivation nor the opportunity to adjust their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Sample.</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are</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determined by the availability of relevant records. All code (including the script used to generate a computationally reproducible manuscript) has been checked for reproducibility. Ethics approval was not requested for this study because no new data were collected.</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our 3LMA approach assumes that there are multiple true effects. Consistent with this assumption, the observed variability in demand effects dramatically exceeded what would be expected from sampling error alone (between-study</w:t>
      </w:r>
      <w:r>
        <w:t xml:space="preserve"> </w:t>
      </w:r>
      <m:oMath>
        <m:r>
          <m:t>τ</m:t>
        </m:r>
      </m:oMath>
      <w:r>
        <w:t xml:space="preserve"> </w:t>
      </w:r>
      <w:r>
        <w:t xml:space="preserve">= 0.30; within-study</w:t>
      </w:r>
      <w:r>
        <w:t xml:space="preserve"> </w:t>
      </w:r>
      <m:oMath>
        <m:r>
          <m:t>σ</m:t>
        </m:r>
      </m:oMath>
      <w:r>
        <w:t xml:space="preserve"> </w:t>
      </w:r>
      <w:r>
        <w:t xml:space="preserve">= 0.20;</w:t>
      </w:r>
      <w:r>
        <w:t xml:space="preserve"> </w:t>
      </w:r>
      <m:oMath>
        <m:r>
          <m:t>Q</m:t>
        </m:r>
      </m:oMath>
      <w:r>
        <w:t xml:space="preserve">(194) = 901.77,</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1.97 — covering the range of most conceivable effects in psychology.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5963478"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5963478" cy="5137765"/>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When variability in effect sizes exceed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simultaneously entered as effect-coded factors. Doing so allowed us to estimate the moderating effect of each factor while holding the effects of the other factors constant.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when attempting to isolate the unique effect of these three factors, only student status was robustly associated with differences in demand effects.</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not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1.97.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1" w:name="references"/>
    <w:p>
      <w:pPr>
        <w:pStyle w:val="berschrift1"/>
      </w:pPr>
      <w:r>
        <w:t xml:space="preserve">References</w:t>
      </w:r>
    </w:p>
    <w:bookmarkStart w:id="130"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3"/>
    <w:bookmarkStart w:id="124"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7"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6">
        <w:r>
          <w:rPr>
            <w:rStyle w:val="Hyperlink"/>
          </w:rPr>
          <w:t xml:space="preserve">https://doi.org/10.18637/jss.v036.i03</w:t>
        </w:r>
      </w:hyperlink>
    </w:p>
    <w:bookmarkEnd w:id="127"/>
    <w:bookmarkStart w:id="128"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8"/>
    <w:bookmarkStart w:id="129"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2023-10-09T02:15:07Z</dcterms:created>
  <dcterms:modified xsi:type="dcterms:W3CDTF">2023-10-09T02:15:07Z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