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3.png" ContentType="image/png"/>
  <Override PartName="/word/media/rId37.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impact</w:t>
      </w:r>
      <w:r>
        <w:t xml:space="preserve"> </w:t>
      </w:r>
      <w:r>
        <w:t xml:space="preserve">and</w:t>
      </w:r>
      <w:r>
        <w:t xml:space="preserve"> </w:t>
      </w:r>
      <w:r>
        <w:t xml:space="preserve">heterogeneity</w:t>
      </w:r>
      <w:r>
        <w:t xml:space="preserve"> </w:t>
      </w:r>
      <w:r>
        <w:t xml:space="preserve">of</w:t>
      </w:r>
      <w:r>
        <w:t xml:space="preserve"> </w:t>
      </w:r>
      <w:r>
        <w:t xml:space="preserve">demand</w:t>
      </w:r>
      <w:r>
        <w:t xml:space="preserve"> </w:t>
      </w:r>
      <w:r>
        <w:t xml:space="preserve">characteristics:</w:t>
      </w:r>
      <w:r>
        <w:t xml:space="preserve"> </w:t>
      </w:r>
      <w:r>
        <w:t xml:space="preserve">A</w:t>
      </w:r>
      <w:r>
        <w:t xml:space="preserve"> </w:t>
      </w:r>
      <w:r>
        <w:t xml:space="preserve">meta-analysis</w:t>
      </w:r>
      <w:r>
        <w:t xml:space="preserve"> </w:t>
      </w:r>
      <w:r>
        <w:t xml:space="preserve">of</w:t>
      </w:r>
      <w:r>
        <w:t xml:space="preserve"> </w:t>
      </w:r>
      <w:r>
        <w:t xml:space="preserve">manipulations</w:t>
      </w:r>
      <w:r>
        <w:t xml:space="preserve"> </w:t>
      </w:r>
      <w:r>
        <w:t xml:space="preserve">of</w:t>
      </w:r>
      <w:r>
        <w:t xml:space="preserve"> </w:t>
      </w:r>
      <w:r>
        <w:t xml:space="preserve">explicit</w:t>
      </w:r>
      <w:r>
        <w:t xml:space="preserve"> </w:t>
      </w:r>
      <w:r>
        <w:t xml:space="preserve">demand</w:t>
      </w:r>
      <w:r>
        <w:t xml:space="preserve"> </w:t>
      </w:r>
      <w:r>
        <w:t xml:space="preserve">cues</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w:t>
      </w:r>
      <w:r>
        <w:t xml:space="preserve"> </w:t>
      </w:r>
      <w:r>
        <w:t xml:space="preserve">All materials, data, code, and pre-registrations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EDC’s led to small overall increases in hypothesis-consistent responding (</w:t>
      </w:r>
      <w:r>
        <w:rPr>
          <w:i/>
          <w:iCs/>
        </w:rPr>
        <w:t xml:space="preserve">g</w:t>
      </w:r>
      <w:r>
        <w:t xml:space="preserve"> </w:t>
      </w:r>
      <w:r>
        <w:t xml:space="preserve">= 0.21, 95% CI [0.12, 0.31]). However, the effects were heterogeneous (between-study</w:t>
      </w:r>
      <w:r>
        <w:t xml:space="preserve"> </w:t>
      </w:r>
      <m:oMath>
        <m:r>
          <m:t>τ</m:t>
        </m:r>
      </m:oMath>
      <w:r>
        <w:t xml:space="preserve"> </w:t>
      </w:r>
      <w:r>
        <w:t xml:space="preserve">= 0.28; within-study</w:t>
      </w:r>
      <w:r>
        <w:t xml:space="preserve"> </w:t>
      </w:r>
      <m:oMath>
        <m:r>
          <m:t>σ</m:t>
        </m:r>
      </m:oMath>
      <w:r>
        <w:t xml:space="preserve"> </w:t>
      </w:r>
      <w:r>
        <w:t xml:space="preserve">= 0.18), with the prediction interval ranging from</w:t>
      </w:r>
      <w:r>
        <w:t xml:space="preserve"> </w:t>
      </w:r>
      <w:r>
        <w:rPr>
          <w:i/>
          <w:iCs/>
        </w:rPr>
        <w:t xml:space="preserve">g</w:t>
      </w:r>
      <w:r>
        <w:t xml:space="preserve"> </w:t>
      </w:r>
      <w:r>
        <w:t xml:space="preserve">= 0.89 (a large increase in hypothesis-consistent responding) to</w:t>
      </w:r>
      <w:r>
        <w:t xml:space="preserve"> </w:t>
      </w:r>
      <w:r>
        <w:rPr>
          <w:i/>
          <w:iCs/>
        </w:rPr>
        <w:t xml:space="preserve">g</w:t>
      </w:r>
      <w:r>
        <w:t xml:space="preserve"> </w:t>
      </w:r>
      <w:r>
        <w:t xml:space="preserve">= -0.46 (a moderate</w:t>
      </w:r>
      <w:r>
        <w:t xml:space="preserve"> </w:t>
      </w:r>
      <w:r>
        <w:rPr>
          <w:i/>
          <w:iCs/>
        </w:rPr>
        <w:t xml:space="preserve">decrease</w:t>
      </w:r>
      <w:r>
        <w:t xml:space="preserve"> </w:t>
      </w:r>
      <w:r>
        <w:t xml:space="preserve">in hypothesis-consistent responding). Both the observed and estimated distribution of these effects suggested that demand characteristics can create false positives, false negatives, upward bias, and downward bias. This heterogeneity is currently difficult to explain. Consistent with previous theories, the observed and estimated distribution of these effects suggest that demand characteristics can create false positives, false negatives, upward bias, and downward bias. We end our review of these broad set of inferential consequences with recommendations for future research – particularly in regards to grappling with mechanisms theorized to underlie the effects of demand characteristics.</w:t>
      </w:r>
    </w:p>
    <w:p>
      <w:pPr>
        <w:pStyle w:val="Textkrper"/>
      </w:pPr>
      <w:r>
        <w:rPr>
          <w:i/>
          <w:iCs/>
        </w:rPr>
        <w:t xml:space="preserve">Keywords:</w:t>
      </w:r>
      <w:r>
        <w:t xml:space="preserve"> </w:t>
      </w:r>
      <w:r>
        <w:t xml:space="preserve">demand characteristics, expectancies, meta-analysis, methodology, confound</w:t>
      </w:r>
    </w:p>
    <w:p>
      <w:pPr>
        <w:pStyle w:val="h1-pagebreak"/>
      </w:pPr>
      <w:r>
        <w:t xml:space="preserve">The impact and heterogeneity of demand characteristics: A meta-analysis of manipulations of explicit demand cues</w:t>
      </w:r>
    </w:p>
    <w:p>
      <w:pPr>
        <w:pStyle w:val="Textkrper"/>
      </w:pPr>
      <w:r>
        <w:t xml:space="preserve">“</w:t>
      </w:r>
      <w:r>
        <w:t xml:space="preserve">All scientific inquiry is subject to error, and it is far better to be aware of this, to study the sources in an attempt to reduce it, and to estimate the magnitude of such errors in our findings, than to be ignorant of the errors concealed in the data</w:t>
      </w:r>
      <w:r>
        <w:t xml:space="preserve">”</w:t>
      </w:r>
      <w:r>
        <w:t xml:space="preserve"> </w:t>
      </w:r>
      <w:r>
        <w:t xml:space="preserve">(Hyman, 1954, p. 4)</w:t>
      </w:r>
    </w:p>
    <w:p>
      <w:pPr>
        <w:pStyle w:val="Textkrper"/>
      </w:pPr>
      <w:r>
        <w:t xml:space="preserve">Imagine that one day a mysterious group of people approach you and begin telling you about a method they invented for understanding humans. They tell you that their method is useful for estimating causal relationships, but add that there is an issue: it can sometimes be thrown off by a</w:t>
      </w:r>
      <w:r>
        <w:t xml:space="preserve"> </w:t>
      </w:r>
      <w:r>
        <w:rPr>
          <w:i/>
          <w:iCs/>
        </w:rPr>
        <w:t xml:space="preserve">methodological artifact</w:t>
      </w:r>
      <w:r>
        <w:t xml:space="preserve">. They explain that this artifact sometimes causes them to detect an effect that is not real, and other times miss an effect that</w:t>
      </w:r>
      <w:r>
        <w:t xml:space="preserve"> </w:t>
      </w:r>
      <w:r>
        <w:rPr>
          <w:i/>
          <w:iCs/>
        </w:rPr>
        <w:t xml:space="preserve">is</w:t>
      </w:r>
      <w:r>
        <w:t xml:space="preserve"> </w:t>
      </w:r>
      <w:r>
        <w:t xml:space="preserve">real; that it sometimes makes an effect appear bigger than it actually is, and other times smaller. And that, in general, it is unclear when, why, and to what extent this artifact impacts their conclusions.</w:t>
      </w:r>
    </w:p>
    <w:p>
      <w:pPr>
        <w:pStyle w:val="Textkrper"/>
      </w:pPr>
      <w:r>
        <w:t xml:space="preserve">The above scenario, we argue, serves as an abstraction of a methodological puzzle in experimental psychology: the role of</w:t>
      </w:r>
      <w:r>
        <w:t xml:space="preserve"> </w:t>
      </w:r>
      <w:r>
        <w:rPr>
          <w:i/>
          <w:iCs/>
        </w:rPr>
        <w:t xml:space="preserve">demand characteristics</w:t>
      </w:r>
      <w:r>
        <w:t xml:space="preserve">.</w:t>
      </w:r>
    </w:p>
    <w:p>
      <w:pPr>
        <w:pStyle w:val="Textkrper"/>
      </w:pPr>
      <w:r>
        <w:t xml:space="preserve">In a seminal paper published over a half century ago, Martin Orne 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presented evidence that demand characteristics can lead to false positives, such as patients exhibiting sham symptoms of hypnosis</w:t>
      </w:r>
      <w:r>
        <w:t xml:space="preserve"> </w:t>
      </w:r>
      <w:r>
        <w:t xml:space="preserve">(1962)</w:t>
      </w:r>
      <w:r>
        <w:t xml:space="preserve">. However, later research helped establish that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exaggerated</w:t>
      </w:r>
      <w:r>
        <w:t xml:space="preserve"> </w:t>
      </w:r>
      <w:r>
        <w:rPr>
          <w:i/>
          <w:iCs/>
        </w:rPr>
        <w:t xml:space="preserve">or</w:t>
      </w:r>
      <w:r>
        <w:t xml:space="preserve"> </w:t>
      </w:r>
      <w:r>
        <w:t xml:space="preserve">underestimated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explicit manipulations of demand characteristics consistently failed to produce statistically significantly changes in participants’ responses (Mummolo &amp; Peterson, 2019).</w:t>
      </w:r>
    </w:p>
    <w:p>
      <w:pPr>
        <w:pStyle w:val="Textkrper"/>
      </w:pPr>
      <w:r>
        <w:t xml:space="preserve">As this short review illustrates, demand characteristics presents several similarities to the methodological artifact described in the opening of this paper. Demand characteristics are a literal textbook methodological concern in experimental psychology</w:t>
      </w:r>
      <w:r>
        <w:t xml:space="preserve"> </w:t>
      </w:r>
      <w:r>
        <w:t xml:space="preserve">(Sharpe &amp; Whelton, 2016)</w:t>
      </w:r>
      <w:r>
        <w:t xml:space="preserve"> </w:t>
      </w:r>
      <w:r>
        <w:t xml:space="preserve">that (a) can lead to both false positives and false negatives, (b) can create both upward bias and downward bias, but (c) don’t always appear to matter. In the present work, we take stock of progress on this puzzle via a meta-analysis of a unique methodological response: experiments on explicit demand characteristics. To begin, we review the theoretical and conceptual frameworks that guided the investigation.</w:t>
      </w:r>
    </w:p>
    <w:bookmarkStart w:id="21" w:name="Xa0d64ece604650f58e403bddeb4af76aa562f5e"/>
    <w:p>
      <w:pPr>
        <w:pStyle w:val="berschrift2"/>
      </w:pPr>
      <w:r>
        <w:t xml:space="preserve">How do demand characteristics alter participant responses?</w:t>
      </w:r>
    </w:p>
    <w:p>
      <w:pPr>
        <w:pStyle w:val="FirstParagraph"/>
      </w:pPr>
      <w:r>
        <w:t xml:space="preserve">Demand characteristics present a puzzle in the sense that (a) they don’t always matter, but (b) when they do matter, they can produce bias in seemingly every inferential direction. Next, we highlight that such observations are expected based on past theorizing.</w:t>
      </w:r>
    </w:p>
    <w:p>
      <w:pPr>
        <w:pStyle w:val="Textkrper"/>
      </w:pPr>
      <w:r>
        <w:t xml:space="preserve">One of the most influential frameworks for conceptualizing the effects of demand characteristics was developed by Rosnow and colleagues</w:t>
      </w:r>
      <w:r>
        <w:t xml:space="preserve"> </w:t>
      </w:r>
      <w:r>
        <w:t xml:space="preserve">(Rosnow &amp; Aiken, 1973; Rosnow &amp; Rosenthal, 1997; Strohmetz, 2008)</w:t>
      </w:r>
      <w:r>
        <w:t xml:space="preserve">. In this framework, they identified three factors that create variability in the effects of demand characteristics: (1) receptivity to cues, (2) motivation to provide hypothesis-consistent responses, and (3) opportunity to alter responses.</w:t>
      </w:r>
    </w:p>
    <w:p>
      <w:pPr>
        <w:pStyle w:val="Textkrper"/>
      </w:pPr>
      <w:r>
        <w:t xml:space="preserve">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w:t>
      </w:r>
      <w:r>
        <w:t xml:space="preserve"> </w:t>
      </w:r>
      <w:r>
        <w:t xml:space="preserve">(Corneille &amp; Lush, 2023)</w:t>
      </w:r>
      <w:r>
        <w:t xml:space="preserve"> </w:t>
      </w:r>
      <w:r>
        <w:t xml:space="preserve">– which could be considered another form of non-receptivity.</w:t>
      </w:r>
    </w:p>
    <w:p>
      <w:pPr>
        <w:pStyle w:val="Textkrper"/>
      </w:pPr>
      <w:r>
        <w:t xml:space="preserve">If participants correctly interpret demand characteristics, Rosnow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 Rosnow and colleagues advanced this line of thinking by formally illustrating that participants have</w:t>
      </w:r>
      <w:r>
        <w:t xml:space="preserve"> </w:t>
      </w:r>
      <w:r>
        <w:rPr>
          <w:i/>
          <w:iCs/>
        </w:rPr>
        <w:t xml:space="preserve">multiple</w:t>
      </w:r>
      <w:r>
        <w:t xml:space="preserve"> </w:t>
      </w:r>
      <w:r>
        <w:t xml:space="preserve">shifting motivations in mind when they conceptualize their roles as subjects</w:t>
      </w:r>
      <w:r>
        <w:t xml:space="preserve"> </w:t>
      </w:r>
      <w:r>
        <w:t xml:space="preserve">(Rosnow &amp; Rosenthal, 1997; see also Silverman &amp; Marcantonio, 1965)</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 Rosnow and colleagues, thus, suggested that participants in any given context can be characterized as being overall motivated to either: (a)</w:t>
      </w:r>
      <w:r>
        <w:t xml:space="preserve"> </w:t>
      </w:r>
      <w:r>
        <w:rPr>
          <w:i/>
          <w:iCs/>
        </w:rPr>
        <w:t xml:space="preserve">non-acquiesce</w:t>
      </w:r>
      <w:r>
        <w:t xml:space="preserve"> </w:t>
      </w:r>
      <w:r>
        <w:t xml:space="preserve">(i.e., not change their responses based on knowledge about the hypothesis), (b)</w:t>
      </w:r>
      <w:r>
        <w:t xml:space="preserve"> </w:t>
      </w:r>
      <w:r>
        <w:rPr>
          <w:i/>
          <w:iCs/>
        </w:rPr>
        <w:t xml:space="preserve">acquiesce</w:t>
      </w:r>
      <w:r>
        <w:t xml:space="preserve"> </w:t>
      </w:r>
      <w:r>
        <w:t xml:space="preserve">(i.e., provide hypothesis-consistent responses), or (c)</w:t>
      </w:r>
      <w:r>
        <w:t xml:space="preserve"> </w:t>
      </w:r>
      <w:r>
        <w:rPr>
          <w:i/>
          <w:iCs/>
        </w:rPr>
        <w:t xml:space="preserve">counter-acquiesce</w:t>
      </w:r>
      <w:r>
        <w:t xml:space="preserve"> </w:t>
      </w:r>
      <w:r>
        <w:t xml:space="preserve">(i.e., provide hypothesis-inconsistent responses).</w:t>
      </w:r>
    </w:p>
    <w:p>
      <w:pPr>
        <w:pStyle w:val="Textkrper"/>
      </w:pPr>
      <w:r>
        <w:t xml:space="preserve">If participants are motivated to adjust their response, Rosnow and colleagues theorized that subsequent changes in participants’ responses would then be driven by their ability to alter the outcome of interest. As elaborated by</w:t>
      </w:r>
      <w:r>
        <w:t xml:space="preserve"> </w:t>
      </w:r>
      <w:r>
        <w:t xml:space="preserve">Corneille and Lush (2023)</w:t>
      </w:r>
      <w:r>
        <w:t xml:space="preserve">,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pPr>
        <w:pStyle w:val="Textkrper"/>
      </w:pPr>
      <w:r>
        <w:t xml:space="preserve">Of course, other researchers have since expanded upon and/or challenged parts of Rosnow and colleagues’ framework. For example, by elaborating upon underlying mechanisms like imagination,</w:t>
      </w:r>
      <w:r>
        <w:t xml:space="preserve"> </w:t>
      </w:r>
      <w:r>
        <w:t xml:space="preserve">Corneille and Lush (2023)</w:t>
      </w:r>
      <w:r>
        <w:t xml:space="preserve"> </w:t>
      </w:r>
      <w:r>
        <w:t xml:space="preserve">more explicitly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w:t>
      </w:r>
      <w:r>
        <w:t xml:space="preserve"> </w:t>
      </w:r>
      <w:r>
        <w:t xml:space="preserve">Coles et al. (2022)</w:t>
      </w:r>
      <w:r>
        <w:t xml:space="preserve"> </w:t>
      </w:r>
      <w:r>
        <w:t xml:space="preserve">argued that demand characteristics may sometimes impact participants in cases where they are</w:t>
      </w:r>
      <w:r>
        <w:t xml:space="preserve"> </w:t>
      </w:r>
      <w:r>
        <w:rPr>
          <w:i/>
          <w:iCs/>
        </w:rPr>
        <w:t xml:space="preserve">not</w:t>
      </w:r>
      <w:r>
        <w:t xml:space="preserve"> </w:t>
      </w:r>
      <w:r>
        <w:t xml:space="preserve">motivated to adjust responses – e.g., via conditioned responses or other mechanisms discussed in conceptually-related work on placebo effects</w:t>
      </w:r>
      <w:r>
        <w:t xml:space="preserve"> </w:t>
      </w:r>
      <w:r>
        <w:t xml:space="preserve">(Stewart-Williams &amp; Podd, 2004)</w:t>
      </w:r>
      <w:r>
        <w:t xml:space="preserve">. Regardless of proposed mechanisms, these frameworks map onto a prediction: the effects of demand characteristics should vary across different experimental contexts.</w:t>
      </w:r>
    </w:p>
    <w:bookmarkEnd w:id="21"/>
    <w:bookmarkStart w:id="22" w:name="experiments-on-demand-characteristics"/>
    <w:p>
      <w:pPr>
        <w:pStyle w:val="berschrift2"/>
      </w:pPr>
      <w:r>
        <w:t xml:space="preserve">Experiments on demand characteristics</w:t>
      </w:r>
    </w:p>
    <w:p>
      <w:pPr>
        <w:pStyle w:val="FirstParagraph"/>
      </w:pPr>
      <w:r>
        <w:t xml:space="preserve">“</w:t>
      </w:r>
      <w:r>
        <w:t xml:space="preserve">It is a wise experimenter who knows his artifact from his main effect; and wiser still is the researcher who realizes that today’s artifact may be tomorrow’s independent variable</w:t>
      </w:r>
      <w:r>
        <w:t xml:space="preserve">”</w:t>
      </w:r>
      <w:r>
        <w:t xml:space="preserve"> </w:t>
      </w:r>
      <w:r>
        <w:t xml:space="preserve">(McGuire, 1969, p. 16).</w:t>
      </w:r>
    </w:p>
    <w:p>
      <w:pPr>
        <w:pStyle w:val="Textkrper"/>
      </w:pPr>
      <w:r>
        <w:t xml:space="preserve">Rosnow and colleagues’ framework emerged during a time when researchers increasingly began conducting experiments on demand characteristics. For example, Orne and Scheibe (1964) reported that participants were more likely to report sensory deprivation side-effects (e.g., hallucinations and cognitive impairments) when told that</w:t>
      </w:r>
      <w:r>
        <w:t xml:space="preserve"> </w:t>
      </w:r>
      <w:r>
        <w:t xml:space="preserve">“</w:t>
      </w:r>
      <w:r>
        <w:t xml:space="preserve">…Such experiences are not unusual under the conditions to which you are to be subjected</w:t>
      </w:r>
      <w:r>
        <w:t xml:space="preserve">”</w:t>
      </w:r>
      <w:r>
        <w:t xml:space="preserve">. Similarly, Perry, Roots and Perry (1977) found that participants were more likely to exhibit film-induced aggressive behavior when told that the researcher anticipated increases in aggression.</w:t>
      </w:r>
    </w:p>
    <w:p>
      <w:pPr>
        <w:pStyle w:val="Textkrper"/>
      </w:pPr>
      <w:r>
        <w:t xml:space="preserve">Experiments like these manipulate what we will call</w:t>
      </w:r>
      <w:r>
        <w:t xml:space="preserve"> </w:t>
      </w:r>
      <w:r>
        <w:rPr>
          <w:i/>
          <w:iCs/>
        </w:rPr>
        <w:t xml:space="preserve">explicit demand characteristics</w:t>
      </w:r>
      <w:r>
        <w:t xml:space="preserve"> </w:t>
      </w:r>
      <w:r>
        <w:t xml:space="preserve">(EDCs). One benefit of manipulating EDCs is methodological convenience. Orne (1962) defined demand characteristics broadly – as</w:t>
      </w:r>
      <w:r>
        <w:t xml:space="preserve"> </w:t>
      </w:r>
      <w:r>
        <w:rPr>
          <w:i/>
          <w:iCs/>
        </w:rPr>
        <w:t xml:space="preserve">any</w:t>
      </w:r>
      <w:r>
        <w:t xml:space="preserve"> </w:t>
      </w:r>
      <w:r>
        <w:t xml:space="preserve">cue that impacts participants’ beliefs about the purpose of the study. This not only includes explicit information from the experimenter (i.e., EDCs), but also more subtle information, like rumors, television shows, and courses. These more subtle sources are, of course, important to study. However, EDCs possess a methodological advantage: they are easy to precisely manipulate and study.</w:t>
      </w:r>
    </w:p>
    <w:p>
      <w:pPr>
        <w:pStyle w:val="Textkrper"/>
      </w:pPr>
      <w:r>
        <w:t xml:space="preserve">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w:t>
      </w:r>
      <w:r>
        <w:t xml:space="preserve"> </w:t>
      </w:r>
      <w:r>
        <w:t xml:space="preserve">“</w:t>
      </w:r>
      <w:r>
        <w:t xml:space="preserve">lean over backwards to be honest</w:t>
      </w:r>
      <w:r>
        <w:t xml:space="preserve">”</w:t>
      </w:r>
      <w:r>
        <w:t xml:space="preserve"> </w:t>
      </w:r>
      <w:r>
        <w:t xml:space="preserve">(i.e., non-acquiesce; 1962, p. 779) or engage in</w:t>
      </w:r>
      <w:r>
        <w:t xml:space="preserve"> </w:t>
      </w:r>
      <w:r>
        <w:t xml:space="preserve">“</w:t>
      </w:r>
      <w:r>
        <w:t xml:space="preserve">paradoxical action</w:t>
      </w:r>
      <w:r>
        <w:t xml:space="preserve">”</w:t>
      </w:r>
      <w:r>
        <w:t xml:space="preserve"> </w:t>
      </w:r>
      <w:r>
        <w:t xml:space="preserve">(2009, p. 116). However, Orne also used the approach in his own work – often finding that participants’ responses are indeed influenced by EDCs (e.g., Orne and Scheibe, 1964). Over the next few decades, dozen more studies would follow, providing an opportunity to evaluate the magnitude, consistency, and potential moderators of such effects via meta-analysis.</w:t>
      </w:r>
    </w:p>
    <w:bookmarkEnd w:id="22"/>
    <w:bookmarkStart w:id="51" w:name="methodology"/>
    <w:p>
      <w:pPr>
        <w:pStyle w:val="berschrift1"/>
      </w:pPr>
      <w:r>
        <w:t xml:space="preserve">Methodology</w:t>
      </w:r>
    </w:p>
    <w:p>
      <w:pPr>
        <w:pStyle w:val="FirstParagraph"/>
      </w:pPr>
      <w:r>
        <w:t xml:space="preserve">We defined the scope of the meta-analysis using the Population, Intervention, Comparison, Outcome framework [a structured approach to framing research questions;</w:t>
      </w:r>
      <w:r>
        <w:t xml:space="preserve"> </w:t>
      </w:r>
      <w:r>
        <w:t xml:space="preserve">Schardt, Adams, Owens, Keitz, and Fontelo (2007)</w:t>
      </w:r>
      <w:r>
        <w:t xml:space="preserve">].</w:t>
      </w:r>
    </w:p>
    <w:p>
      <w:pPr>
        <w:pStyle w:val="Textkrper"/>
      </w:pPr>
      <w:r>
        <w:t xml:space="preserve">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work.The intervention-of-interest was explicit demand cues (EDCs)- operationalized as scenarios where a researcher tells participants about the effect of an independent variable on a dependent variable. Our comparison-of-interest were conditions where either no hypothesis or a different hypothesis was communicated to participants. The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Figure</w:t>
      </w:r>
      <w:r>
        <w:t xml:space="preserve"> </w:t>
      </w:r>
      <w:r>
        <w:t xml:space="preserve">1</w:t>
      </w:r>
      <w:r>
        <w:t xml:space="preserve"> </w:t>
      </w:r>
      <w:r>
        <w:t xml:space="preserve">provides a PRISMA-style flowchart summarizing our literature search and screening process</w:t>
      </w:r>
      <w:r>
        <w:t xml:space="preserve"> </w:t>
      </w:r>
      <w:r>
        <w:t xml:space="preserve">(Page et al., 2021)</w:t>
      </w:r>
      <w:r>
        <w:t xml:space="preserve">.</w:t>
      </w:r>
    </w:p>
    <w:p>
      <w:pPr>
        <w:pStyle w:val="Textkrper"/>
      </w:pPr>
      <w:r>
        <w:t xml:space="preserve">The literature search was initially developed in consultation with a librarian at (anonymous for peer review) and later expanded based on reviewer feedback. 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w:t>
      </w:r>
      <w:r>
        <w:t xml:space="preserve">(n = 850 records identified). On April 17, 2024, we repeated the search to identify records published after the initial search (n = 29 records identified). At that time, we also expanded the search to include conceptually similar terms found in the appendix of Rosnow and Rosenthal’s</w:t>
      </w:r>
      <w:r>
        <w:t xml:space="preserve"> </w:t>
      </w:r>
      <w:r>
        <w:t xml:space="preserve">(1997)</w:t>
      </w:r>
      <w:r>
        <w:t xml:space="preserve"> </w:t>
      </w:r>
      <w:r>
        <w:t xml:space="preserve">book on experimental artifacts:</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 </w:t>
      </w:r>
      <w:r>
        <w:t xml:space="preserve">(n = 572 records identified). We also released a call for unpublished studies on the Society for Personality and Social Psychology Open Forum, Twitter, the Facebook Psychological Methods Discussion group, and the Facebook PsychMAP group (n = 6 records identified).</w:t>
      </w:r>
    </w:p>
    <w:p>
      <w:pPr>
        <w:pStyle w:val="Textkrper"/>
      </w:pPr>
      <w:r>
        <w:t xml:space="preserve">Our search did not have language or date restrictions, and ultimately yielded 1457 records (168 of which were unpublished).</w:t>
      </w:r>
    </w:p>
    <w:p>
      <w:pPr>
        <w:pStyle w:val="CaptionedFigure"/>
      </w:pPr>
      <w:r>
        <w:drawing>
          <wp:inline>
            <wp:extent cx="5969000" cy="4660327"/>
            <wp:effectExtent b="0" l="0" r="0" t="0"/>
            <wp:docPr descr="Figure 1: PRISMA-style flowchart illustrating the identification, screening, and selection of studies." title="" id="24" name="Picture"/>
            <a:graphic>
              <a:graphicData uri="http://schemas.openxmlformats.org/drawingml/2006/picture">
                <pic:pic>
                  <pic:nvPicPr>
                    <pic:cNvPr descr="images/metaware_PRISMA.png" id="25" name="Picture"/>
                    <pic:cNvPicPr>
                      <a:picLocks noChangeArrowheads="1" noChangeAspect="1"/>
                    </pic:cNvPicPr>
                  </pic:nvPicPr>
                  <pic:blipFill>
                    <a:blip r:embed="rId23"/>
                    <a:stretch>
                      <a:fillRect/>
                    </a:stretch>
                  </pic:blipFill>
                  <pic:spPr bwMode="auto">
                    <a:xfrm>
                      <a:off x="0" y="0"/>
                      <a:ext cx="5969000" cy="4660327"/>
                    </a:xfrm>
                    <a:prstGeom prst="rect">
                      <a:avLst/>
                    </a:prstGeom>
                    <a:noFill/>
                    <a:ln w="9525">
                      <a:noFill/>
                      <a:headEnd/>
                      <a:tailEnd/>
                    </a:ln>
                  </pic:spPr>
                </pic:pic>
              </a:graphicData>
            </a:graphic>
          </wp:inline>
        </w:drawing>
      </w:r>
    </w:p>
    <w:p>
      <w:pPr>
        <w:pStyle w:val="ImageCaption"/>
      </w:pPr>
      <w:bookmarkStart w:id="26" w:name="fig:prisma"/>
      <w:bookmarkEnd w:id="26"/>
      <w:r>
        <w:rPr>
          <w:i/>
          <w:iCs/>
        </w:rPr>
        <w:t xml:space="preserve">Figure</w:t>
      </w:r>
      <w:r>
        <w:t xml:space="preserve"> </w:t>
      </w:r>
      <w:r>
        <w:t xml:space="preserve">1. PRISMA-style flowchart illustrating the identification, screening, and selection of studies.</w:t>
      </w:r>
    </w:p>
    <w:bookmarkEnd w:id="27"/>
    <w:bookmarkStart w:id="29" w:name="screening"/>
    <w:p>
      <w:pPr>
        <w:pStyle w:val="berschrift3"/>
      </w:pPr>
      <w:r>
        <w:t xml:space="preserve">Screening.</w:t>
      </w:r>
    </w:p>
    <w:p>
      <w:pPr>
        <w:pStyle w:val="FirstParagraph"/>
      </w:pPr>
      <w:r>
        <w:t xml:space="preserve">Records must have met the following criteria to be eligible for inclusion:</w:t>
      </w:r>
    </w:p>
    <w:p>
      <w:pPr>
        <w:numPr>
          <w:ilvl w:val="0"/>
          <w:numId w:val="1001"/>
        </w:numPr>
      </w:pPr>
      <w:r>
        <w:t xml:space="preserve">The researcher manipulated what participants were told about the effect of an independent variable on a dependent variable.</w:t>
      </w:r>
      <w:r>
        <w:rPr>
          <w:rStyle w:val="Funotenzeichen"/>
        </w:rPr>
        <w:footnoteReference w:id="28"/>
      </w:r>
      <w:r>
        <w:t xml:space="preserve"> </w:t>
      </w:r>
      <w:r>
        <w:t xml:space="preserve">In most cases, the effect of the independent variable was described explicitly, but there were some included studies where it was strongly implied.</w:t>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A non-clinical population was studied.</w:t>
      </w:r>
    </w:p>
    <w:p>
      <w:pPr>
        <w:numPr>
          <w:ilvl w:val="0"/>
          <w:numId w:val="1001"/>
        </w:numPr>
      </w:pPr>
      <w:r>
        <w:t xml:space="preserve">Information necessary for computing at least one effect size was included.</w:t>
      </w:r>
    </w:p>
    <w:p>
      <w:pPr>
        <w:pStyle w:val="FirstParagraph"/>
      </w:pPr>
      <w:r>
        <w:t xml:space="preserve">Figure</w:t>
      </w:r>
      <w:r>
        <w:t xml:space="preserve"> </w:t>
      </w:r>
      <w:r>
        <w:t xml:space="preserve">1</w:t>
      </w:r>
      <w:r>
        <w:t xml:space="preserve"> </w:t>
      </w:r>
      <w:r>
        <w:t xml:space="preserve">more thoroughly summarizes exclusion criteria. In instances where multiple exclusion criteria applied, coders were asked to choose only one option.</w:t>
      </w:r>
    </w:p>
    <w:p>
      <w:pPr>
        <w:pStyle w:val="Textkrper"/>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-209.16).</w:t>
      </w:r>
    </w:p>
    <w:bookmarkEnd w:id="29"/>
    <w:bookmarkStart w:id="31" w:name="effect-size-index"/>
    <w:p>
      <w:pPr>
        <w:pStyle w:val="berschrift3"/>
      </w:pPr>
      <w:r>
        <w:t xml:space="preserve">Effect size index.</w:t>
      </w:r>
    </w:p>
    <w:p>
      <w:pPr>
        <w:pStyle w:val="FirstParagraph"/>
      </w:pPr>
      <w:r>
        <w:t xml:space="preserve">We used standardized mean difference scores with small-sample correction (Hedge’s</w:t>
      </w:r>
      <w:r>
        <w:t xml:space="preserve"> </w:t>
      </w:r>
      <m:oMath>
        <m:r>
          <m:t>g</m:t>
        </m:r>
      </m:oMath>
      <w:r>
        <w:t xml:space="preserve">) as our effect size index</w:t>
      </w:r>
      <w:r>
        <w:t xml:space="preserve"> </w:t>
      </w:r>
      <w:r>
        <w:t xml:space="preserve">(Borenstein, 2009; Cohen, 2013)</w:t>
      </w:r>
      <w:r>
        <w:t xml:space="preserve">.</w:t>
      </w:r>
    </w:p>
    <w:p>
      <w:pPr>
        <w:pStyle w:val="Textkrper"/>
      </w:pPr>
      <w:r>
        <w:t xml:space="preserve">In most cases (67%), we estimated the main effect of EDCs. For example,</w:t>
      </w:r>
      <w:r>
        <w:t xml:space="preserve"> </w:t>
      </w:r>
      <w:r>
        <w:t xml:space="preserve">Coles et al. (2022)</w:t>
      </w:r>
      <w:r>
        <w:t xml:space="preserve"> </w:t>
      </w:r>
      <w:r>
        <w:t xml:space="preserve">manipulated whether participants were told that posing smiles would increase happiness. Here, the main effect of EDCs was computed by comparing happiness ratings from smiling participants who were either informed or not informed of the mood-boosting effect of smiling.</w:t>
      </w:r>
    </w:p>
    <w:p>
      <w:pPr>
        <w:pStyle w:val="Textkrper"/>
      </w:pPr>
      <w:r>
        <w:t xml:space="preserve">In other cases (33%), we estimated the</w:t>
      </w:r>
      <w:r>
        <w:t xml:space="preserve"> </w:t>
      </w:r>
      <w:r>
        <w:rPr>
          <w:i/>
          <w:iCs/>
        </w:rPr>
        <w:t xml:space="preserve">interactive</w:t>
      </w:r>
      <w:r>
        <w:t xml:space="preserve"> </w:t>
      </w:r>
      <w:r>
        <w:t xml:space="preserve">effect of EDCs. For example, in the same</w:t>
      </w:r>
      <w:r>
        <w:t xml:space="preserve"> </w:t>
      </w:r>
      <w:r>
        <w:t xml:space="preserve">Coles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pPr>
        <w:pStyle w:val="Textkrper"/>
      </w:pPr>
      <w:r>
        <w:t xml:space="preserve">Effect sizes were calculated so that positive values indicated an effect consistent with the communicated hypothesis. For example, if participants were told that an intervention would be mood boosting, an increase in mood would be coded as a positive effect. If, however, participants were told that the intervention would be mood</w:t>
      </w:r>
      <w:r>
        <w:t xml:space="preserve"> </w:t>
      </w:r>
      <w:r>
        <w:rPr>
          <w:i/>
          <w:iCs/>
        </w:rPr>
        <w:t xml:space="preserve">dampening</w:t>
      </w:r>
      <w:r>
        <w:t xml:space="preserve">, that same increase in mood would be coded as a negative effect.</w:t>
      </w:r>
    </w:p>
    <w:p>
      <w:pPr>
        <w:pStyle w:val="Textkrper"/>
      </w:pPr>
      <w:r>
        <w:t xml:space="preserve">We calculated Hedge’s</w:t>
      </w:r>
      <w:r>
        <w:t xml:space="preserve"> </w:t>
      </w:r>
      <m:oMath>
        <m:r>
          <m:t>g</m:t>
        </m:r>
      </m:oMath>
      <w:r>
        <w:t xml:space="preserve"> </w:t>
      </w:r>
      <w:r>
        <w:t xml:space="preserve">by applying a small sample correction to Cohen’s</w:t>
      </w:r>
      <w:r>
        <w:t xml:space="preserve"> </w:t>
      </w:r>
      <m:oMath>
        <m:sSub>
          <m:e>
            <m:r>
              <m:t>d</m:t>
            </m:r>
          </m:e>
          <m:sub>
            <m:r>
              <m:t>s</m:t>
            </m:r>
          </m:sub>
        </m:sSub>
      </m:oMath>
      <w:r>
        <w:t xml:space="preserve"> </w:t>
      </w:r>
      <w:r>
        <w:t xml:space="preserve">(for between-subject designs) and</w:t>
      </w:r>
      <w:r>
        <w:t xml:space="preserve"> </w:t>
      </w:r>
      <m:oMath>
        <m:sSub>
          <m:e>
            <m:r>
              <m:t>d</m:t>
            </m:r>
          </m:e>
          <m:sub>
            <m:r>
              <m:t>r</m:t>
            </m:r>
            <m:r>
              <m:t>m</m:t>
            </m:r>
          </m:sub>
        </m:sSub>
      </m:oMath>
      <w:r>
        <w:t xml:space="preserve"> </w:t>
      </w:r>
      <w:r>
        <w:t xml:space="preserve">(for within-subject designs</w:t>
      </w:r>
      <w:r>
        <w:rPr>
          <w:rStyle w:val="Funotenzeichen"/>
        </w:rPr>
        <w:footnoteReference w:id="30"/>
      </w:r>
      <w:r>
        <w:t xml:space="preserve">) estimates. Whenever possible, we used the</w:t>
      </w:r>
      <w:r>
        <w:t xml:space="preserve"> </w:t>
      </w:r>
      <w:r>
        <w:rPr>
          <w:i/>
          <w:iCs/>
        </w:rPr>
        <w:t xml:space="preserve">M</w:t>
      </w:r>
      <w:r>
        <w:t xml:space="preserve">’s and</w:t>
      </w:r>
      <w:r>
        <w:t xml:space="preserve"> </w:t>
      </w:r>
      <w:r>
        <w:rPr>
          <w:i/>
          <w:iCs/>
        </w:rPr>
        <w:t xml:space="preserve">SD</w:t>
      </w:r>
      <w:r>
        <w:t xml:space="preserve">’s reported in a paper to compute Cohen’s</w:t>
      </w:r>
      <w:r>
        <w:t xml:space="preserve"> </w:t>
      </w:r>
      <w:r>
        <w:rPr>
          <w:i/>
          <w:iCs/>
        </w:rPr>
        <w:t xml:space="preserve">d</w:t>
      </w:r>
      <w:r>
        <w:t xml:space="preserve">. If these values were not reported, we used (in order of preference), (1)</w:t>
      </w:r>
      <w:r>
        <w:t xml:space="preserve"> </w:t>
      </w:r>
      <w:r>
        <w:rPr>
          <w:i/>
          <w:iCs/>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
          <w:iCs/>
        </w:rPr>
        <w:t xml:space="preserve">F</w:t>
      </w:r>
      <w:r>
        <w:t xml:space="preserve">-values, or (4)</w:t>
      </w:r>
      <w:r>
        <w:t xml:space="preserve"> </w:t>
      </w:r>
      <w:r>
        <w:rPr>
          <w:i/>
          <w:iCs/>
        </w:rPr>
        <w:t xml:space="preserve">p</w:t>
      </w:r>
      <w:r>
        <w:t xml:space="preserve">-values. In instances where relevant information was not provided but the statistical significance and direction of the effect was described, we assumed</w:t>
      </w:r>
      <w:r>
        <w:t xml:space="preserve"> </w:t>
      </w:r>
      <w:r>
        <w:rPr>
          <w:i/>
          <w:iCs/>
        </w:rPr>
        <w:t xml:space="preserve">p</w:t>
      </w:r>
      <w:r>
        <w:t xml:space="preserve">-values of .04 and .50 for statistically significant and non-significant effects respectively</w:t>
      </w:r>
      <w:r>
        <w:t xml:space="preserve"> </w:t>
      </w:r>
      <w:r>
        <w:t xml:space="preserve">(e.g., Kenealy, 1988)</w:t>
      </w:r>
      <w:r>
        <w:t xml:space="preserve">. In a few instances, an outcome variable in a study was discrete, as opposed to continuous</w:t>
      </w:r>
      <w:r>
        <w:t xml:space="preserve"> </w:t>
      </w:r>
      <w:r>
        <w:t xml:space="preserve">(e.g., Orne &amp; Scheibe, 1964)</w:t>
      </w:r>
      <w:r>
        <w:t xml:space="preserve">. In these cases, we approximated a Cohen’s</w:t>
      </w:r>
      <w:r>
        <w:t xml:space="preserve"> </w:t>
      </w:r>
      <w:r>
        <w:rPr>
          <w:i/>
          <w:iCs/>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Nearly all studies (74%) contained multiple effect sizes of interest. For example, the full design in</w:t>
      </w:r>
      <w:r>
        <w:t xml:space="preserve"> </w:t>
      </w:r>
      <w:r>
        <w:t xml:space="preserve">Coles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1"/>
    <w:bookmarkStart w:id="32" w:name="potential-study-feature-moderators"/>
    <w:p>
      <w:pPr>
        <w:pStyle w:val="berschrift3"/>
      </w:pPr>
      <w:r>
        <w:t xml:space="preserve">Potential study feature moderators.</w:t>
      </w:r>
    </w:p>
    <w:p>
      <w:pPr>
        <w:pStyle w:val="FirstParagraph"/>
      </w:pPr>
      <w:r>
        <w:t xml:space="preserve">The studies we included in our meta-analysis were methodologically varied (for more information, see</w:t>
      </w:r>
      <w:r>
        <w:t xml:space="preserve"> </w:t>
      </w:r>
      <w:r>
        <w:rPr>
          <w:i/>
          <w:iCs/>
        </w:rPr>
        <w:t xml:space="preserve">Results</w:t>
      </w:r>
      <w:r>
        <w:t xml:space="preserve"> </w:t>
      </w:r>
      <w:r>
        <w:t xml:space="preserve">and</w:t>
      </w:r>
      <w:r>
        <w:t xml:space="preserve"> </w:t>
      </w:r>
      <w:r>
        <w:rPr>
          <w:i/>
          <w:iCs/>
        </w:rPr>
        <w:t xml:space="preserve">Limitations</w:t>
      </w:r>
      <w:r>
        <w:t xml:space="preserve">). Below, we describe study features we coded as potential moderators of the effects of EDCs:</w:t>
      </w:r>
    </w:p>
    <w:p>
      <w:pPr>
        <w:numPr>
          <w:ilvl w:val="0"/>
          <w:numId w:val="1002"/>
        </w:numPr>
      </w:pPr>
      <w:r>
        <w:rPr>
          <w:i/>
          <w:iCs/>
        </w:rPr>
        <w:t xml:space="preserve">Group comparison.</w:t>
      </w:r>
      <w:r>
        <w:t xml:space="preserve"> </w:t>
      </w:r>
      <w:r>
        <w:t xml:space="preserve">Most studies included in our meta-analysis examined the effects of</w:t>
      </w:r>
      <w:r>
        <w:t xml:space="preserve"> </w:t>
      </w:r>
      <w:r>
        <w:rPr>
          <w:i/>
          <w:iCs/>
        </w:rPr>
        <w:t xml:space="preserve">positive demand</w:t>
      </w:r>
      <w:r>
        <w:t xml:space="preserve">, wherein participants were told that the dependent variable will increase. However, a notable subset of studies examined the impact of</w:t>
      </w:r>
      <w:r>
        <w:t xml:space="preserve"> </w:t>
      </w:r>
      <w:r>
        <w:rPr>
          <w:i/>
          <w:iCs/>
        </w:rPr>
        <w:t xml:space="preserve">negative demand</w:t>
      </w:r>
      <w:r>
        <w:t xml:space="preserve"> </w:t>
      </w:r>
      <w:r>
        <w:t xml:space="preserve">(participants told that the dependent variable will decrease) or</w:t>
      </w:r>
      <w:r>
        <w:t xml:space="preserve"> </w:t>
      </w:r>
      <w:r>
        <w:rPr>
          <w:i/>
          <w:iCs/>
        </w:rPr>
        <w:t xml:space="preserve">nil demand</w:t>
      </w:r>
      <w:r>
        <w:t xml:space="preserve"> </w:t>
      </w:r>
      <w:r>
        <w:t xml:space="preserve">(participants told the dependent variable will be unaffected). Often these conditions were compared to a</w:t>
      </w:r>
      <w:r>
        <w:t xml:space="preserve"> </w:t>
      </w:r>
      <w:r>
        <w:rPr>
          <w:i/>
          <w:iCs/>
        </w:rPr>
        <w:t xml:space="preserve">control</w:t>
      </w:r>
      <w:r>
        <w:t xml:space="preserve"> </w:t>
      </w:r>
      <w:r>
        <w:t xml:space="preserve">condition, wherein participants were not told about an effect of an independent variable on a dependent variable. Sometimes, though, one demand condition was compared to another.</w:t>
      </w:r>
    </w:p>
    <w:p>
      <w:pPr>
        <w:numPr>
          <w:ilvl w:val="0"/>
          <w:numId w:val="1002"/>
        </w:numPr>
      </w:pPr>
      <w:r>
        <w:rPr>
          <w:i/>
          <w:iCs/>
        </w:rPr>
        <w:t xml:space="preserve">Control vs. non-control group comparison.</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
          <w:iCs/>
        </w:rPr>
        <w:t xml:space="preserve">Control group comparison.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
          <w:iCs/>
        </w:rPr>
        <w:t xml:space="preserve">Design of demand characteristics manipulation.</w:t>
      </w:r>
      <w:r>
        <w:t xml:space="preserve"> </w:t>
      </w:r>
      <w:r>
        <w:t xml:space="preserve">Whether EDCs were manipulation within- vs. between-subjects.</w:t>
      </w:r>
    </w:p>
    <w:p>
      <w:pPr>
        <w:numPr>
          <w:ilvl w:val="0"/>
          <w:numId w:val="1002"/>
        </w:numPr>
      </w:pPr>
      <w:r>
        <w:rPr>
          <w:i/>
          <w:iCs/>
        </w:rPr>
        <w:t xml:space="preserve">Participant pool.</w:t>
      </w:r>
      <w:r>
        <w:t xml:space="preserve"> </w:t>
      </w:r>
      <w:r>
        <w:t xml:space="preserve">Whether students, non-students (e.g., MTurk workers), or a mix of students and non-students were sampled.</w:t>
      </w:r>
    </w:p>
    <w:p>
      <w:pPr>
        <w:numPr>
          <w:ilvl w:val="0"/>
          <w:numId w:val="1002"/>
        </w:numPr>
      </w:pPr>
      <w:r>
        <w:rPr>
          <w:i/>
          <w:iCs/>
        </w:rPr>
        <w:t xml:space="preserve">Setting.</w:t>
      </w:r>
      <w:r>
        <w:t xml:space="preserve"> </w:t>
      </w:r>
      <w:r>
        <w:t xml:space="preserve">Whether the study was conducted online or in-person.</w:t>
      </w:r>
    </w:p>
    <w:p>
      <w:pPr>
        <w:numPr>
          <w:ilvl w:val="0"/>
          <w:numId w:val="1002"/>
        </w:numPr>
      </w:pPr>
      <w:r>
        <w:rPr>
          <w:i/>
          <w:iCs/>
        </w:rPr>
        <w:t xml:space="preserve">Payment.</w:t>
      </w:r>
      <w:r>
        <w:t xml:space="preserve"> </w:t>
      </w:r>
      <w:r>
        <w:t xml:space="preserve">Whether participants were paid or unpaid.</w:t>
      </w:r>
    </w:p>
    <w:p>
      <w:pPr>
        <w:numPr>
          <w:ilvl w:val="0"/>
          <w:numId w:val="1002"/>
        </w:numPr>
      </w:pPr>
      <w:r>
        <w:rPr>
          <w:i/>
          <w:iCs/>
        </w:rPr>
        <w:t xml:space="preserve">Publication status.</w:t>
      </w:r>
      <w:r>
        <w:t xml:space="preserve"> </w:t>
      </w:r>
      <w:r>
        <w:t xml:space="preserve">Whether the study was published or unpublished.</w:t>
      </w:r>
    </w:p>
    <w:p>
      <w:pPr>
        <w:pStyle w:val="FirstParagraph"/>
      </w:pPr>
      <w:r>
        <w:t xml:space="preserve">For descriptive purposes, we also coded the country where the investigation was performed.</w:t>
      </w:r>
    </w:p>
    <w:bookmarkEnd w:id="32"/>
    <w:bookmarkStart w:id="35"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
          <w:iCs/>
        </w:rPr>
        <w:t xml:space="preserve">multiple true effects</w:t>
      </w:r>
      <w:r>
        <w:t xml:space="preserve">. To separate variability in these true effects from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(R Core Team, 2021)</w:t>
      </w:r>
      <w:r>
        <w:t xml:space="preserve">. We weighed effect sizes based on their inverse-variance and used cluster-robust methods for estimating variance-covariance matrices</w:t>
      </w:r>
      <w:r>
        <w:t xml:space="preserve"> </w:t>
      </w:r>
      <w:r>
        <w:t xml:space="preserve">(Pustejovsky &amp; Tipton, 2018)</w:t>
      </w:r>
      <w:r>
        <w:t xml:space="preserve">.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w:t>
      </w:r>
      <w:r>
        <w:t xml:space="preserve"> </w:t>
      </w:r>
      <w:r>
        <w:rPr>
          <w:i/>
          <w:iCs/>
        </w:rPr>
        <w:t xml:space="preserve">F</w:t>
      </w:r>
      <w:r>
        <w:t xml:space="preserve">-tests. To estimate effect sizes within each subgroup of the moderator, we used model-derived estimates.</w:t>
      </w:r>
    </w:p>
    <w:bookmarkStart w:id="34" w:name="publication-bias-analyses"/>
    <w:p>
      <w:pPr>
        <w:pStyle w:val="berschrift4"/>
      </w:pPr>
      <w:r>
        <w:t xml:space="preserve">Publication bias analyses.</w:t>
      </w:r>
    </w:p>
    <w:p>
      <w:pPr>
        <w:pStyle w:val="FirstParagraph"/>
      </w:pPr>
      <w:r>
        <w:t xml:space="preserve">We used three main approaches for assessing and correcting for potential publication bias in our estimation of the overall effect of EDCs.</w:t>
      </w:r>
    </w:p>
    <w:p>
      <w:pPr>
        <w:pStyle w:val="Textkrper"/>
      </w:pPr>
      <w:r>
        <w:t xml:space="preserve">First, we visually examined</w:t>
      </w:r>
      <w:r>
        <w:t xml:space="preserve"> </w:t>
      </w:r>
      <w:r>
        <w:rPr>
          <w:i/>
          <w:iCs/>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
          <w:iCs/>
        </w:rPr>
        <w:t xml:space="preserve">both</w:t>
      </w:r>
      <w:r>
        <w:t xml:space="preserve"> </w:t>
      </w:r>
      <w:r>
        <w:t xml:space="preserve">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3"/>
      </w:r>
      <w:r>
        <w:t xml:space="preserve">.</w:t>
      </w:r>
    </w:p>
    <w:p>
      <w:pPr>
        <w:pStyle w:val="Textkrper"/>
      </w:pPr>
      <w:r>
        <w:t xml:space="preserve">Second, we conducted precision-effect tests [PET;</w:t>
      </w:r>
      <w:r>
        <w:t xml:space="preserve"> </w:t>
      </w:r>
      <w:r>
        <w:t xml:space="preserve">Stanley and Doucouliagos (2014)</w:t>
      </w:r>
      <w:r>
        <w:t xml:space="preserve">]. In PET,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statistical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used the PublicationBias package in R</w:t>
      </w:r>
      <w:r>
        <w:t xml:space="preserve"> </w:t>
      </w:r>
      <w:r>
        <w:t xml:space="preserve">(Mathur &amp; VanderWeele, 2020a)</w:t>
      </w:r>
      <w:r>
        <w:t xml:space="preserve"> </w:t>
      </w:r>
      <w:r>
        <w:t xml:space="preserve">to estimate the ratio in which publication bias would have to favor affirmative studies in order make the overall effect size in a robust random effects model statisitcally non-significant</w:t>
      </w:r>
      <w:r>
        <w:t xml:space="preserve"> </w:t>
      </w:r>
      <w:r>
        <w:t xml:space="preserve">(Mathur &amp; VanderWeele, 2020b)</w:t>
      </w:r>
      <w:r>
        <w:t xml:space="preserve">. We also estimated the difference in the magnitude of published vs. unpublished effects in a moderator analysis.</w:t>
      </w:r>
    </w:p>
    <w:bookmarkEnd w:id="34"/>
    <w:bookmarkEnd w:id="35"/>
    <w:bookmarkStart w:id="36" w:name="transparency-and-openness"/>
    <w:p>
      <w:pPr>
        <w:pStyle w:val="berschrift3"/>
      </w:pPr>
      <w:r>
        <w:t xml:space="preserve">Transparency and openness.</w:t>
      </w:r>
    </w:p>
    <w:p>
      <w:pPr>
        <w:pStyle w:val="FirstParagraph"/>
      </w:pPr>
      <w:r>
        <w:t xml:space="preserve">The project pre-registration, materials, data, and code are openly available at</w:t>
      </w:r>
      <w:r>
        <w:t xml:space="preserve"> </w:t>
      </w:r>
      <w:hyperlink r:id="rId20">
        <w:r>
          <w:rPr>
            <w:rStyle w:val="Hyperlink"/>
          </w:rPr>
          <w:t xml:space="preserve">https://osf.io/3hkre/?view_only=2dc92af53f194e5eab0d7aecafaf01c2</w:t>
        </w:r>
      </w:hyperlink>
      <w:r>
        <w:t xml:space="preserve">. This link also contains a list of amendments/deviations we made to our pre-registration as the project evolved and we responded to reviewer feedback. Sample size was determined by the availability of relevant records. All code has been checked for reproducibility, including a script that creates a computationally reproducible manuscript using the papaja R package</w:t>
      </w:r>
      <w:r>
        <w:t xml:space="preserve"> </w:t>
      </w:r>
      <w:r>
        <w:t xml:space="preserve">(Aust &amp; Barth, 2022)</w:t>
      </w:r>
      <w:r>
        <w:t xml:space="preserve">.</w:t>
      </w:r>
    </w:p>
    <w:bookmarkEnd w:id="36"/>
    <w:bookmarkStart w:id="50" w:name="results"/>
    <w:p>
      <w:pPr>
        <w:pStyle w:val="berschrift2"/>
      </w:pPr>
      <w:r>
        <w:t xml:space="preserve">Results</w:t>
      </w:r>
    </w:p>
    <w:p>
      <w:pPr>
        <w:pStyle w:val="FirstParagraph"/>
      </w:pPr>
      <w:r>
        <w:t xml:space="preserve">In total, we extracted 253 effect sizes from 53 studies from between the years 1964 and 2024 (</w:t>
      </w:r>
      <w:r>
        <w:rPr>
          <w:i/>
          <w:iCs/>
        </w:rPr>
        <w:t xml:space="preserve">M</w:t>
      </w:r>
      <w:r>
        <w:t xml:space="preserve"> </w:t>
      </w:r>
      <w:r>
        <w:t xml:space="preserve">= 2003,</w:t>
      </w:r>
      <w:r>
        <w:t xml:space="preserve"> </w:t>
      </w:r>
      <w:r>
        <w:rPr>
          <w:i/>
          <w:iCs/>
        </w:rPr>
        <w:t xml:space="preserve">SD</w:t>
      </w:r>
      <w:r>
        <w:t xml:space="preserve"> </w:t>
      </w:r>
      <w:r>
        <w:t xml:space="preserve">= 18.71). Of these studies, 11 were unpublished.</w:t>
      </w:r>
    </w:p>
    <w:p>
      <w:pPr>
        <w:pStyle w:val="Textkrper"/>
      </w:pPr>
      <w:r>
        <w:t xml:space="preserve">In order of frequency, effect sizes represented a positive demand compared to a control group (</w:t>
      </w:r>
      <w:r>
        <w:rPr>
          <w:i/>
          <w:iCs/>
        </w:rPr>
        <w:t xml:space="preserve">k</w:t>
      </w:r>
      <w:r>
        <w:t xml:space="preserve"> </w:t>
      </w:r>
      <w:r>
        <w:t xml:space="preserve">= 115), positive demand to negative demand (</w:t>
      </w:r>
      <w:r>
        <w:rPr>
          <w:i/>
          <w:iCs/>
        </w:rPr>
        <w:t xml:space="preserve">k</w:t>
      </w:r>
      <w:r>
        <w:t xml:space="preserve"> </w:t>
      </w:r>
      <w:r>
        <w:t xml:space="preserve">= 44), negative demand to a control group (</w:t>
      </w:r>
      <w:r>
        <w:rPr>
          <w:i/>
          <w:iCs/>
        </w:rPr>
        <w:t xml:space="preserve">k</w:t>
      </w:r>
      <w:r>
        <w:t xml:space="preserve"> </w:t>
      </w:r>
      <w:r>
        <w:t xml:space="preserve">= 43), positive demand to a nil demand group (</w:t>
      </w:r>
      <w:r>
        <w:rPr>
          <w:i/>
          <w:iCs/>
        </w:rPr>
        <w:t xml:space="preserve">k</w:t>
      </w:r>
      <w:r>
        <w:t xml:space="preserve"> </w:t>
      </w:r>
      <w:r>
        <w:t xml:space="preserve">= 34), or nil demand to a control group (</w:t>
      </w:r>
      <w:r>
        <w:rPr>
          <w:i/>
          <w:iCs/>
        </w:rPr>
        <w:t xml:space="preserve">k</w:t>
      </w:r>
      <w:r>
        <w:t xml:space="preserve"> </w:t>
      </w:r>
      <w:r>
        <w:t xml:space="preserve">= 17).Effect sizes tended to compare one demand condition to a control group (</w:t>
      </w:r>
      <w:r>
        <w:rPr>
          <w:i/>
          <w:iCs/>
        </w:rPr>
        <w:t xml:space="preserve">k</w:t>
      </w:r>
      <w:r>
        <w:t xml:space="preserve"> </w:t>
      </w:r>
      <w:r>
        <w:t xml:space="preserve">= 175) – as opposed to a group exposed to a different type of demand condition (</w:t>
      </w:r>
      <w:r>
        <w:rPr>
          <w:i/>
          <w:iCs/>
        </w:rPr>
        <w:t xml:space="preserve">k</w:t>
      </w:r>
      <w:r>
        <w:t xml:space="preserve"> </w:t>
      </w:r>
      <w:r>
        <w:t xml:space="preserve">= 78). Regardless of what type of demand manipulation was used, it was more common to manipulate the cues between (</w:t>
      </w:r>
      <w:r>
        <w:rPr>
          <w:i/>
          <w:iCs/>
        </w:rPr>
        <w:t xml:space="preserve">k</w:t>
      </w:r>
      <w:r>
        <w:t xml:space="preserve"> </w:t>
      </w:r>
      <w:r>
        <w:t xml:space="preserve">= 209) vs. within subjects (</w:t>
      </w:r>
      <w:r>
        <w:rPr>
          <w:i/>
          <w:iCs/>
        </w:rPr>
        <w:t xml:space="preserve">k</w:t>
      </w:r>
      <w:r>
        <w:t xml:space="preserve"> </w:t>
      </w:r>
      <w:r>
        <w:t xml:space="preserve">= 44).</w:t>
      </w:r>
    </w:p>
    <w:p>
      <w:pPr>
        <w:pStyle w:val="Textkrper"/>
      </w:pPr>
      <w:r>
        <w:t xml:space="preserve">Most effect sizes came from student samples (</w:t>
      </w:r>
      <w:r>
        <w:rPr>
          <w:i/>
          <w:iCs/>
        </w:rPr>
        <w:t xml:space="preserve">k</w:t>
      </w:r>
      <w:r>
        <w:t xml:space="preserve"> </w:t>
      </w:r>
      <w:r>
        <w:t xml:space="preserve">= 160), although some samples were non-students (</w:t>
      </w:r>
      <w:r>
        <w:rPr>
          <w:i/>
          <w:iCs/>
        </w:rPr>
        <w:t xml:space="preserve">k</w:t>
      </w:r>
      <w:r>
        <w:t xml:space="preserve"> </w:t>
      </w:r>
      <w:r>
        <w:t xml:space="preserve">= 26), a mix of students and non-students (</w:t>
      </w:r>
      <w:r>
        <w:rPr>
          <w:i/>
          <w:iCs/>
        </w:rPr>
        <w:t xml:space="preserve">k</w:t>
      </w:r>
      <w:r>
        <w:t xml:space="preserve"> </w:t>
      </w:r>
      <w:r>
        <w:t xml:space="preserve">= 19), or not described thoroughly enough to make a determination (</w:t>
      </w:r>
      <w:r>
        <w:rPr>
          <w:i/>
          <w:iCs/>
        </w:rPr>
        <w:t xml:space="preserve">k</w:t>
      </w:r>
      <w:r>
        <w:t xml:space="preserve"> </w:t>
      </w:r>
      <w:r>
        <w:t xml:space="preserve">= 48). Most effect sizes came from unpaid samples (</w:t>
      </w:r>
      <w:r>
        <w:rPr>
          <w:i/>
          <w:iCs/>
        </w:rPr>
        <w:t xml:space="preserve">k</w:t>
      </w:r>
      <w:r>
        <w:t xml:space="preserve"> </w:t>
      </w:r>
      <w:r>
        <w:t xml:space="preserve">= 163), although some were paid (</w:t>
      </w:r>
      <w:r>
        <w:rPr>
          <w:i/>
          <w:iCs/>
        </w:rPr>
        <w:t xml:space="preserve">k</w:t>
      </w:r>
      <w:r>
        <w:t xml:space="preserve"> </w:t>
      </w:r>
      <w:r>
        <w:t xml:space="preserve">= 50) and some were not described thoroughly enough to make a determination (</w:t>
      </w:r>
      <w:r>
        <w:rPr>
          <w:i/>
          <w:iCs/>
        </w:rPr>
        <w:t xml:space="preserve">k</w:t>
      </w:r>
      <w:r>
        <w:t xml:space="preserve"> </w:t>
      </w:r>
      <w:r>
        <w:t xml:space="preserve">= 40). Most effect sizes came from in-person studies (</w:t>
      </w:r>
      <w:r>
        <w:rPr>
          <w:i/>
          <w:iCs/>
        </w:rPr>
        <w:t xml:space="preserve">k</w:t>
      </w:r>
      <w:r>
        <w:t xml:space="preserve"> </w:t>
      </w:r>
      <w:r>
        <w:t xml:space="preserve">= 188), but some were from online studies (</w:t>
      </w:r>
      <w:r>
        <w:rPr>
          <w:i/>
          <w:iCs/>
        </w:rPr>
        <w:t xml:space="preserve">k</w:t>
      </w:r>
      <w:r>
        <w:t xml:space="preserve"> </w:t>
      </w:r>
      <w:r>
        <w:t xml:space="preserve">= 52) or not described thoroughly enough to make a determination (</w:t>
      </w:r>
      <w:r>
        <w:rPr>
          <w:i/>
          <w:iCs/>
        </w:rPr>
        <w:t xml:space="preserve">k</w:t>
      </w:r>
      <w:r>
        <w:t xml:space="preserve"> </w:t>
      </w:r>
      <w:r>
        <w:t xml:space="preserve">= 13). Most research was conducted in the United States (k = 127), United Kingdom (k = 49), Canada (k = 21), and the Netherlands (k = 18). However, occasionally, we found work conducted in France (k = 9), Kenya (k = 6), Australia (k = 3), Belgium (k = 2), Turkey, Poland, Malaysia, and Denmark (all k = 1).</w:t>
      </w:r>
    </w:p>
    <w:bookmarkStart w:id="41" w:name="overall-results"/>
    <w:p>
      <w:pPr>
        <w:pStyle w:val="berschrift3"/>
      </w:pPr>
      <w:r>
        <w:t xml:space="preserve">Overall results.</w:t>
      </w:r>
    </w:p>
    <w:p>
      <w:pPr>
        <w:pStyle w:val="FirstParagraph"/>
      </w:pPr>
      <w:r>
        <w:t xml:space="preserve">Overall, results indicated that EDCs cause participants’ responses to shift in a manner consistent with the communicated hypothesis,</w:t>
      </w:r>
      <w:r>
        <w:t xml:space="preserve"> </w:t>
      </w:r>
      <m:oMath>
        <m:r>
          <m:t>g</m:t>
        </m:r>
      </m:oMath>
      <w:r>
        <w:t xml:space="preserve"> </w:t>
      </w:r>
      <w:r>
        <w:t xml:space="preserve">= 0.20, 95% CI [0.11, 0.30],</w:t>
      </w:r>
      <w:r>
        <w:t xml:space="preserve"> </w:t>
      </w:r>
      <m:oMath>
        <m:r>
          <m:t>t</m:t>
        </m:r>
      </m:oMath>
      <w:r>
        <w:t xml:space="preserve">(48.13) = 4.28,</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9000" cy="6097563"/>
            <wp:effectExtent b="0" l="0" r="0" t="0"/>
            <wp:docPr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9000" cy="6097563"/>
                    </a:xfrm>
                    <a:prstGeom prst="rect">
                      <a:avLst/>
                    </a:prstGeom>
                    <a:noFill/>
                    <a:ln w="9525">
                      <a:noFill/>
                      <a:headEnd/>
                      <a:tailEnd/>
                    </a:ln>
                  </pic:spPr>
                </pic:pic>
              </a:graphicData>
            </a:graphic>
          </wp:inline>
        </w:drawing>
      </w:r>
    </w:p>
    <w:p>
      <w:pPr>
        <w:pStyle w:val="ImageCaption"/>
      </w:pPr>
      <w:bookmarkStart w:id="40" w:name="fig:forest"/>
      <w:bookmarkEnd w:id="40"/>
      <w:r>
        <w:rPr>
          <w:i/>
          <w:iCs/>
        </w:rPr>
        <w:t xml:space="preserve">Figure</w:t>
      </w:r>
      <w:r>
        <w:t xml:space="preserve"> </w:t>
      </w:r>
      <w:r>
        <w:t xml:space="preserve">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w:t>
      </w:r>
    </w:p>
    <w:p>
      <w:pPr>
        <w:pStyle w:val="Textkrper"/>
      </w:pPr>
      <w:r>
        <w:t xml:space="preserve">As a reminder, rather than assuming that there is a</w:t>
      </w:r>
      <w:r>
        <w:t xml:space="preserve"> </w:t>
      </w:r>
      <w:r>
        <w:rPr>
          <w:i/>
          <w:iCs/>
        </w:rPr>
        <w:t xml:space="preserve">single true effect</w:t>
      </w:r>
      <w:r>
        <w:t xml:space="preserve"> </w:t>
      </w:r>
      <w:r>
        <w:t xml:space="preserve">of demand characteristics, 3LMA assumes a distribution of</w:t>
      </w:r>
      <w:r>
        <w:t xml:space="preserve"> </w:t>
      </w:r>
      <w:r>
        <w:rPr>
          <w:i/>
          <w:iCs/>
        </w:rPr>
        <w:t xml:space="preserve">multiple true effects.</w:t>
      </w:r>
      <w:r>
        <w:t xml:space="preserve"> </w:t>
      </w:r>
      <w:r>
        <w:t xml:space="preserve">Consistent with this assumption, observed variability in the effects of EDCs exceeded what would be expected from sampling error alone (between-study</w:t>
      </w:r>
      <w:r>
        <w:t xml:space="preserve"> </w:t>
      </w:r>
      <m:oMath>
        <m:r>
          <m:t>τ</m:t>
        </m:r>
      </m:oMath>
      <w:r>
        <w:t xml:space="preserve"> </w:t>
      </w:r>
      <w:r>
        <w:t xml:space="preserve">= 0.29; within-study</w:t>
      </w:r>
      <w:r>
        <w:t xml:space="preserve"> </w:t>
      </w:r>
      <m:oMath>
        <m:r>
          <m:t>σ</m:t>
        </m:r>
      </m:oMath>
      <w:r>
        <w:t xml:space="preserve"> </w:t>
      </w:r>
      <w:r>
        <w:t xml:space="preserve">= 0.18;</w:t>
      </w:r>
      <w:r>
        <w:t xml:space="preserve"> </w:t>
      </w:r>
      <m:oMath>
        <m:r>
          <m:t>Q</m:t>
        </m:r>
      </m:oMath>
      <w:r>
        <w:t xml:space="preserve">(252) = 978.70,</w:t>
      </w:r>
      <w:r>
        <w:t xml:space="preserve"> </w:t>
      </w:r>
      <m:oMath>
        <m:r>
          <m:t>p</m:t>
        </m:r>
      </m:oMath>
      <w:r>
        <w:t xml:space="preserve"> </w:t>
      </w:r>
      <w:r>
        <w:t xml:space="preserve">&lt; .001,</w:t>
      </w:r>
      <w:r>
        <w:t xml:space="preserve"> </w:t>
      </w:r>
      <m:oMath>
        <m:sSup>
          <m:e>
            <m:r>
              <m:t>I</m:t>
            </m:r>
          </m:e>
          <m:sup>
            <m:r>
              <m:t>2</m:t>
            </m:r>
          </m:sup>
        </m:sSup>
      </m:oMath>
      <w:r>
        <w:t xml:space="preserve"> </w:t>
      </w:r>
      <w:r>
        <w:t xml:space="preserve">= 85.30). 3LMA often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illustrates that demand characteristics can have a wide range of effects. Indeed, the 95% prediction interval for a single future study ranges from</w:t>
      </w:r>
      <w:r>
        <w:t xml:space="preserve"> </w:t>
      </w:r>
      <m:oMath>
        <m:r>
          <m:t>g</m:t>
        </m:r>
      </m:oMath>
      <w:r>
        <w:t xml:space="preserve"> </w:t>
      </w:r>
      <w:r>
        <w:t xml:space="preserve">= -0.48 to</w:t>
      </w:r>
      <w:r>
        <w:t xml:space="preserve"> </w:t>
      </w:r>
      <m:oMath>
        <m:r>
          <m:t>g</m:t>
        </m:r>
      </m:oMath>
      <w:r>
        <w:t xml:space="preserve"> </w:t>
      </w:r>
      <w:r>
        <w:t xml:space="preserve">= -0.48.</w:t>
      </w:r>
    </w:p>
    <w:p>
      <w:pPr>
        <w:pStyle w:val="Textkrper"/>
      </w:pPr>
      <w:r>
        <w:t xml:space="preserve">As a heuristic, we arbitrarily classified any effect size less than 0.10 standard deviation in either direction (i.e., |</w:t>
      </w:r>
      <m:oMath>
        <m:r>
          <m:t>g</m:t>
        </m:r>
      </m:oMath>
      <w:r>
        <w:t xml:space="preserve">| &lt; .10) as</w:t>
      </w:r>
      <w:r>
        <w:t xml:space="preserve"> </w:t>
      </w:r>
      <w:r>
        <w:t xml:space="preserve">“</w:t>
      </w:r>
      <w:r>
        <w:t xml:space="preserve">negligible</w:t>
      </w:r>
      <w:r>
        <w:t xml:space="preserve">”</w:t>
      </w:r>
      <w:r>
        <w:t xml:space="preserve">. Based on this classification, the estimated distribution of effects suggested that EDCs most often produce hypothesis-consistent shifts (62%), but sometimes produce negligible shifts (20%) or shifts in the</w:t>
      </w:r>
      <w:r>
        <w:t xml:space="preserve"> </w:t>
      </w:r>
      <w:r>
        <w:rPr>
          <w:i/>
          <w:iCs/>
        </w:rPr>
        <w:t xml:space="preserve">opposite</w:t>
      </w:r>
      <w:r>
        <w:t xml:space="preserve"> </w:t>
      </w:r>
      <w:r>
        <w:t xml:space="preserve">direction of the communicated hypothesis (18%). Such results are consistent with Rosnow and colleagues’ prediction that demand characteristics can lead to both hypothesis-consistent and hypothesis-</w:t>
      </w:r>
      <w:r>
        <w:rPr>
          <w:i/>
          <w:iCs/>
        </w:rPr>
        <w:t xml:space="preserve">inconsistent</w:t>
      </w:r>
      <w:r>
        <w:t xml:space="preserve"> </w:t>
      </w:r>
      <w:r>
        <w:t xml:space="preserve">shifts in participants’ responses.</w:t>
      </w:r>
    </w:p>
    <w:bookmarkEnd w:id="41"/>
    <w:bookmarkStart w:id="44" w:name="moderator-analyses"/>
    <w:p>
      <w:pPr>
        <w:pStyle w:val="berschrift3"/>
      </w:pPr>
      <w:r>
        <w:t xml:space="preserve">Moderator analyses.</w:t>
      </w:r>
    </w:p>
    <w:p>
      <w:pPr>
        <w:pStyle w:val="FirstParagraph"/>
      </w:pPr>
      <w:r>
        <w:t xml:space="preserve">When variability in effect sizes exceeds what would be expected from sampling error alone, it suggests the presence of moderators. Below, we examine several potential candidates.</w:t>
      </w:r>
    </w:p>
    <w:bookmarkStart w:id="43" w:name="study-features"/>
    <w:p>
      <w:pPr>
        <w:pStyle w:val="berschrift4"/>
      </w:pPr>
      <w:r>
        <w:t xml:space="preserve">Study features.</w:t>
      </w:r>
    </w:p>
    <w:p>
      <w:pPr>
        <w:pStyle w:val="FirstParagraph"/>
      </w:pPr>
      <w:r>
        <w:t xml:space="preserve">In general, we did not find much evidence that the effects of EDCs are moderated by study features (see Table 1). The two exceptions were (1) whether the demand characteristics condition was compared to a control group (vs. another condition with demand characteristics), and (2) whether the study was conducted in-person (vs. online).</w:t>
      </w:r>
    </w:p>
    <w:p>
      <w:pPr>
        <w:pStyle w:val="Textkrper"/>
      </w:pPr>
      <w:r>
        <w:t xml:space="preserve">The average effect sizes was estimated to be twice as large when two demand characteristic conditions were compared (</w:t>
      </w:r>
      <m:oMath>
        <m:r>
          <m:t>g</m:t>
        </m:r>
      </m:oMath>
      <w:r>
        <w:t xml:space="preserve"> </w:t>
      </w:r>
      <w:r>
        <w:t xml:space="preserve">= 0.33, 95% CI [0.18, 0.48],</w:t>
      </w:r>
      <w:r>
        <w:t xml:space="preserve"> </w:t>
      </w:r>
      <m:oMath>
        <m:r>
          <m:t>p</m:t>
        </m:r>
      </m:oMath>
      <w:r>
        <w:t xml:space="preserve"> </w:t>
      </w:r>
      <w:r>
        <w:t xml:space="preserve">&lt; .001), as opposed to one demand characteristic condition being compared to a control group (</w:t>
      </w:r>
      <m:oMath>
        <m:r>
          <m:t>g</m:t>
        </m:r>
      </m:oMath>
      <w:r>
        <w:t xml:space="preserve"> </w:t>
      </w:r>
      <w:r>
        <w:t xml:space="preserve">= 0.15, 95% CI [0.07, 0.24],</w:t>
      </w:r>
      <w:r>
        <w:t xml:space="preserve"> </w:t>
      </w:r>
      <m:oMath>
        <m:r>
          <m:t>p</m:t>
        </m:r>
      </m:oMath>
      <w:r>
        <w:t xml:space="preserve"> </w:t>
      </w:r>
      <w:r>
        <w:t xml:space="preserve">= .001),</w:t>
      </w:r>
      <w:r>
        <w:t xml:space="preserve"> </w:t>
      </w:r>
      <m:oMath>
        <m:r>
          <m:t>F</m:t>
        </m:r>
      </m:oMath>
      <w:r>
        <w:t xml:space="preserve">(1, 10.37) = 10.87,</w:t>
      </w:r>
      <w:r>
        <w:t xml:space="preserve"> </w:t>
      </w:r>
      <m:oMath>
        <m:r>
          <m:t>p</m:t>
        </m:r>
      </m:oMath>
      <w:r>
        <w:t xml:space="preserve"> </w:t>
      </w:r>
      <w:r>
        <w:t xml:space="preserve">= .008. This provides preliminary evidence that the effects of EDCs are additive. However, these results should be interpreted with some caution, as a broader test of whether</w:t>
      </w:r>
      <w:r>
        <w:t xml:space="preserve"> </w:t>
      </w:r>
      <w:r>
        <w:rPr>
          <w:i/>
          <w:iCs/>
        </w:rPr>
        <w:t xml:space="preserve">all</w:t>
      </w:r>
      <w:r>
        <w:t xml:space="preserve"> </w:t>
      </w:r>
      <w:r>
        <w:t xml:space="preserve">specific types of comparisons varied was not statistically significant,</w:t>
      </w:r>
      <w:r>
        <w:t xml:space="preserve"> </w:t>
      </w:r>
      <m:oMath>
        <m:r>
          <m:t>F</m:t>
        </m:r>
      </m:oMath>
      <w:r>
        <w:t xml:space="preserve">(4, 3.52) = 1.93,</w:t>
      </w:r>
      <w:r>
        <w:t xml:space="preserve"> </w:t>
      </w:r>
      <m:oMath>
        <m:r>
          <m:t>p</m:t>
        </m:r>
      </m:oMath>
      <w:r>
        <w:t xml:space="preserve"> </w:t>
      </w:r>
      <w:r>
        <w:t xml:space="preserve">= .287.</w:t>
      </w:r>
    </w:p>
    <w:p>
      <w:pPr>
        <w:pStyle w:val="Textkrper"/>
      </w:pPr>
      <w:r>
        <w:t xml:space="preserve">Instances where a demand characteristic condition was compared to a control group allowed us to test whether participants responses shift more when they expect that the researcher hypothesizes an increase (i.e., positive demand;</w:t>
      </w:r>
      <w:r>
        <w:t xml:space="preserve"> </w:t>
      </w:r>
      <m:oMath>
        <m:r>
          <m:t>g</m:t>
        </m:r>
      </m:oMath>
      <w:r>
        <w:t xml:space="preserve"> </w:t>
      </w:r>
      <w:r>
        <w:t xml:space="preserve">= 0.17, 95% CI [0.06, 0.28],</w:t>
      </w:r>
      <w:r>
        <w:t xml:space="preserve"> </w:t>
      </w:r>
      <m:oMath>
        <m:r>
          <m:t>p</m:t>
        </m:r>
      </m:oMath>
      <w:r>
        <w:t xml:space="preserve"> </w:t>
      </w:r>
      <w:r>
        <w:t xml:space="preserve">= .003), a decrease (i.e., negative demand;</w:t>
      </w:r>
      <w:r>
        <w:t xml:space="preserve"> </w:t>
      </w:r>
      <m:oMath>
        <m:r>
          <m:t>g</m:t>
        </m:r>
      </m:oMath>
      <w:r>
        <w:t xml:space="preserve"> </w:t>
      </w:r>
      <w:r>
        <w:t xml:space="preserve">= 0.19, 95% CI [0.06, 0.33],</w:t>
      </w:r>
      <w:r>
        <w:t xml:space="preserve"> </w:t>
      </w:r>
      <m:oMath>
        <m:r>
          <m:t>p</m:t>
        </m:r>
      </m:oMath>
      <w:r>
        <w:t xml:space="preserve"> </w:t>
      </w:r>
      <w:r>
        <w:t xml:space="preserve">= .007), or no change in the dependent variable (i.e., nil demand;</w:t>
      </w:r>
      <w:r>
        <w:t xml:space="preserve"> </w:t>
      </w:r>
      <m:oMath>
        <m:r>
          <m:t>g</m:t>
        </m:r>
      </m:oMath>
      <w:r>
        <w:t xml:space="preserve"> </w:t>
      </w:r>
      <w:r>
        <w:t xml:space="preserve">= 0.26, 95% CI [-0.21, 0.74],</w:t>
      </w:r>
      <w:r>
        <w:t xml:space="preserve"> </w:t>
      </w:r>
      <m:oMath>
        <m:r>
          <m:t>p</m:t>
        </m:r>
      </m:oMath>
      <w:r>
        <w:t xml:space="preserve"> </w:t>
      </w:r>
      <w:r>
        <w:t xml:space="preserve">= .178). We did not find this to be the case,</w:t>
      </w:r>
      <w:r>
        <w:t xml:space="preserve"> </w:t>
      </w:r>
      <m:oMath>
        <m:r>
          <m:t>F</m:t>
        </m:r>
      </m:oMath>
      <w:r>
        <w:t xml:space="preserve">(2, 4.15) = 0.20,</w:t>
      </w:r>
      <w:r>
        <w:t xml:space="preserve"> </w:t>
      </w:r>
      <m:oMath>
        <m:r>
          <m:t>p</m:t>
        </m:r>
      </m:oMath>
      <w:r>
        <w:t xml:space="preserve"> </w:t>
      </w:r>
      <w:r>
        <w:t xml:space="preserve">= .828. We also did not find that the effects of EDCs varied depending on whether they were manipulated within- (</w:t>
      </w:r>
      <m:oMath>
        <m:r>
          <m:t>g</m:t>
        </m:r>
      </m:oMath>
      <w:r>
        <w:t xml:space="preserve"> </w:t>
      </w:r>
      <w:r>
        <w:t xml:space="preserve">= 0.22, 95% CI [0.11, 0.34],</w:t>
      </w:r>
      <w:r>
        <w:t xml:space="preserve"> </w:t>
      </w:r>
      <m:oMath>
        <m:r>
          <m:t>p</m:t>
        </m:r>
      </m:oMath>
      <w:r>
        <w:t xml:space="preserve"> </w:t>
      </w:r>
      <w:r>
        <w:t xml:space="preserve">&lt; .001) vs. between-subjects (</w:t>
      </w:r>
      <m:oMath>
        <m:r>
          <m:t>g</m:t>
        </m:r>
      </m:oMath>
      <w:r>
        <w:t xml:space="preserve"> </w:t>
      </w:r>
      <w:r>
        <w:t xml:space="preserve">= 0.14, 95% CI [0.02, 0.25],</w:t>
      </w:r>
      <w:r>
        <w:t xml:space="preserve"> </w:t>
      </w:r>
      <m:oMath>
        <m:r>
          <m:t>p</m:t>
        </m:r>
      </m:oMath>
      <w:r>
        <w:t xml:space="preserve"> </w:t>
      </w:r>
      <w:r>
        <w:t xml:space="preserve">= .020),</w:t>
      </w:r>
      <w:r>
        <w:t xml:space="preserve"> </w:t>
      </w:r>
      <m:oMath>
        <m:r>
          <m:t>F</m:t>
        </m:r>
      </m:oMath>
      <w:r>
        <w:t xml:space="preserve">(1, 10.48) = 1.55,</w:t>
      </w:r>
      <w:r>
        <w:t xml:space="preserve"> </w:t>
      </w:r>
      <m:oMath>
        <m:r>
          <m:t>p</m:t>
        </m:r>
      </m:oMath>
      <w:r>
        <w:t xml:space="preserve"> </w:t>
      </w:r>
      <w:r>
        <w:t xml:space="preserve">= .240</w:t>
      </w:r>
    </w:p>
    <w:p>
      <w:pPr>
        <w:pStyle w:val="Textkrper"/>
      </w:pPr>
      <w:r>
        <w:t xml:space="preserve">The effects of EDCs tended to be slightly more positive for in-person (</w:t>
      </w:r>
      <m:oMath>
        <m:r>
          <m:t>g</m:t>
        </m:r>
      </m:oMath>
      <w:r>
        <w:t xml:space="preserve"> </w:t>
      </w:r>
      <w:r>
        <w:t xml:space="preserve">= 0.29, 95% CI [0.14, 0.44],</w:t>
      </w:r>
      <w:r>
        <w:t xml:space="preserve"> </w:t>
      </w:r>
      <m:oMath>
        <m:r>
          <m:t>p</m:t>
        </m:r>
      </m:oMath>
      <w:r>
        <w:t xml:space="preserve"> </w:t>
      </w:r>
      <w:r>
        <w:t xml:space="preserve">&lt; .001) vs. online (</w:t>
      </w:r>
      <m:oMath>
        <m:r>
          <m:t>g</m:t>
        </m:r>
      </m:oMath>
      <w:r>
        <w:t xml:space="preserve"> </w:t>
      </w:r>
      <w:r>
        <w:t xml:space="preserve">= 0.10, 95% CI [0.01, 0.19],</w:t>
      </w:r>
      <w:r>
        <w:t xml:space="preserve"> </w:t>
      </w:r>
      <m:oMath>
        <m:r>
          <m:t>p</m:t>
        </m:r>
      </m:oMath>
      <w:r>
        <w:t xml:space="preserve"> </w:t>
      </w:r>
      <w:r>
        <w:t xml:space="preserve">= .030) studies,</w:t>
      </w:r>
      <w:r>
        <w:t xml:space="preserve"> </w:t>
      </w:r>
      <m:oMath>
        <m:r>
          <m:t>F</m:t>
        </m:r>
      </m:oMath>
      <w:r>
        <w:t xml:space="preserve">(1, 30.22) = 4.81,</w:t>
      </w:r>
      <w:r>
        <w:t xml:space="preserve"> </w:t>
      </w:r>
      <m:oMath>
        <m:r>
          <m:t>p</m:t>
        </m:r>
      </m:oMath>
      <w:r>
        <w:t xml:space="preserve"> </w:t>
      </w:r>
      <w:r>
        <w:t xml:space="preserve">= .036. However, we did not find that demand effects significantly varied depending on whether students (</w:t>
      </w:r>
      <m:oMath>
        <m:r>
          <m:t>g</m:t>
        </m:r>
      </m:oMath>
      <w:r>
        <w:t xml:space="preserve"> </w:t>
      </w:r>
      <w:r>
        <w:t xml:space="preserve">= 0.26, 95% CI [0.13, 0.40],</w:t>
      </w:r>
      <w:r>
        <w:t xml:space="preserve"> </w:t>
      </w:r>
      <m:oMath>
        <m:r>
          <m:t>p</m:t>
        </m:r>
      </m:oMath>
      <w:r>
        <w:t xml:space="preserve"> </w:t>
      </w:r>
      <w:r>
        <w:t xml:space="preserve">&lt; .001), non-students (</w:t>
      </w:r>
      <m:oMath>
        <m:r>
          <m:t>g</m:t>
        </m:r>
      </m:oMath>
      <w:r>
        <w:t xml:space="preserve"> </w:t>
      </w:r>
      <w:r>
        <w:t xml:space="preserve">= 0.05, 95% CI [-0.06, 0.16],</w:t>
      </w:r>
      <w:r>
        <w:t xml:space="preserve"> </w:t>
      </w:r>
      <m:oMath>
        <m:r>
          <m:t>p</m:t>
        </m:r>
      </m:oMath>
      <w:r>
        <w:t xml:space="preserve"> </w:t>
      </w:r>
      <w:r>
        <w:t xml:space="preserve">= .323), or a mix of students and non-students (</w:t>
      </w:r>
      <m:oMath>
        <m:r>
          <m:t>g</m:t>
        </m:r>
      </m:oMath>
      <w:r>
        <w:t xml:space="preserve"> </w:t>
      </w:r>
      <w:r>
        <w:t xml:space="preserve">= 0.05, 95% CI [-1.00, 1.09],</w:t>
      </w:r>
      <w:r>
        <w:t xml:space="preserve"> </w:t>
      </w:r>
      <m:oMath>
        <m:r>
          <m:t>p</m:t>
        </m:r>
      </m:oMath>
      <w:r>
        <w:t xml:space="preserve"> </w:t>
      </w:r>
      <w:r>
        <w:t xml:space="preserve">= .680) were sampled,</w:t>
      </w:r>
      <w:r>
        <w:t xml:space="preserve"> </w:t>
      </w:r>
      <m:oMath>
        <m:r>
          <m:t>F</m:t>
        </m:r>
      </m:oMath>
      <w:r>
        <w:t xml:space="preserve">(2, 2.12) = 2.44,</w:t>
      </w:r>
      <w:r>
        <w:t xml:space="preserve"> </w:t>
      </w:r>
      <m:oMath>
        <m:r>
          <m:t>p</m:t>
        </m:r>
      </m:oMath>
      <w:r>
        <w:t xml:space="preserve"> </w:t>
      </w:r>
      <w:r>
        <w:t xml:space="preserve">= .282. We also did not find that the effects of EDCs varied depending on whether those participants were paid (</w:t>
      </w:r>
      <m:oMath>
        <m:r>
          <m:t>g</m:t>
        </m:r>
      </m:oMath>
      <w:r>
        <w:t xml:space="preserve"> </w:t>
      </w:r>
      <w:r>
        <w:t xml:space="preserve">= 0.13, 95% CI [0.00, 0.26],</w:t>
      </w:r>
      <w:r>
        <w:t xml:space="preserve"> </w:t>
      </w:r>
      <m:oMath>
        <m:r>
          <m:t>p</m:t>
        </m:r>
      </m:oMath>
      <w:r>
        <w:t xml:space="preserve"> </w:t>
      </w:r>
      <w:r>
        <w:t xml:space="preserve">= .047) vs. unpaid (</w:t>
      </w:r>
      <m:oMath>
        <m:r>
          <m:t>g</m:t>
        </m:r>
      </m:oMath>
      <w:r>
        <w:t xml:space="preserve"> </w:t>
      </w:r>
      <w:r>
        <w:t xml:space="preserve">= 0.19, 95% CI [0.08, 0.31],</w:t>
      </w:r>
      <w:r>
        <w:t xml:space="preserve"> </w:t>
      </w:r>
      <m:oMath>
        <m:r>
          <m:t>p</m:t>
        </m:r>
      </m:oMath>
      <w:r>
        <w:t xml:space="preserve"> </w:t>
      </w:r>
      <w:r>
        <w:t xml:space="preserve">= .002),</w:t>
      </w:r>
      <w:r>
        <w:t xml:space="preserve"> </w:t>
      </w:r>
      <m:oMath>
        <m:r>
          <m:t>F</m:t>
        </m:r>
      </m:oMath>
      <w:r>
        <w:t xml:space="preserve">(1, 20.74) = 0.55,</w:t>
      </w:r>
      <w:r>
        <w:t xml:space="preserve"> </w:t>
      </w:r>
      <m:oMath>
        <m:r>
          <m:t>p</m:t>
        </m:r>
      </m:oMath>
      <w:r>
        <w:t xml:space="preserve"> </w:t>
      </w:r>
      <w:r>
        <w:t xml:space="preserve">= .465.</w:t>
      </w:r>
    </w:p>
    <w:p>
      <w:pPr>
        <w:pStyle w:val="TableCaption"/>
      </w:pPr>
      <w:r>
        <w:t xml:space="preserve">(#tab:f.mod.table) Study</w:t>
      </w:r>
      <w:r>
        <w:t xml:space="preserve"> </w:t>
      </w:r>
      <w:r>
        <w:br/>
      </w:r>
      <w:r>
        <w:rPr>
          <w:i/>
          <w:iCs/>
        </w:rPr>
        <w:t xml:space="preserve"> </w:t>
      </w:r>
      <w:r>
        <w:rPr>
          <w:i/>
          <w:iCs/>
        </w:rPr>
        <w:t xml:space="preserve">moderator</w:t>
      </w:r>
      <w:r>
        <w:rPr>
          <w:i/>
          <w:iCs/>
        </w:rPr>
        <w:t xml:space="preserve"> </w:t>
      </w:r>
      <w:r>
        <w:rPr>
          <w:i/>
          <w:iCs/>
        </w:rPr>
        <w:t xml:space="preserve">and</w:t>
      </w:r>
      <w:r>
        <w:rPr>
          <w:i/>
          <w:iCs/>
        </w:rPr>
        <w:t xml:space="preserve"> </w:t>
      </w:r>
      <w:r>
        <w:rPr>
          <w:i/>
          <w:iCs/>
        </w:rPr>
        <w:t xml:space="preserve">subgroup</w:t>
      </w:r>
      <w:r>
        <w:rPr>
          <w:i/>
          <w:iCs/>
        </w:rPr>
        <w:t xml:space="preserve"> </w:t>
      </w:r>
      <w:r>
        <w:rPr>
          <w:i/>
          <w:iCs/>
        </w:rPr>
        <w:t xml:space="preserve">analyses</w:t>
      </w:r>
    </w:p>
    <w:tbl>
      <w:tblPr>
        <w:tblStyle w:val="Table"/>
        <w:tblW w:type="auto" w:w="0"/>
        <w:tblLook w:firstRow="1" w:lastRow="0" w:firstColumn="0" w:lastColumn="0" w:noHBand="0" w:noVBand="0" w:val="0020"/>
        <w:tblCaption w:val="(#tab:f.mod.table) Study   moderator and subgroup analyses"/>
      </w:tblPr>
      <w:tblGrid>
        <w:gridCol w:w="1131"/>
        <w:gridCol w:w="1131"/>
        <w:gridCol w:w="1131"/>
        <w:gridCol w:w="1131"/>
        <w:gridCol w:w="1131"/>
        <w:gridCol w:w="1131"/>
        <w:gridCol w:w="1131"/>
      </w:tblGrid>
      <w:tr>
        <w:trPr>
          <w:tblHeader w:val="on"/>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g</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Group comparison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1.93</w:t>
            </w:r>
          </w:p>
        </w:tc>
        <w:tc>
          <w:tcPr/>
          <w:p>
            <w:pPr>
              <w:pStyle w:val="Compact"/>
              <w:jc w:val="left"/>
            </w:pPr>
            <w:r>
              <w:t xml:space="preserve">.287</w:t>
            </w:r>
          </w:p>
        </w:tc>
      </w:tr>
      <w:tr>
        <w:tc>
          <w:tcPr/>
          <w:p>
            <w:pPr>
              <w:pStyle w:val="Compact"/>
              <w:jc w:val="left"/>
            </w:pPr>
            <w:r>
              <w:t xml:space="preserve">     positive vs. control</w:t>
            </w:r>
          </w:p>
        </w:tc>
        <w:tc>
          <w:tcPr/>
          <w:p>
            <w:pPr>
              <w:pStyle w:val="Compact"/>
              <w:jc w:val="left"/>
            </w:pPr>
            <w:r>
              <w:t xml:space="preserve">42</w:t>
            </w:r>
          </w:p>
        </w:tc>
        <w:tc>
          <w:tcPr/>
          <w:p>
            <w:pPr>
              <w:pStyle w:val="Compact"/>
              <w:jc w:val="left"/>
            </w:pPr>
            <w:r>
              <w:t xml:space="preserve">115</w:t>
            </w:r>
          </w:p>
        </w:tc>
        <w:tc>
          <w:tcPr/>
          <w:p>
            <w:pPr>
              <w:pStyle w:val="Compact"/>
              <w:jc w:val="left"/>
            </w:pPr>
            <w:r>
              <w:t xml:space="preserve">0.15</w:t>
            </w:r>
          </w:p>
        </w:tc>
        <w:tc>
          <w:tcPr/>
          <w:p>
            <w:pPr>
              <w:pStyle w:val="Compact"/>
              <w:jc w:val="left"/>
            </w:pPr>
            <w:r>
              <w:t xml:space="preserve">[0.04, 0.26]</w:t>
            </w:r>
          </w:p>
        </w:tc>
        <w:tc>
          <w:tcPr/>
          <w:p>
            <w:pPr>
              <w:pStyle w:val="Compact"/>
              <w:jc w:val="left"/>
            </w:pPr>
            <w:r>
              <w:t xml:space="preserve">7.14</w:t>
            </w:r>
          </w:p>
        </w:tc>
        <w:tc>
          <w:tcPr/>
          <w:p>
            <w:pPr>
              <w:pStyle w:val="Compact"/>
              <w:jc w:val="left"/>
            </w:pPr>
            <w:r>
              <w:t xml:space="preserve">.011</w:t>
            </w:r>
          </w:p>
        </w:tc>
      </w:tr>
      <w:tr>
        <w:tc>
          <w:tcPr/>
          <w:p>
            <w:pPr>
              <w:pStyle w:val="Compact"/>
              <w:jc w:val="left"/>
            </w:pPr>
            <w:r>
              <w:t xml:space="preserve">     nil vs. control</w:t>
            </w:r>
          </w:p>
        </w:tc>
        <w:tc>
          <w:tcPr/>
          <w:p>
            <w:pPr>
              <w:pStyle w:val="Compact"/>
              <w:jc w:val="left"/>
            </w:pPr>
            <w:r>
              <w:t xml:space="preserve">4</w:t>
            </w:r>
          </w:p>
        </w:tc>
        <w:tc>
          <w:tcPr/>
          <w:p>
            <w:pPr>
              <w:pStyle w:val="Compact"/>
              <w:jc w:val="left"/>
            </w:pPr>
            <w:r>
              <w:t xml:space="preserve">17</w:t>
            </w:r>
          </w:p>
        </w:tc>
        <w:tc>
          <w:tcPr/>
          <w:p>
            <w:pPr>
              <w:pStyle w:val="Compact"/>
              <w:jc w:val="left"/>
            </w:pPr>
            <w:r>
              <w:t xml:space="preserve">0.22</w:t>
            </w:r>
          </w:p>
        </w:tc>
        <w:tc>
          <w:tcPr/>
          <w:p>
            <w:pPr>
              <w:pStyle w:val="Compact"/>
              <w:jc w:val="left"/>
            </w:pPr>
            <w:r>
              <w:t xml:space="preserve">[-0.14, 0.58]</w:t>
            </w:r>
          </w:p>
        </w:tc>
        <w:tc>
          <w:tcPr/>
          <w:p>
            <w:pPr>
              <w:pStyle w:val="Compact"/>
              <w:jc w:val="left"/>
            </w:pPr>
            <w:r>
              <w:t xml:space="preserve">2.91</w:t>
            </w:r>
          </w:p>
        </w:tc>
        <w:tc>
          <w:tcPr/>
          <w:p>
            <w:pPr>
              <w:pStyle w:val="Compact"/>
              <w:jc w:val="left"/>
            </w:pPr>
            <w:r>
              <w:t xml:space="preserve">.164</w:t>
            </w:r>
          </w:p>
        </w:tc>
      </w:tr>
      <w:tr>
        <w:tc>
          <w:tcPr/>
          <w:p>
            <w:pPr>
              <w:pStyle w:val="Compact"/>
              <w:jc w:val="left"/>
            </w:pPr>
            <w:r>
              <w:t xml:space="preserve">     negative vs. control</w:t>
            </w:r>
          </w:p>
        </w:tc>
        <w:tc>
          <w:tcPr/>
          <w:p>
            <w:pPr>
              <w:pStyle w:val="Compact"/>
              <w:jc w:val="left"/>
            </w:pPr>
            <w:r>
              <w:t xml:space="preserve">17</w:t>
            </w:r>
          </w:p>
        </w:tc>
        <w:tc>
          <w:tcPr/>
          <w:p>
            <w:pPr>
              <w:pStyle w:val="Compact"/>
              <w:jc w:val="left"/>
            </w:pPr>
            <w:r>
              <w:t xml:space="preserve">43</w:t>
            </w:r>
          </w:p>
        </w:tc>
        <w:tc>
          <w:tcPr/>
          <w:p>
            <w:pPr>
              <w:pStyle w:val="Compact"/>
              <w:jc w:val="left"/>
            </w:pPr>
            <w:r>
              <w:t xml:space="preserve">0.16</w:t>
            </w:r>
          </w:p>
        </w:tc>
        <w:tc>
          <w:tcPr/>
          <w:p>
            <w:pPr>
              <w:pStyle w:val="Compact"/>
              <w:jc w:val="left"/>
            </w:pPr>
            <w:r>
              <w:t xml:space="preserve">[0.03, 0.29]</w:t>
            </w:r>
          </w:p>
        </w:tc>
        <w:tc>
          <w:tcPr/>
          <w:p>
            <w:pPr>
              <w:pStyle w:val="Compact"/>
              <w:jc w:val="left"/>
            </w:pPr>
            <w:r>
              <w:t xml:space="preserve">6.4</w:t>
            </w:r>
          </w:p>
        </w:tc>
        <w:tc>
          <w:tcPr/>
          <w:p>
            <w:pPr>
              <w:pStyle w:val="Compact"/>
              <w:jc w:val="left"/>
            </w:pPr>
            <w:r>
              <w:t xml:space="preserve">.021</w:t>
            </w:r>
          </w:p>
        </w:tc>
      </w:tr>
      <w:tr>
        <w:tc>
          <w:tcPr/>
          <w:p>
            <w:pPr>
              <w:pStyle w:val="Compact"/>
              <w:jc w:val="left"/>
            </w:pPr>
            <w:r>
              <w:t xml:space="preserve">     positive vs. nil</w:t>
            </w:r>
          </w:p>
        </w:tc>
        <w:tc>
          <w:tcPr/>
          <w:p>
            <w:pPr>
              <w:pStyle w:val="Compact"/>
              <w:jc w:val="left"/>
            </w:pPr>
            <w:r>
              <w:t xml:space="preserve">8</w:t>
            </w:r>
          </w:p>
        </w:tc>
        <w:tc>
          <w:tcPr/>
          <w:p>
            <w:pPr>
              <w:pStyle w:val="Compact"/>
              <w:jc w:val="left"/>
            </w:pPr>
            <w:r>
              <w:t xml:space="preserve">34</w:t>
            </w:r>
          </w:p>
        </w:tc>
        <w:tc>
          <w:tcPr/>
          <w:p>
            <w:pPr>
              <w:pStyle w:val="Compact"/>
              <w:jc w:val="left"/>
            </w:pPr>
            <w:r>
              <w:t xml:space="preserve">0.36</w:t>
            </w:r>
          </w:p>
        </w:tc>
        <w:tc>
          <w:tcPr/>
          <w:p>
            <w:pPr>
              <w:pStyle w:val="Compact"/>
              <w:jc w:val="left"/>
            </w:pPr>
            <w:r>
              <w:t xml:space="preserve">[0.02, 0.71]</w:t>
            </w:r>
          </w:p>
        </w:tc>
        <w:tc>
          <w:tcPr/>
          <w:p>
            <w:pPr>
              <w:pStyle w:val="Compact"/>
              <w:jc w:val="left"/>
            </w:pPr>
            <w:r>
              <w:t xml:space="preserve">6.13</w:t>
            </w:r>
          </w:p>
        </w:tc>
        <w:tc>
          <w:tcPr/>
          <w:p>
            <w:pPr>
              <w:pStyle w:val="Compact"/>
              <w:jc w:val="left"/>
            </w:pPr>
            <w:r>
              <w:t xml:space="preserve">.043</w:t>
            </w:r>
          </w:p>
        </w:tc>
      </w:tr>
      <w:tr>
        <w:tc>
          <w:tcPr/>
          <w:p>
            <w:pPr>
              <w:pStyle w:val="Compact"/>
              <w:jc w:val="left"/>
            </w:pPr>
            <w:r>
              <w:t xml:space="preserve">     positive vs. negative</w:t>
            </w:r>
          </w:p>
        </w:tc>
        <w:tc>
          <w:tcPr/>
          <w:p>
            <w:pPr>
              <w:pStyle w:val="Compact"/>
              <w:jc w:val="left"/>
            </w:pPr>
            <w:r>
              <w:t xml:space="preserve">16</w:t>
            </w:r>
          </w:p>
        </w:tc>
        <w:tc>
          <w:tcPr/>
          <w:p>
            <w:pPr>
              <w:pStyle w:val="Compact"/>
              <w:jc w:val="left"/>
            </w:pPr>
            <w:r>
              <w:t xml:space="preserve">44</w:t>
            </w:r>
          </w:p>
        </w:tc>
        <w:tc>
          <w:tcPr/>
          <w:p>
            <w:pPr>
              <w:pStyle w:val="Compact"/>
              <w:jc w:val="left"/>
            </w:pPr>
            <w:r>
              <w:t xml:space="preserve">0.32</w:t>
            </w:r>
          </w:p>
        </w:tc>
        <w:tc>
          <w:tcPr/>
          <w:p>
            <w:pPr>
              <w:pStyle w:val="Compact"/>
              <w:jc w:val="left"/>
            </w:pPr>
            <w:r>
              <w:t xml:space="preserve">[0.15, 0.5]</w:t>
            </w:r>
          </w:p>
        </w:tc>
        <w:tc>
          <w:tcPr/>
          <w:p>
            <w:pPr>
              <w:pStyle w:val="Compact"/>
              <w:jc w:val="left"/>
            </w:pPr>
            <w:r>
              <w:t xml:space="preserve">15.15</w:t>
            </w:r>
          </w:p>
        </w:tc>
        <w:tc>
          <w:tcPr/>
          <w:p>
            <w:pPr>
              <w:pStyle w:val="Compact"/>
              <w:jc w:val="left"/>
            </w:pPr>
            <w:r>
              <w:t xml:space="preserve">.001</w:t>
            </w:r>
          </w:p>
        </w:tc>
      </w:tr>
      <w:tr>
        <w:tc>
          <w:tcPr/>
          <w:p>
            <w:pPr>
              <w:pStyle w:val="Compact"/>
              <w:jc w:val="left"/>
            </w:pPr>
            <w:r>
              <w:t xml:space="preserve">Control vs. non-control group comparison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10.87</w:t>
            </w:r>
          </w:p>
        </w:tc>
        <w:tc>
          <w:tcPr/>
          <w:p>
            <w:pPr>
              <w:pStyle w:val="Compact"/>
              <w:jc w:val="left"/>
            </w:pPr>
            <w:r>
              <w:t xml:space="preserve">.008</w:t>
            </w:r>
          </w:p>
        </w:tc>
      </w:tr>
      <w:tr>
        <w:tc>
          <w:tcPr/>
          <w:p>
            <w:pPr>
              <w:pStyle w:val="Compact"/>
              <w:jc w:val="left"/>
            </w:pPr>
            <w:r>
              <w:t xml:space="preserve">     control</w:t>
            </w:r>
          </w:p>
        </w:tc>
        <w:tc>
          <w:tcPr/>
          <w:p>
            <w:pPr>
              <w:pStyle w:val="Compact"/>
              <w:jc w:val="left"/>
            </w:pPr>
            <w:r>
              <w:t xml:space="preserve">45</w:t>
            </w:r>
          </w:p>
        </w:tc>
        <w:tc>
          <w:tcPr/>
          <w:p>
            <w:pPr>
              <w:pStyle w:val="Compact"/>
              <w:jc w:val="left"/>
            </w:pPr>
            <w:r>
              <w:t xml:space="preserve">175</w:t>
            </w:r>
          </w:p>
        </w:tc>
        <w:tc>
          <w:tcPr/>
          <w:p>
            <w:pPr>
              <w:pStyle w:val="Compact"/>
              <w:jc w:val="left"/>
            </w:pPr>
            <w:r>
              <w:t xml:space="preserve">0.15</w:t>
            </w:r>
          </w:p>
        </w:tc>
        <w:tc>
          <w:tcPr/>
          <w:p>
            <w:pPr>
              <w:pStyle w:val="Compact"/>
              <w:jc w:val="left"/>
            </w:pPr>
            <w:r>
              <w:t xml:space="preserve">[0.07, 0.24]</w:t>
            </w:r>
          </w:p>
        </w:tc>
        <w:tc>
          <w:tcPr/>
          <w:p>
            <w:pPr>
              <w:pStyle w:val="Compact"/>
              <w:jc w:val="left"/>
            </w:pPr>
            <w:r>
              <w:t xml:space="preserve">12.11</w:t>
            </w:r>
          </w:p>
        </w:tc>
        <w:tc>
          <w:tcPr/>
          <w:p>
            <w:pPr>
              <w:pStyle w:val="Compact"/>
              <w:jc w:val="left"/>
            </w:pPr>
            <w:r>
              <w:t xml:space="preserve">.001</w:t>
            </w:r>
          </w:p>
        </w:tc>
      </w:tr>
      <w:tr>
        <w:tc>
          <w:tcPr/>
          <w:p>
            <w:pPr>
              <w:pStyle w:val="Compact"/>
              <w:jc w:val="left"/>
            </w:pPr>
            <w:r>
              <w:t xml:space="preserve">     non-control</w:t>
            </w:r>
          </w:p>
        </w:tc>
        <w:tc>
          <w:tcPr/>
          <w:p>
            <w:pPr>
              <w:pStyle w:val="Compact"/>
              <w:jc w:val="left"/>
            </w:pPr>
            <w:r>
              <w:t xml:space="preserve">24</w:t>
            </w:r>
          </w:p>
        </w:tc>
        <w:tc>
          <w:tcPr/>
          <w:p>
            <w:pPr>
              <w:pStyle w:val="Compact"/>
              <w:jc w:val="left"/>
            </w:pPr>
            <w:r>
              <w:t xml:space="preserve">78</w:t>
            </w:r>
          </w:p>
        </w:tc>
        <w:tc>
          <w:tcPr/>
          <w:p>
            <w:pPr>
              <w:pStyle w:val="Compact"/>
              <w:jc w:val="left"/>
            </w:pPr>
            <w:r>
              <w:t xml:space="preserve">0.33</w:t>
            </w:r>
          </w:p>
        </w:tc>
        <w:tc>
          <w:tcPr/>
          <w:p>
            <w:pPr>
              <w:pStyle w:val="Compact"/>
              <w:jc w:val="left"/>
            </w:pPr>
            <w:r>
              <w:t xml:space="preserve">[0.18, 0.48]</w:t>
            </w:r>
          </w:p>
        </w:tc>
        <w:tc>
          <w:tcPr/>
          <w:p>
            <w:pPr>
              <w:pStyle w:val="Compact"/>
              <w:jc w:val="left"/>
            </w:pPr>
            <w:r>
              <w:t xml:space="preserve">20.99</w:t>
            </w:r>
          </w:p>
        </w:tc>
        <w:tc>
          <w:tcPr/>
          <w:p>
            <w:pPr>
              <w:pStyle w:val="Compact"/>
              <w:jc w:val="left"/>
            </w:pPr>
            <w:r>
              <w:t xml:space="preserve">&lt; .001</w:t>
            </w:r>
          </w:p>
        </w:tc>
      </w:tr>
      <w:tr>
        <w:tc>
          <w:tcPr/>
          <w:p>
            <w:pPr>
              <w:pStyle w:val="Compact"/>
              <w:jc w:val="left"/>
            </w:pPr>
            <w:r>
              <w:t xml:space="preserve">Control group comparison (see levels above)</w:t>
            </w:r>
          </w:p>
        </w:tc>
        <w:tc>
          <w:tcPr/>
          <w:p>
            <w:pPr>
              <w:pStyle w:val="Compact"/>
              <w:jc w:val="left"/>
            </w:pPr>
            <w:r>
              <w:t xml:space="preserve">45</w:t>
            </w:r>
          </w:p>
        </w:tc>
        <w:tc>
          <w:tcPr/>
          <w:p>
            <w:pPr>
              <w:pStyle w:val="Compact"/>
              <w:jc w:val="left"/>
            </w:pPr>
            <w:r>
              <w:t xml:space="preserve">175</w:t>
            </w:r>
          </w:p>
        </w:tc>
        <w:tc>
          <w:tcPr/>
          <w:p>
            <w:pPr>
              <w:pStyle w:val="Compact"/>
              <w:jc w:val="left"/>
            </w:pPr>
            <w:r>
              <w:t xml:space="preserve">–</w:t>
            </w:r>
          </w:p>
        </w:tc>
        <w:tc>
          <w:tcPr/>
          <w:p>
            <w:pPr>
              <w:pStyle w:val="Compact"/>
              <w:jc w:val="left"/>
            </w:pPr>
            <w:r>
              <w:t xml:space="preserve">–</w:t>
            </w:r>
          </w:p>
        </w:tc>
        <w:tc>
          <w:tcPr/>
          <w:p>
            <w:pPr>
              <w:pStyle w:val="Compact"/>
              <w:jc w:val="left"/>
            </w:pPr>
            <w:r>
              <w:t xml:space="preserve">0.2</w:t>
            </w:r>
          </w:p>
        </w:tc>
        <w:tc>
          <w:tcPr/>
          <w:p>
            <w:pPr>
              <w:pStyle w:val="Compact"/>
              <w:jc w:val="left"/>
            </w:pPr>
            <w:r>
              <w:t xml:space="preserve">.828</w:t>
            </w:r>
          </w:p>
        </w:tc>
      </w:tr>
      <w:tr>
        <w:tc>
          <w:tcPr/>
          <w:p>
            <w:pPr>
              <w:pStyle w:val="Compact"/>
              <w:jc w:val="left"/>
            </w:pPr>
            <w:r>
              <w:t xml:space="preserve">Design of demand characteristics manipulation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1.55</w:t>
            </w:r>
          </w:p>
        </w:tc>
        <w:tc>
          <w:tcPr/>
          <w:p>
            <w:pPr>
              <w:pStyle w:val="Compact"/>
              <w:jc w:val="left"/>
            </w:pPr>
            <w:r>
              <w:t xml:space="preserve">.240</w:t>
            </w:r>
          </w:p>
        </w:tc>
      </w:tr>
      <w:tr>
        <w:tc>
          <w:tcPr/>
          <w:p>
            <w:pPr>
              <w:pStyle w:val="Compact"/>
              <w:jc w:val="left"/>
            </w:pPr>
            <w:r>
              <w:t xml:space="preserve">     within-subjects</w:t>
            </w:r>
          </w:p>
        </w:tc>
        <w:tc>
          <w:tcPr/>
          <w:p>
            <w:pPr>
              <w:pStyle w:val="Compact"/>
              <w:jc w:val="left"/>
            </w:pPr>
            <w:r>
              <w:t xml:space="preserve">14</w:t>
            </w:r>
          </w:p>
        </w:tc>
        <w:tc>
          <w:tcPr/>
          <w:p>
            <w:pPr>
              <w:pStyle w:val="Compact"/>
              <w:jc w:val="left"/>
            </w:pPr>
            <w:r>
              <w:t xml:space="preserve">44</w:t>
            </w:r>
          </w:p>
        </w:tc>
        <w:tc>
          <w:tcPr/>
          <w:p>
            <w:pPr>
              <w:pStyle w:val="Compact"/>
              <w:jc w:val="left"/>
            </w:pPr>
            <w:r>
              <w:t xml:space="preserve">0.14</w:t>
            </w:r>
          </w:p>
        </w:tc>
        <w:tc>
          <w:tcPr/>
          <w:p>
            <w:pPr>
              <w:pStyle w:val="Compact"/>
              <w:jc w:val="left"/>
            </w:pPr>
            <w:r>
              <w:t xml:space="preserve">[0.02, 0.25]</w:t>
            </w:r>
          </w:p>
        </w:tc>
        <w:tc>
          <w:tcPr/>
          <w:p>
            <w:pPr>
              <w:pStyle w:val="Compact"/>
              <w:jc w:val="left"/>
            </w:pPr>
            <w:r>
              <w:t xml:space="preserve">7.07</w:t>
            </w:r>
          </w:p>
        </w:tc>
        <w:tc>
          <w:tcPr/>
          <w:p>
            <w:pPr>
              <w:pStyle w:val="Compact"/>
              <w:jc w:val="left"/>
            </w:pPr>
            <w:r>
              <w:t xml:space="preserve">.020</w:t>
            </w:r>
          </w:p>
        </w:tc>
      </w:tr>
      <w:tr>
        <w:tc>
          <w:tcPr/>
          <w:p>
            <w:pPr>
              <w:pStyle w:val="Compact"/>
              <w:jc w:val="left"/>
            </w:pPr>
            <w:r>
              <w:t xml:space="preserve">     between-subjects</w:t>
            </w:r>
          </w:p>
        </w:tc>
        <w:tc>
          <w:tcPr/>
          <w:p>
            <w:pPr>
              <w:pStyle w:val="Compact"/>
              <w:jc w:val="left"/>
            </w:pPr>
            <w:r>
              <w:t xml:space="preserve">45</w:t>
            </w:r>
          </w:p>
        </w:tc>
        <w:tc>
          <w:tcPr/>
          <w:p>
            <w:pPr>
              <w:pStyle w:val="Compact"/>
              <w:jc w:val="left"/>
            </w:pPr>
            <w:r>
              <w:t xml:space="preserve">209</w:t>
            </w:r>
          </w:p>
        </w:tc>
        <w:tc>
          <w:tcPr/>
          <w:p>
            <w:pPr>
              <w:pStyle w:val="Compact"/>
              <w:jc w:val="left"/>
            </w:pPr>
            <w:r>
              <w:t xml:space="preserve">0.22</w:t>
            </w:r>
          </w:p>
        </w:tc>
        <w:tc>
          <w:tcPr/>
          <w:p>
            <w:pPr>
              <w:pStyle w:val="Compact"/>
              <w:jc w:val="left"/>
            </w:pPr>
            <w:r>
              <w:t xml:space="preserve">[0.11, 0.34]</w:t>
            </w:r>
          </w:p>
        </w:tc>
        <w:tc>
          <w:tcPr/>
          <w:p>
            <w:pPr>
              <w:pStyle w:val="Compact"/>
              <w:jc w:val="left"/>
            </w:pPr>
            <w:r>
              <w:t xml:space="preserve">14.65</w:t>
            </w:r>
          </w:p>
        </w:tc>
        <w:tc>
          <w:tcPr/>
          <w:p>
            <w:pPr>
              <w:pStyle w:val="Compact"/>
              <w:jc w:val="left"/>
            </w:pPr>
            <w:r>
              <w:t xml:space="preserve">&lt; .001</w:t>
            </w:r>
          </w:p>
        </w:tc>
      </w:tr>
      <w:tr>
        <w:tc>
          <w:tcPr/>
          <w:p>
            <w:pPr>
              <w:pStyle w:val="Compact"/>
              <w:jc w:val="left"/>
            </w:pPr>
            <w:r>
              <w:t xml:space="preserve">Participant pool</w:t>
            </w:r>
          </w:p>
        </w:tc>
        <w:tc>
          <w:tcPr/>
          <w:p>
            <w:pPr>
              <w:pStyle w:val="Compact"/>
              <w:jc w:val="left"/>
            </w:pPr>
            <w:r>
              <w:t xml:space="preserve">49</w:t>
            </w:r>
          </w:p>
        </w:tc>
        <w:tc>
          <w:tcPr/>
          <w:p>
            <w:pPr>
              <w:pStyle w:val="Compact"/>
              <w:jc w:val="left"/>
            </w:pPr>
            <w:r>
              <w:t xml:space="preserve">205</w:t>
            </w:r>
          </w:p>
        </w:tc>
        <w:tc>
          <w:tcPr/>
          <w:p>
            <w:pPr>
              <w:pStyle w:val="Compact"/>
              <w:jc w:val="left"/>
            </w:pPr>
            <w:r>
              <w:t xml:space="preserve">–</w:t>
            </w:r>
          </w:p>
        </w:tc>
        <w:tc>
          <w:tcPr/>
          <w:p>
            <w:pPr>
              <w:pStyle w:val="Compact"/>
              <w:jc w:val="left"/>
            </w:pPr>
            <w:r>
              <w:t xml:space="preserve">–</w:t>
            </w:r>
          </w:p>
        </w:tc>
        <w:tc>
          <w:tcPr/>
          <w:p>
            <w:pPr>
              <w:pStyle w:val="Compact"/>
              <w:jc w:val="left"/>
            </w:pPr>
            <w:r>
              <w:t xml:space="preserve">2.44</w:t>
            </w:r>
          </w:p>
        </w:tc>
        <w:tc>
          <w:tcPr/>
          <w:p>
            <w:pPr>
              <w:pStyle w:val="Compact"/>
              <w:jc w:val="left"/>
            </w:pPr>
            <w:r>
              <w:t xml:space="preserve">.282</w:t>
            </w:r>
          </w:p>
        </w:tc>
      </w:tr>
      <w:tr>
        <w:tc>
          <w:tcPr/>
          <w:p>
            <w:pPr>
              <w:pStyle w:val="Compact"/>
              <w:jc w:val="left"/>
            </w:pPr>
            <w:r>
              <w:t xml:space="preserve">     students</w:t>
            </w:r>
          </w:p>
        </w:tc>
        <w:tc>
          <w:tcPr/>
          <w:p>
            <w:pPr>
              <w:pStyle w:val="Compact"/>
              <w:jc w:val="left"/>
            </w:pPr>
            <w:r>
              <w:t xml:space="preserve">36</w:t>
            </w:r>
          </w:p>
        </w:tc>
        <w:tc>
          <w:tcPr/>
          <w:p>
            <w:pPr>
              <w:pStyle w:val="Compact"/>
              <w:jc w:val="left"/>
            </w:pPr>
            <w:r>
              <w:t xml:space="preserve">160</w:t>
            </w:r>
          </w:p>
        </w:tc>
        <w:tc>
          <w:tcPr/>
          <w:p>
            <w:pPr>
              <w:pStyle w:val="Compact"/>
              <w:jc w:val="left"/>
            </w:pPr>
            <w:r>
              <w:t xml:space="preserve">0.26</w:t>
            </w:r>
          </w:p>
        </w:tc>
        <w:tc>
          <w:tcPr/>
          <w:p>
            <w:pPr>
              <w:pStyle w:val="Compact"/>
              <w:jc w:val="left"/>
            </w:pPr>
            <w:r>
              <w:t xml:space="preserve">[0.13, 0.4]</w:t>
            </w:r>
          </w:p>
        </w:tc>
        <w:tc>
          <w:tcPr/>
          <w:p>
            <w:pPr>
              <w:pStyle w:val="Compact"/>
              <w:jc w:val="left"/>
            </w:pPr>
            <w:r>
              <w:t xml:space="preserve">15.99</w:t>
            </w:r>
          </w:p>
        </w:tc>
        <w:tc>
          <w:tcPr/>
          <w:p>
            <w:pPr>
              <w:pStyle w:val="Compact"/>
              <w:jc w:val="left"/>
            </w:pPr>
            <w:r>
              <w:t xml:space="preserve">&lt; .001</w:t>
            </w:r>
          </w:p>
        </w:tc>
      </w:tr>
      <w:tr>
        <w:tc>
          <w:tcPr/>
          <w:p>
            <w:pPr>
              <w:pStyle w:val="Compact"/>
              <w:jc w:val="left"/>
            </w:pPr>
            <w:r>
              <w:t xml:space="preserve">     non-students</w:t>
            </w:r>
          </w:p>
        </w:tc>
        <w:tc>
          <w:tcPr/>
          <w:p>
            <w:pPr>
              <w:pStyle w:val="Compact"/>
              <w:jc w:val="left"/>
            </w:pPr>
            <w:r>
              <w:t xml:space="preserve">12</w:t>
            </w:r>
          </w:p>
        </w:tc>
        <w:tc>
          <w:tcPr/>
          <w:p>
            <w:pPr>
              <w:pStyle w:val="Compact"/>
              <w:jc w:val="left"/>
            </w:pPr>
            <w:r>
              <w:t xml:space="preserve">26</w:t>
            </w:r>
          </w:p>
        </w:tc>
        <w:tc>
          <w:tcPr/>
          <w:p>
            <w:pPr>
              <w:pStyle w:val="Compact"/>
              <w:jc w:val="left"/>
            </w:pPr>
            <w:r>
              <w:t xml:space="preserve">0.05</w:t>
            </w:r>
          </w:p>
        </w:tc>
        <w:tc>
          <w:tcPr/>
          <w:p>
            <w:pPr>
              <w:pStyle w:val="Compact"/>
              <w:jc w:val="left"/>
            </w:pPr>
            <w:r>
              <w:t xml:space="preserve">[-0.06, 0.16]</w:t>
            </w:r>
          </w:p>
        </w:tc>
        <w:tc>
          <w:tcPr/>
          <w:p>
            <w:pPr>
              <w:pStyle w:val="Compact"/>
              <w:jc w:val="left"/>
            </w:pPr>
            <w:r>
              <w:t xml:space="preserve">1.08</w:t>
            </w:r>
          </w:p>
        </w:tc>
        <w:tc>
          <w:tcPr/>
          <w:p>
            <w:pPr>
              <w:pStyle w:val="Compact"/>
              <w:jc w:val="left"/>
            </w:pPr>
            <w:r>
              <w:t xml:space="preserve">.323</w:t>
            </w:r>
          </w:p>
        </w:tc>
      </w:tr>
      <w:tr>
        <w:tc>
          <w:tcPr/>
          <w:p>
            <w:pPr>
              <w:pStyle w:val="Compact"/>
              <w:jc w:val="left"/>
            </w:pPr>
            <w:r>
              <w:t xml:space="preserve">     mix</w:t>
            </w:r>
          </w:p>
        </w:tc>
        <w:tc>
          <w:tcPr/>
          <w:p>
            <w:pPr>
              <w:pStyle w:val="Compact"/>
              <w:jc w:val="left"/>
            </w:pPr>
            <w:r>
              <w:t xml:space="preserve">2</w:t>
            </w:r>
          </w:p>
        </w:tc>
        <w:tc>
          <w:tcPr/>
          <w:p>
            <w:pPr>
              <w:pStyle w:val="Compact"/>
              <w:jc w:val="left"/>
            </w:pPr>
            <w:r>
              <w:t xml:space="preserve">19</w:t>
            </w:r>
          </w:p>
        </w:tc>
        <w:tc>
          <w:tcPr/>
          <w:p>
            <w:pPr>
              <w:pStyle w:val="Compact"/>
              <w:jc w:val="left"/>
            </w:pPr>
            <w:r>
              <w:t xml:space="preserve">0.05</w:t>
            </w:r>
          </w:p>
        </w:tc>
        <w:tc>
          <w:tcPr/>
          <w:p>
            <w:pPr>
              <w:pStyle w:val="Compact"/>
              <w:jc w:val="left"/>
            </w:pPr>
            <w:r>
              <w:t xml:space="preserve">[-1, 1.09]</w:t>
            </w:r>
          </w:p>
        </w:tc>
        <w:tc>
          <w:tcPr/>
          <w:p>
            <w:pPr>
              <w:pStyle w:val="Compact"/>
              <w:jc w:val="left"/>
            </w:pPr>
            <w:r>
              <w:t xml:space="preserve">0.3</w:t>
            </w:r>
          </w:p>
        </w:tc>
        <w:tc>
          <w:tcPr/>
          <w:p>
            <w:pPr>
              <w:pStyle w:val="Compact"/>
              <w:jc w:val="left"/>
            </w:pPr>
            <w:r>
              <w:t xml:space="preserve">.680</w:t>
            </w:r>
          </w:p>
        </w:tc>
      </w:tr>
      <w:tr>
        <w:tc>
          <w:tcPr/>
          <w:p>
            <w:pPr>
              <w:pStyle w:val="Compact"/>
              <w:jc w:val="left"/>
            </w:pPr>
            <w:r>
              <w:t xml:space="preserve">Setting</w:t>
            </w:r>
          </w:p>
        </w:tc>
        <w:tc>
          <w:tcPr/>
          <w:p>
            <w:pPr>
              <w:pStyle w:val="Compact"/>
              <w:jc w:val="left"/>
            </w:pPr>
            <w:r>
              <w:t xml:space="preserve">50</w:t>
            </w:r>
          </w:p>
        </w:tc>
        <w:tc>
          <w:tcPr/>
          <w:p>
            <w:pPr>
              <w:pStyle w:val="Compact"/>
              <w:jc w:val="left"/>
            </w:pPr>
            <w:r>
              <w:t xml:space="preserve">240</w:t>
            </w:r>
          </w:p>
        </w:tc>
        <w:tc>
          <w:tcPr/>
          <w:p>
            <w:pPr>
              <w:pStyle w:val="Compact"/>
              <w:jc w:val="left"/>
            </w:pPr>
            <w:r>
              <w:t xml:space="preserve">–</w:t>
            </w:r>
          </w:p>
        </w:tc>
        <w:tc>
          <w:tcPr/>
          <w:p>
            <w:pPr>
              <w:pStyle w:val="Compact"/>
              <w:jc w:val="left"/>
            </w:pPr>
            <w:r>
              <w:t xml:space="preserve">–</w:t>
            </w:r>
          </w:p>
        </w:tc>
        <w:tc>
          <w:tcPr/>
          <w:p>
            <w:pPr>
              <w:pStyle w:val="Compact"/>
              <w:jc w:val="left"/>
            </w:pPr>
            <w:r>
              <w:t xml:space="preserve">4.81</w:t>
            </w:r>
          </w:p>
        </w:tc>
        <w:tc>
          <w:tcPr/>
          <w:p>
            <w:pPr>
              <w:pStyle w:val="Compact"/>
              <w:jc w:val="left"/>
            </w:pPr>
            <w:r>
              <w:t xml:space="preserve">.036</w:t>
            </w:r>
          </w:p>
        </w:tc>
      </w:tr>
      <w:tr>
        <w:tc>
          <w:tcPr/>
          <w:p>
            <w:pPr>
              <w:pStyle w:val="Compact"/>
              <w:jc w:val="left"/>
            </w:pPr>
            <w:r>
              <w:t xml:space="preserve">     online</w:t>
            </w:r>
          </w:p>
        </w:tc>
        <w:tc>
          <w:tcPr/>
          <w:p>
            <w:pPr>
              <w:pStyle w:val="Compact"/>
              <w:jc w:val="left"/>
            </w:pPr>
            <w:r>
              <w:t xml:space="preserve">18</w:t>
            </w:r>
          </w:p>
        </w:tc>
        <w:tc>
          <w:tcPr/>
          <w:p>
            <w:pPr>
              <w:pStyle w:val="Compact"/>
              <w:jc w:val="left"/>
            </w:pPr>
            <w:r>
              <w:t xml:space="preserve">52</w:t>
            </w:r>
          </w:p>
        </w:tc>
        <w:tc>
          <w:tcPr/>
          <w:p>
            <w:pPr>
              <w:pStyle w:val="Compact"/>
              <w:jc w:val="left"/>
            </w:pPr>
            <w:r>
              <w:t xml:space="preserve">0.1</w:t>
            </w:r>
          </w:p>
        </w:tc>
        <w:tc>
          <w:tcPr/>
          <w:p>
            <w:pPr>
              <w:pStyle w:val="Compact"/>
              <w:jc w:val="left"/>
            </w:pPr>
            <w:r>
              <w:t xml:space="preserve">[0.01, 0.19]</w:t>
            </w:r>
          </w:p>
        </w:tc>
        <w:tc>
          <w:tcPr/>
          <w:p>
            <w:pPr>
              <w:pStyle w:val="Compact"/>
              <w:jc w:val="left"/>
            </w:pPr>
            <w:r>
              <w:t xml:space="preserve">5.68</w:t>
            </w:r>
          </w:p>
        </w:tc>
        <w:tc>
          <w:tcPr/>
          <w:p>
            <w:pPr>
              <w:pStyle w:val="Compact"/>
              <w:jc w:val="left"/>
            </w:pPr>
            <w:r>
              <w:t xml:space="preserve">.030</w:t>
            </w:r>
          </w:p>
        </w:tc>
      </w:tr>
      <w:tr>
        <w:tc>
          <w:tcPr/>
          <w:p>
            <w:pPr>
              <w:pStyle w:val="Compact"/>
              <w:jc w:val="left"/>
            </w:pPr>
            <w:r>
              <w:t xml:space="preserve">     in-person</w:t>
            </w:r>
          </w:p>
        </w:tc>
        <w:tc>
          <w:tcPr/>
          <w:p>
            <w:pPr>
              <w:pStyle w:val="Compact"/>
              <w:jc w:val="left"/>
            </w:pPr>
            <w:r>
              <w:t xml:space="preserve">33</w:t>
            </w:r>
          </w:p>
        </w:tc>
        <w:tc>
          <w:tcPr/>
          <w:p>
            <w:pPr>
              <w:pStyle w:val="Compact"/>
              <w:jc w:val="left"/>
            </w:pPr>
            <w:r>
              <w:t xml:space="preserve">188</w:t>
            </w:r>
          </w:p>
        </w:tc>
        <w:tc>
          <w:tcPr/>
          <w:p>
            <w:pPr>
              <w:pStyle w:val="Compact"/>
              <w:jc w:val="left"/>
            </w:pPr>
            <w:r>
              <w:t xml:space="preserve">0.29</w:t>
            </w:r>
          </w:p>
        </w:tc>
        <w:tc>
          <w:tcPr/>
          <w:p>
            <w:pPr>
              <w:pStyle w:val="Compact"/>
              <w:jc w:val="left"/>
            </w:pPr>
            <w:r>
              <w:t xml:space="preserve">[0.14, 0.44]</w:t>
            </w:r>
          </w:p>
        </w:tc>
        <w:tc>
          <w:tcPr/>
          <w:p>
            <w:pPr>
              <w:pStyle w:val="Compact"/>
              <w:jc w:val="left"/>
            </w:pPr>
            <w:r>
              <w:t xml:space="preserve">15.49</w:t>
            </w:r>
          </w:p>
        </w:tc>
        <w:tc>
          <w:tcPr/>
          <w:p>
            <w:pPr>
              <w:pStyle w:val="Compact"/>
              <w:jc w:val="left"/>
            </w:pPr>
            <w:r>
              <w:t xml:space="preserve">&lt; .001</w:t>
            </w:r>
          </w:p>
        </w:tc>
      </w:tr>
      <w:tr>
        <w:tc>
          <w:tcPr/>
          <w:p>
            <w:pPr>
              <w:pStyle w:val="Compact"/>
              <w:jc w:val="left"/>
            </w:pPr>
            <w:r>
              <w:t xml:space="preserve">Payment</w:t>
            </w:r>
          </w:p>
        </w:tc>
        <w:tc>
          <w:tcPr/>
          <w:p>
            <w:pPr>
              <w:pStyle w:val="Compact"/>
              <w:jc w:val="left"/>
            </w:pPr>
            <w:r>
              <w:t xml:space="preserve">49</w:t>
            </w:r>
          </w:p>
        </w:tc>
        <w:tc>
          <w:tcPr/>
          <w:p>
            <w:pPr>
              <w:pStyle w:val="Compact"/>
              <w:jc w:val="left"/>
            </w:pPr>
            <w:r>
              <w:t xml:space="preserve">213</w:t>
            </w:r>
          </w:p>
        </w:tc>
        <w:tc>
          <w:tcPr/>
          <w:p>
            <w:pPr>
              <w:pStyle w:val="Compact"/>
              <w:jc w:val="left"/>
            </w:pPr>
            <w:r>
              <w:t xml:space="preserve">–</w:t>
            </w:r>
          </w:p>
        </w:tc>
        <w:tc>
          <w:tcPr/>
          <w:p>
            <w:pPr>
              <w:pStyle w:val="Compact"/>
              <w:jc w:val="left"/>
            </w:pPr>
            <w:r>
              <w:t xml:space="preserve">–</w:t>
            </w:r>
          </w:p>
        </w:tc>
        <w:tc>
          <w:tcPr/>
          <w:p>
            <w:pPr>
              <w:pStyle w:val="Compact"/>
              <w:jc w:val="left"/>
            </w:pPr>
            <w:r>
              <w:t xml:space="preserve">0.55</w:t>
            </w:r>
          </w:p>
        </w:tc>
        <w:tc>
          <w:tcPr/>
          <w:p>
            <w:pPr>
              <w:pStyle w:val="Compact"/>
              <w:jc w:val="left"/>
            </w:pPr>
            <w:r>
              <w:t xml:space="preserve">.465</w:t>
            </w:r>
          </w:p>
        </w:tc>
      </w:tr>
      <w:tr>
        <w:tc>
          <w:tcPr/>
          <w:p>
            <w:pPr>
              <w:pStyle w:val="Compact"/>
              <w:jc w:val="left"/>
            </w:pPr>
            <w:r>
              <w:t xml:space="preserve">     yes</w:t>
            </w:r>
          </w:p>
        </w:tc>
        <w:tc>
          <w:tcPr/>
          <w:p>
            <w:pPr>
              <w:pStyle w:val="Compact"/>
              <w:jc w:val="left"/>
            </w:pPr>
            <w:r>
              <w:t xml:space="preserve">13</w:t>
            </w:r>
          </w:p>
        </w:tc>
        <w:tc>
          <w:tcPr/>
          <w:p>
            <w:pPr>
              <w:pStyle w:val="Compact"/>
              <w:jc w:val="left"/>
            </w:pPr>
            <w:r>
              <w:t xml:space="preserve">50</w:t>
            </w:r>
          </w:p>
        </w:tc>
        <w:tc>
          <w:tcPr/>
          <w:p>
            <w:pPr>
              <w:pStyle w:val="Compact"/>
              <w:jc w:val="left"/>
            </w:pPr>
            <w:r>
              <w:t xml:space="preserve">0.13</w:t>
            </w:r>
          </w:p>
        </w:tc>
        <w:tc>
          <w:tcPr/>
          <w:p>
            <w:pPr>
              <w:pStyle w:val="Compact"/>
              <w:jc w:val="left"/>
            </w:pPr>
            <w:r>
              <w:t xml:space="preserve">[0, 0.26]</w:t>
            </w:r>
          </w:p>
        </w:tc>
        <w:tc>
          <w:tcPr/>
          <w:p>
            <w:pPr>
              <w:pStyle w:val="Compact"/>
              <w:jc w:val="left"/>
            </w:pPr>
            <w:r>
              <w:t xml:space="preserve">4.92</w:t>
            </w:r>
          </w:p>
        </w:tc>
        <w:tc>
          <w:tcPr/>
          <w:p>
            <w:pPr>
              <w:pStyle w:val="Compact"/>
              <w:jc w:val="left"/>
            </w:pPr>
            <w:r>
              <w:t xml:space="preserve">.047</w:t>
            </w:r>
          </w:p>
        </w:tc>
      </w:tr>
      <w:tr>
        <w:tc>
          <w:tcPr/>
          <w:p>
            <w:pPr>
              <w:pStyle w:val="Compact"/>
              <w:jc w:val="left"/>
            </w:pPr>
            <w:r>
              <w:t xml:space="preserve">     no</w:t>
            </w:r>
          </w:p>
        </w:tc>
        <w:tc>
          <w:tcPr/>
          <w:p>
            <w:pPr>
              <w:pStyle w:val="Compact"/>
              <w:jc w:val="left"/>
            </w:pPr>
            <w:r>
              <w:t xml:space="preserve">37</w:t>
            </w:r>
          </w:p>
        </w:tc>
        <w:tc>
          <w:tcPr/>
          <w:p>
            <w:pPr>
              <w:pStyle w:val="Compact"/>
              <w:jc w:val="left"/>
            </w:pPr>
            <w:r>
              <w:t xml:space="preserve">163</w:t>
            </w:r>
          </w:p>
        </w:tc>
        <w:tc>
          <w:tcPr/>
          <w:p>
            <w:pPr>
              <w:pStyle w:val="Compact"/>
              <w:jc w:val="left"/>
            </w:pPr>
            <w:r>
              <w:t xml:space="preserve">0.19</w:t>
            </w:r>
          </w:p>
        </w:tc>
        <w:tc>
          <w:tcPr/>
          <w:p>
            <w:pPr>
              <w:pStyle w:val="Compact"/>
              <w:jc w:val="left"/>
            </w:pPr>
            <w:r>
              <w:t xml:space="preserve">[0.08, 0.31]</w:t>
            </w:r>
          </w:p>
        </w:tc>
        <w:tc>
          <w:tcPr/>
          <w:p>
            <w:pPr>
              <w:pStyle w:val="Compact"/>
              <w:jc w:val="left"/>
            </w:pPr>
            <w:r>
              <w:t xml:space="preserve">11.71</w:t>
            </w:r>
          </w:p>
        </w:tc>
        <w:tc>
          <w:tcPr/>
          <w:p>
            <w:pPr>
              <w:pStyle w:val="Compact"/>
              <w:jc w:val="left"/>
            </w:pPr>
            <w:r>
              <w:t xml:space="preserve">.002</w:t>
            </w:r>
          </w:p>
        </w:tc>
      </w:tr>
      <w:tr>
        <w:tc>
          <w:tcPr/>
          <w:p>
            <w:pPr>
              <w:pStyle w:val="Compact"/>
              <w:jc w:val="left"/>
            </w:pPr>
            <w:r>
              <w:t xml:space="preserve">Publication status</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0.07</w:t>
            </w:r>
          </w:p>
        </w:tc>
        <w:tc>
          <w:tcPr/>
          <w:p>
            <w:pPr>
              <w:pStyle w:val="Compact"/>
              <w:jc w:val="left"/>
            </w:pPr>
            <w:r>
              <w:t xml:space="preserve">.801</w:t>
            </w:r>
          </w:p>
        </w:tc>
      </w:tr>
      <w:tr>
        <w:tc>
          <w:tcPr/>
          <w:p>
            <w:pPr>
              <w:pStyle w:val="Compact"/>
              <w:jc w:val="left"/>
            </w:pPr>
            <w:r>
              <w:t xml:space="preserve">     published</w:t>
            </w:r>
          </w:p>
        </w:tc>
        <w:tc>
          <w:tcPr/>
          <w:p>
            <w:pPr>
              <w:pStyle w:val="Compact"/>
              <w:jc w:val="left"/>
            </w:pPr>
            <w:r>
              <w:t xml:space="preserve">42</w:t>
            </w:r>
          </w:p>
        </w:tc>
        <w:tc>
          <w:tcPr/>
          <w:p>
            <w:pPr>
              <w:pStyle w:val="Compact"/>
              <w:jc w:val="left"/>
            </w:pPr>
            <w:r>
              <w:t xml:space="preserve">240</w:t>
            </w:r>
          </w:p>
        </w:tc>
        <w:tc>
          <w:tcPr/>
          <w:p>
            <w:pPr>
              <w:pStyle w:val="Compact"/>
              <w:jc w:val="left"/>
            </w:pPr>
            <w:r>
              <w:t xml:space="preserve">0.21</w:t>
            </w:r>
          </w:p>
        </w:tc>
        <w:tc>
          <w:tcPr/>
          <w:p>
            <w:pPr>
              <w:pStyle w:val="Compact"/>
              <w:jc w:val="left"/>
            </w:pPr>
            <w:r>
              <w:t xml:space="preserve">[0.11, 0.31]</w:t>
            </w:r>
          </w:p>
        </w:tc>
        <w:tc>
          <w:tcPr/>
          <w:p>
            <w:pPr>
              <w:pStyle w:val="Compact"/>
              <w:jc w:val="left"/>
            </w:pPr>
            <w:r>
              <w:t xml:space="preserve">18.98</w:t>
            </w:r>
          </w:p>
        </w:tc>
        <w:tc>
          <w:tcPr/>
          <w:p>
            <w:pPr>
              <w:pStyle w:val="Compact"/>
              <w:jc w:val="left"/>
            </w:pPr>
            <w:r>
              <w:t xml:space="preserve">&lt; .001</w:t>
            </w:r>
          </w:p>
        </w:tc>
      </w:tr>
      <w:tr>
        <w:tc>
          <w:tcPr/>
          <w:p>
            <w:pPr>
              <w:pStyle w:val="Compact"/>
              <w:jc w:val="left"/>
            </w:pPr>
            <w:r>
              <w:t xml:space="preserve">     unpublished</w:t>
            </w:r>
          </w:p>
        </w:tc>
        <w:tc>
          <w:tcPr/>
          <w:p>
            <w:pPr>
              <w:pStyle w:val="Compact"/>
              <w:jc w:val="left"/>
            </w:pPr>
            <w:r>
              <w:t xml:space="preserve">11</w:t>
            </w:r>
          </w:p>
        </w:tc>
        <w:tc>
          <w:tcPr/>
          <w:p>
            <w:pPr>
              <w:pStyle w:val="Compact"/>
              <w:jc w:val="left"/>
            </w:pPr>
            <w:r>
              <w:t xml:space="preserve">13</w:t>
            </w:r>
          </w:p>
        </w:tc>
        <w:tc>
          <w:tcPr/>
          <w:p>
            <w:pPr>
              <w:pStyle w:val="Compact"/>
              <w:jc w:val="left"/>
            </w:pPr>
            <w:r>
              <w:t xml:space="preserve">0.17</w:t>
            </w:r>
          </w:p>
        </w:tc>
        <w:tc>
          <w:tcPr/>
          <w:p>
            <w:pPr>
              <w:pStyle w:val="Compact"/>
              <w:jc w:val="left"/>
            </w:pPr>
            <w:r>
              <w:t xml:space="preserve">[-0.17, 0.51]</w:t>
            </w:r>
          </w:p>
        </w:tc>
        <w:tc>
          <w:tcPr/>
          <w:p>
            <w:pPr>
              <w:pStyle w:val="Compact"/>
              <w:jc w:val="left"/>
            </w:pPr>
            <w:r>
              <w:t xml:space="preserve">1.26</w:t>
            </w:r>
          </w:p>
        </w:tc>
        <w:tc>
          <w:tcPr/>
          <w:p>
            <w:pPr>
              <w:pStyle w:val="Compact"/>
              <w:jc w:val="left"/>
            </w:pPr>
            <w:r>
              <w:t xml:space="preserve">.289</w:t>
            </w:r>
          </w:p>
        </w:tc>
      </w:tr>
    </w:tbl>
    <w:p>
      <w:pPr>
        <w:pStyle w:val="table-note"/>
      </w:pPr>
      <w:r>
        <w:rPr>
          <w:i/>
          <w:iCs/>
        </w:rPr>
        <w:t xml:space="preserve">Note.</w:t>
      </w:r>
      <w:r>
        <w:t xml:space="preserve"> </w:t>
      </w:r>
      <w:r>
        <w:t xml:space="preserve">s = number of studies; k = number of effect size estimates; g = Hedge’s g; 95% CI corresponds to the estimated value of Hedge’s g; F-values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pPr>
        <w:pStyle w:val="Textkrper"/>
      </w:pPr>
      <w:r>
        <w:t xml:space="preserve"> </w:t>
      </w:r>
    </w:p>
    <w:bookmarkStart w:id="42" w:name="residual-variability"/>
    <w:p>
      <w:pPr>
        <w:pStyle w:val="berschrift5"/>
      </w:pPr>
      <w:r>
        <w:t xml:space="preserve">Residual variability.</w:t>
      </w:r>
    </w:p>
    <w:p>
      <w:pPr>
        <w:pStyle w:val="FirstParagraph"/>
      </w:pPr>
      <w:r>
        <w:t xml:space="preserve">To evaluate how much in-sample variability in the effects of EDCs is currently accounted for by study feature moderators,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bookmarkEnd w:id="42"/>
    <w:bookmarkEnd w:id="43"/>
    <w:bookmarkEnd w:id="44"/>
    <w:bookmarkStart w:id="49" w:name="publication-bias-analyses-1"/>
    <w:p>
      <w:pPr>
        <w:pStyle w:val="berschrift3"/>
      </w:pPr>
      <w:r>
        <w:t xml:space="preserve">Publication bias analyses.</w:t>
      </w:r>
    </w:p>
    <w:p>
      <w:pPr>
        <w:pStyle w:val="FirstParagraph"/>
      </w:pPr>
      <w:r>
        <w:t xml:space="preserve">Overall, publication bias analyses were inconclusive. Both PET with 3LMA (</w:t>
      </w:r>
      <m:oMath>
        <m:r>
          <m:t>β</m:t>
        </m:r>
      </m:oMath>
      <w:r>
        <w:t xml:space="preserve"> </w:t>
      </w:r>
      <w:r>
        <w:t xml:space="preserve">= 0.65, 95% CI [-0.02, 1.31],</w:t>
      </w:r>
      <w:r>
        <w:t xml:space="preserve"> </w:t>
      </w:r>
      <m:oMath>
        <m:r>
          <m:t>p</m:t>
        </m:r>
      </m:oMath>
      <w:r>
        <w:t xml:space="preserve"> </w:t>
      </w:r>
      <w:r>
        <w:t xml:space="preserve">= .057) and aggregated dependencies (</w:t>
      </w:r>
      <m:oMath>
        <m:r>
          <m:t>β</m:t>
        </m:r>
      </m:oMath>
      <w:r>
        <w:t xml:space="preserve"> </w:t>
      </w:r>
      <w:r>
        <w:t xml:space="preserve">= 0.09, 95% CI [-0.81, 1.00],</w:t>
      </w:r>
      <w:r>
        <w:t xml:space="preserve"> </w:t>
      </w:r>
      <m:oMath>
        <m:r>
          <m:t>p</m:t>
        </m:r>
      </m:oMath>
      <w:r>
        <w:t xml:space="preserve"> </w:t>
      </w:r>
      <w:r>
        <w:t xml:space="preserve">= .844) estimated that publication bias that favored hypothesis-consistent shifts in participants’ responses. The estimate, however, was only statistically significant when using 3LMA. The bias-corrected overall effect size estimates with both 3LMA (</w:t>
      </w:r>
      <m:oMath>
        <m:r>
          <m:t>g</m:t>
        </m:r>
      </m:oMath>
      <w:r>
        <w:t xml:space="preserve"> </w:t>
      </w:r>
      <w:r>
        <w:t xml:space="preserve">= 0.06, 95% CI [-0.12, 0.23],</w:t>
      </w:r>
      <w:r>
        <w:t xml:space="preserve"> </w:t>
      </w:r>
      <m:oMath>
        <m:r>
          <m:t>p</m:t>
        </m:r>
      </m:oMath>
      <w:r>
        <w:t xml:space="preserve"> </w:t>
      </w:r>
      <w:r>
        <w:t xml:space="preserve">= .535) and aggregated dependencies (</w:t>
      </w:r>
      <m:oMath>
        <m:r>
          <m:t>g</m:t>
        </m:r>
      </m:oMath>
      <w:r>
        <w:t xml:space="preserve"> </w:t>
      </w:r>
      <w:r>
        <w:t xml:space="preserve">= 0.15, 95% CI [-0.03, 0.33],</w:t>
      </w:r>
      <w:r>
        <w:t xml:space="preserve"> </w:t>
      </w:r>
      <m:oMath>
        <m:r>
          <m:t>p</m:t>
        </m:r>
      </m:oMath>
      <w:r>
        <w:t xml:space="preserve"> </w:t>
      </w:r>
      <w:r>
        <w:t xml:space="preserve">= .107)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w:t>
      </w:r>
      <w:r>
        <w:t xml:space="preserve"> </w:t>
      </w:r>
      <w:r>
        <w:t xml:space="preserve">3</w:t>
      </w:r>
      <w:r>
        <w:t xml:space="preserve">).</w:t>
      </w:r>
    </w:p>
    <w:p>
      <w:pPr>
        <w:pStyle w:val="Textkrper"/>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participants’ responses,</w:t>
      </w:r>
      <w:r>
        <w:t xml:space="preserve"> </w:t>
      </w:r>
      <m:oMath>
        <m:sSup>
          <m:e>
            <m:r>
              <m:t>χ</m:t>
            </m:r>
          </m:e>
          <m:sup>
            <m:r>
              <m:t>2</m:t>
            </m:r>
          </m:sup>
        </m:sSup>
      </m:oMath>
      <w:r>
        <w:t xml:space="preserve">(1) = 6.50,</w:t>
      </w:r>
      <w:r>
        <w:t xml:space="preserve"> </w:t>
      </w:r>
      <m:oMath>
        <m:r>
          <m:t>p</m:t>
        </m:r>
      </m:oMath>
      <w:r>
        <w:t xml:space="preserve"> </w:t>
      </w:r>
      <w:r>
        <w:t xml:space="preserve">= .01. The bias-corrected overall effect size was thus upward-adjusted,</w:t>
      </w:r>
      <w:r>
        <w:t xml:space="preserve"> </w:t>
      </w:r>
      <m:oMath>
        <m:r>
          <m:t>g</m:t>
        </m:r>
      </m:oMath>
      <w:r>
        <w:t xml:space="preserve"> </w:t>
      </w:r>
      <w:r>
        <w:t xml:space="preserve">= 0.32, 95% CI [0.15, 0.49],</w:t>
      </w:r>
      <w:r>
        <w:t xml:space="preserve"> </w:t>
      </w:r>
      <m:oMath>
        <m:r>
          <m:t>p</m:t>
        </m:r>
      </m:oMath>
      <w:r>
        <w:t xml:space="preserve"> </w:t>
      </w:r>
      <w:r>
        <w:t xml:space="preserve">&lt; .001. The discrepancy between precision-effect tests and weight-function modeling may be driven by the unusual distribution of the funnel plots (see Figure</w:t>
      </w:r>
      <w:r>
        <w:t xml:space="preserve"> </w:t>
      </w:r>
      <w:r>
        <w:t xml:space="preserve">3</w:t>
      </w:r>
      <w:r>
        <w:t xml:space="preserve">).</w:t>
      </w:r>
    </w:p>
    <w:p>
      <w:pPr>
        <w:pStyle w:val="Textkrper"/>
      </w:pPr>
      <w:r>
        <w:t xml:space="preserve">We did not find differences in the magnitude of demand effects between published (</w:t>
      </w:r>
      <m:oMath>
        <m:r>
          <m:t>g</m:t>
        </m:r>
      </m:oMath>
      <w:r>
        <w:t xml:space="preserve"> </w:t>
      </w:r>
      <w:r>
        <w:t xml:space="preserve">= 0.21, 95% CI [0.11, 0.31],</w:t>
      </w:r>
      <w:r>
        <w:t xml:space="preserve"> </w:t>
      </w:r>
      <m:oMath>
        <m:r>
          <m:t>p</m:t>
        </m:r>
      </m:oMath>
      <w:r>
        <w:t xml:space="preserve"> </w:t>
      </w:r>
      <w:r>
        <w:t xml:space="preserve">= &lt; .001) and unpublished (</w:t>
      </w:r>
      <m:oMath>
        <m:r>
          <m:t>g</m:t>
        </m:r>
      </m:oMath>
      <w:r>
        <w:t xml:space="preserve"> </w:t>
      </w:r>
      <w:r>
        <w:t xml:space="preserve">= 0.17, 95% CI [-0.17, 0.51],</w:t>
      </w:r>
      <w:r>
        <w:t xml:space="preserve"> </w:t>
      </w:r>
      <m:oMath>
        <m:r>
          <m:t>p</m:t>
        </m:r>
      </m:oMath>
      <w:r>
        <w:t xml:space="preserve"> </w:t>
      </w:r>
      <w:r>
        <w:t xml:space="preserve">= .289) studies,</w:t>
      </w:r>
      <w:r>
        <w:t xml:space="preserve"> </w:t>
      </w:r>
      <m:oMath>
        <m:r>
          <m:t>F</m:t>
        </m:r>
      </m:oMath>
      <w:r>
        <w:t xml:space="preserve">(1, 14.38) = 0.07,</w:t>
      </w:r>
      <w:r>
        <w:t xml:space="preserve"> </w:t>
      </w:r>
      <m:oMath>
        <m:r>
          <m:t>p</m:t>
        </m:r>
      </m:oMath>
      <w:r>
        <w:t xml:space="preserve"> </w:t>
      </w:r>
      <w:r>
        <w:t xml:space="preserve">= .801. If there is a biased selection of instances where participants responses shift in a hypothesis-consistent manner, sensitivity analyses indicated that it would have to be extreme selection pressure to make the effect size statistically non-significant</w:t>
      </w:r>
      <w:r>
        <w:t xml:space="preserve"> </w:t>
      </w:r>
      <w:r>
        <w:t xml:space="preserve">(Mathur &amp; VanderWeele, 2020b)</w:t>
      </w:r>
      <w:r>
        <w:t xml:space="preserve">. Even if hypothesis-consistent shifts were 10000000 times more likely to be published, the overall effect would still be 0.06, 95% CI [0.01, 0.12],</w:t>
      </w:r>
      <w:r>
        <w:t xml:space="preserve"> </w:t>
      </w:r>
      <w:r>
        <w:rPr>
          <w:i/>
          <w:iCs/>
        </w:rPr>
        <w:t xml:space="preserve">p</w:t>
      </w:r>
      <w:r>
        <w:t xml:space="preserve"> </w:t>
      </w:r>
      <w:r>
        <w:t xml:space="preserve">= .026.</w:t>
      </w:r>
    </w:p>
    <w:p>
      <w:pPr>
        <w:pStyle w:val="CaptionedFigure"/>
      </w:pPr>
      <w:r>
        <w:drawing>
          <wp:inline>
            <wp:extent cx="5969000" cy="3443653"/>
            <wp:effectExtent b="0" l="0" r="0" t="0"/>
            <wp:docPr descr="Figure 3: Raw (Panel A) or aggregated (Panel B) effect sizes plotted against their corresponding standard errors. Funnel plot is inverted to illustrate correspondence with slope estimates from precision-effect tests." title="" id="46" name="Picture"/>
            <a:graphic>
              <a:graphicData uri="http://schemas.openxmlformats.org/drawingml/2006/picture">
                <pic:pic>
                  <pic:nvPicPr>
                    <pic:cNvPr descr="metaware_manuscript_files/figure-docx/funnel-1.png" id="47" name="Picture"/>
                    <pic:cNvPicPr>
                      <a:picLocks noChangeArrowheads="1" noChangeAspect="1"/>
                    </pic:cNvPicPr>
                  </pic:nvPicPr>
                  <pic:blipFill>
                    <a:blip r:embed="rId45"/>
                    <a:stretch>
                      <a:fillRect/>
                    </a:stretch>
                  </pic:blipFill>
                  <pic:spPr bwMode="auto">
                    <a:xfrm>
                      <a:off x="0" y="0"/>
                      <a:ext cx="5969000" cy="3443653"/>
                    </a:xfrm>
                    <a:prstGeom prst="rect">
                      <a:avLst/>
                    </a:prstGeom>
                    <a:noFill/>
                    <a:ln w="9525">
                      <a:noFill/>
                      <a:headEnd/>
                      <a:tailEnd/>
                    </a:ln>
                  </pic:spPr>
                </pic:pic>
              </a:graphicData>
            </a:graphic>
          </wp:inline>
        </w:drawing>
      </w:r>
    </w:p>
    <w:p>
      <w:pPr>
        <w:pStyle w:val="ImageCaption"/>
      </w:pPr>
      <w:bookmarkStart w:id="48" w:name="fig:funnel"/>
      <w:bookmarkEnd w:id="48"/>
      <w:r>
        <w:rPr>
          <w:i/>
          <w:iCs/>
        </w:rPr>
        <w:t xml:space="preserve">Figure</w:t>
      </w:r>
      <w:r>
        <w:t xml:space="preserve"> </w:t>
      </w:r>
      <w:r>
        <w:t xml:space="preserve">3. Raw (Panel A) or aggregated (Panel B) effect sizes plotted against their corresponding standard errors. Funnel plot is inverted to illustrate correspondence with slope estimates from precision-effect tests.</w:t>
      </w:r>
    </w:p>
    <w:bookmarkEnd w:id="49"/>
    <w:bookmarkEnd w:id="50"/>
    <w:bookmarkEnd w:id="51"/>
    <w:bookmarkStart w:id="56" w:name="discussion"/>
    <w:p>
      <w:pPr>
        <w:pStyle w:val="berschrift1"/>
      </w:pPr>
      <w:r>
        <w:t xml:space="preserve">Discussion</w:t>
      </w:r>
    </w:p>
    <w:p>
      <w:pPr>
        <w:pStyle w:val="FirstParagraph"/>
      </w:pPr>
      <w:r>
        <w:t xml:space="preserve">In the</w:t>
      </w:r>
      <w:r>
        <w:t xml:space="preserve"> </w:t>
      </w:r>
      <w:r>
        <w:rPr>
          <w:i/>
          <w:iCs/>
        </w:rPr>
        <w:t xml:space="preserve">Introduction</w:t>
      </w:r>
      <w:r>
        <w:t xml:space="preserve">, we briefly reviewed studies that provide initial evidence of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 provides more formal evidence of this phenomenon. EDCs typically lead to small increases in hypothesis-consistent responding. However, such effects are heterogeneous – with prediction intervals ranging from a medium-sized increase to a medium-sized decrease in hypothesis-consistent responding.</w:t>
      </w:r>
    </w:p>
    <w:p>
      <w:pPr>
        <w:pStyle w:val="Textkrper"/>
      </w:pPr>
      <w:r>
        <w:t xml:space="preserve">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 However, we note that at least two unpublished studies have failed to generate reliable evidence of these mechanisms (for more information, see</w:t>
      </w:r>
      <w:r>
        <w:t xml:space="preserve"> </w:t>
      </w:r>
      <w:r>
        <w:rPr>
          <w:i/>
          <w:iCs/>
        </w:rPr>
        <w:t xml:space="preserve">Supplemental Information</w:t>
      </w:r>
      <w:r>
        <w:t xml:space="preserve">).</w:t>
      </w:r>
    </w:p>
    <w:p>
      <w:pPr>
        <w:pStyle w:val="Textkrper"/>
      </w:pPr>
      <w:r>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as the</w:t>
      </w:r>
      <w:r>
        <w:t xml:space="preserve"> </w:t>
      </w:r>
      <w:r>
        <w:t xml:space="preserve">“</w:t>
      </w:r>
      <w:r>
        <w:t xml:space="preserve">screw you effect</w:t>
      </w:r>
      <w:r>
        <w:t xml:space="preserve">”</w:t>
      </w:r>
      <w:r>
        <w:t xml:space="preserve"> </w:t>
      </w:r>
      <w:r>
        <w:t xml:space="preserve">(Masling, 1966). Our results provide mixed evidence for such assertions.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bookmarkStart w:id="52" w:name="limitations-and-future-directions"/>
    <w:p>
      <w:pPr>
        <w:pStyle w:val="berschrift2"/>
      </w:pPr>
      <w:r>
        <w:t xml:space="preserve">Limitations and Future Directions</w:t>
      </w:r>
    </w:p>
    <w:p>
      <w:pPr>
        <w:pStyle w:val="FirstParagraph"/>
      </w:pPr>
      <w:r>
        <w:t xml:space="preserve">As we worked to refine our own understanding of the methodological puzzle presented by demand characteristics, we encountered two major conceptual challenges: (1) varied operationalizations of demand characteristics, and (2) the commensurability of the existing evidence base.</w:t>
      </w:r>
    </w:p>
    <w:bookmarkEnd w:id="52"/>
    <w:bookmarkStart w:id="53" w:name="operationalizing-demand-characteristics"/>
    <w:p>
      <w:pPr>
        <w:pStyle w:val="berschrift2"/>
      </w:pPr>
      <w:r>
        <w:t xml:space="preserve">Operationalizing demand characteristics</w:t>
      </w:r>
    </w:p>
    <w:p>
      <w:pPr>
        <w:pStyle w:val="FirstParagraph"/>
      </w:pPr>
      <w:r>
        <w:t xml:space="preserve">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w:t>
      </w:r>
      <w:r>
        <w:t xml:space="preserve"> </w:t>
      </w:r>
      <w:r>
        <w:t xml:space="preserve">“</w:t>
      </w:r>
      <w:r>
        <w:t xml:space="preserve">…we came to regard putting input into a human subject as something akin to putting chemicals into a test tube. We are now coming to full awareness that the analogy holds only with the profound qualification that we are inevitably working with an unclean test tube.</w:t>
      </w:r>
      <w:r>
        <w:t xml:space="preserve">”</w:t>
      </w:r>
      <w:r>
        <w:t xml:space="preserve"> </w:t>
      </w:r>
      <w:r>
        <w:t xml:space="preserve">Unfortunately, one drawback of accepting a broad definition of demand characteristics is that you are left with a test tube believed to be contaminated by virtually everything.</w:t>
      </w:r>
    </w:p>
    <w:p>
      <w:pPr>
        <w:pStyle w:val="Textkrper"/>
      </w:pPr>
      <w:r>
        <w:t xml:space="preserve">By focusing on explicit demand characteristics (EDC), researchers have furthered their understanding of a specific type of contaminant. However, EDCs are not representative of the contaminants typically encountered in research with human subjects – where researchers often go through great lengths to not explicitly reveal their hypothesis. Our meta-analysis clearly rejects previous concerns that participants ignore (Orne, 1962) or react against (Orne, 2009)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bookmarkEnd w:id="53"/>
    <w:bookmarkStart w:id="54" w:name="commensurability"/>
    <w:p>
      <w:pPr>
        <w:pStyle w:val="berschrift2"/>
      </w:pPr>
      <w:r>
        <w:t xml:space="preserve">Commensurability</w:t>
      </w:r>
    </w:p>
    <w:p>
      <w:pPr>
        <w:pStyle w:val="FirstParagraph"/>
      </w:pPr>
      <w:r>
        <w:t xml:space="preserve">Even with our relatively narrow subset of the demand characteristics literature, we encountered commensurability challenges. Researchers have tested the effects of EDCs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cues within- (e.g., Martin, Sackur, &amp; Dienes, 2018) vs. between-subjects (e.g., Coles et al., 2022).</w:t>
      </w:r>
    </w:p>
    <w:p>
      <w:pPr>
        <w:pStyle w:val="Textkrper"/>
      </w:pPr>
      <w:r>
        <w:t xml:space="preserve">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Manipulating such differences systematically in the future (e.g., in an single experimental design) would help clarify which (if any) of these methodological decisions are most impactful.</w:t>
      </w:r>
    </w:p>
    <w:bookmarkEnd w:id="54"/>
    <w:bookmarkStart w:id="55" w:name="concluding-remarks"/>
    <w:p>
      <w:pPr>
        <w:pStyle w:val="berschrift2"/>
      </w:pPr>
      <w:r>
        <w:t xml:space="preserve">Concluding Remarks</w:t>
      </w:r>
    </w:p>
    <w:p>
      <w:pPr>
        <w:pStyle w:val="FirstParagraph"/>
      </w:pPr>
      <w:r>
        <w:t xml:space="preserve">Since</w:t>
      </w:r>
      <w:r>
        <w:t xml:space="preserve"> </w:t>
      </w:r>
      <w:r>
        <w:t xml:space="preserve">Orne (1962)</w:t>
      </w:r>
      <w:r>
        <w:t xml:space="preserve"> </w:t>
      </w:r>
      <w:r>
        <w:t xml:space="preserve">famously described the idea over 50 years ago, demand characteristics have become a literal textbook methodological concern in experimental psychology</w:t>
      </w:r>
      <w:r>
        <w:t xml:space="preserve"> </w:t>
      </w:r>
      <w:r>
        <w:t xml:space="preserve">(Sharpe &amp; Whelton, 2016)</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Rosnow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w:t>
      </w:r>
      <w:r>
        <w:t xml:space="preserve"> </w:t>
      </w:r>
      <w:r>
        <w:t xml:space="preserve">“</w:t>
      </w:r>
      <w:r>
        <w:t xml:space="preserve">…all experiments will have demand characteristics</w:t>
      </w:r>
      <w:r>
        <w:t xml:space="preserve">”</w:t>
      </w:r>
      <w:r>
        <w:t xml:space="preserve"> </w:t>
      </w:r>
      <w:r>
        <w:t xml:space="preserve">(1962, p. 779). If true, unresolved questions about when, why, and how demand characteristics impact participants’ responses are of fundamental import.</w:t>
      </w:r>
    </w:p>
    <w:bookmarkEnd w:id="55"/>
    <w:bookmarkEnd w:id="56"/>
    <w:bookmarkStart w:id="131" w:name="references"/>
    <w:p>
      <w:pPr>
        <w:pStyle w:val="berschrift1"/>
      </w:pPr>
      <w:r>
        <w:t xml:space="preserve">References</w:t>
      </w:r>
    </w:p>
    <w:p>
      <w:pPr>
        <w:pStyle w:val="FirstParagraph"/>
      </w:pPr>
      <w:r>
        <w:t xml:space="preserve">References marked with an asterisk indicate studies included in the meta-analysis.</w:t>
      </w:r>
    </w:p>
    <w:bookmarkStart w:id="130" w:name="refs"/>
    <w:bookmarkStart w:id="57"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
          <w:iCs/>
        </w:rPr>
        <w:t xml:space="preserve">Appetite</w:t>
      </w:r>
      <w:r>
        <w:t xml:space="preserve">,</w:t>
      </w:r>
      <w:r>
        <w:t xml:space="preserve"> </w:t>
      </w:r>
      <w:r>
        <w:rPr>
          <w:i/>
          <w:iCs/>
        </w:rPr>
        <w:t xml:space="preserve">59</w:t>
      </w:r>
      <w:r>
        <w:t xml:space="preserve">(2), 349–356.</w:t>
      </w:r>
    </w:p>
    <w:bookmarkEnd w:id="57"/>
    <w:bookmarkStart w:id="59" w:name="ref-R-papaja"/>
    <w:p>
      <w:pPr>
        <w:pStyle w:val="Literaturverzeichnis"/>
      </w:pPr>
      <w:r>
        <w:t xml:space="preserve">Aust, F., &amp; Barth, M. (2022).</w:t>
      </w:r>
      <w:r>
        <w:t xml:space="preserve"> </w:t>
      </w:r>
      <w:r>
        <w:rPr>
          <w:i/>
          <w:iCs/>
        </w:rPr>
        <w:t xml:space="preserve">papaja</w:t>
      </w:r>
      <w:r>
        <w:rPr>
          <w:i/>
          <w:iCs/>
        </w:rPr>
        <w:t xml:space="preserve">:</w:t>
      </w:r>
      <w:r>
        <w:rPr>
          <w:i/>
          <w:iCs/>
        </w:rPr>
        <w:t xml:space="preserve"> </w:t>
      </w:r>
      <w:r>
        <w:rPr>
          <w:i/>
          <w:iCs/>
        </w:rPr>
        <w:t xml:space="preserve">Prepare</w:t>
      </w:r>
      <w:r>
        <w:rPr>
          <w:i/>
          <w:iCs/>
        </w:rPr>
        <w:t xml:space="preserve"> </w:t>
      </w:r>
      <w:r>
        <w:rPr>
          <w:i/>
          <w:iCs/>
        </w:rPr>
        <w:t xml:space="preserve">reproducible</w:t>
      </w:r>
      <w:r>
        <w:rPr>
          <w:i/>
          <w:iCs/>
        </w:rPr>
        <w:t xml:space="preserve"> </w:t>
      </w:r>
      <w:r>
        <w:rPr>
          <w:i/>
          <w:iCs/>
        </w:rPr>
        <w:t xml:space="preserve">APA</w:t>
      </w:r>
      <w:r>
        <w:rPr>
          <w:i/>
          <w:iCs/>
        </w:rPr>
        <w:t xml:space="preserve"> </w:t>
      </w:r>
      <w:r>
        <w:rPr>
          <w:i/>
          <w:iCs/>
        </w:rPr>
        <w:t xml:space="preserve">journal articles with</w:t>
      </w:r>
      <w:r>
        <w:rPr>
          <w:i/>
          <w:iCs/>
        </w:rPr>
        <w:t xml:space="preserve"> </w:t>
      </w:r>
      <w:r>
        <w:rPr>
          <w:i/>
          <w:iCs/>
        </w:rPr>
        <w:t xml:space="preserve">R Markdown</w:t>
      </w:r>
      <w:r>
        <w:t xml:space="preserve">. Retrieved from</w:t>
      </w:r>
      <w:r>
        <w:t xml:space="preserve"> </w:t>
      </w:r>
      <w:hyperlink r:id="rId58">
        <w:r>
          <w:rPr>
            <w:rStyle w:val="Hyperlink"/>
          </w:rPr>
          <w:t xml:space="preserve">https://github.com/crsh/papaja</w:t>
        </w:r>
      </w:hyperlink>
    </w:p>
    <w:bookmarkEnd w:id="59"/>
    <w:bookmarkStart w:id="60" w:name="ref-balze1998role"/>
    <w:p>
      <w:pPr>
        <w:pStyle w:val="Literaturverzeichnis"/>
      </w:pPr>
      <w:r>
        <w:rPr>
          <w:vertAlign w:val="superscript"/>
        </w:rPr>
        <w:t xml:space="preserve">*</w:t>
      </w:r>
      <w:r>
        <w:t xml:space="preserve"> </w:t>
      </w:r>
      <w:r>
        <w:t xml:space="preserve">Balze, E. M. (1998).</w:t>
      </w:r>
      <w:r>
        <w:t xml:space="preserve"> </w:t>
      </w:r>
      <w:r>
        <w:rPr>
          <w:i/>
          <w:iCs/>
        </w:rPr>
        <w:t xml:space="preserve">The role of expectancy in treatment efficacy: The use of a therapeutic" frame" to enhance performance</w:t>
      </w:r>
      <w:r>
        <w:t xml:space="preserve"> </w:t>
      </w:r>
      <w:r>
        <w:t xml:space="preserve">(PhD thesis).</w:t>
      </w:r>
    </w:p>
    <w:bookmarkEnd w:id="60"/>
    <w:bookmarkStart w:id="61"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
          <w:iCs/>
        </w:rPr>
        <w:t xml:space="preserve">Perceptual and Motor Skills</w:t>
      </w:r>
      <w:r>
        <w:t xml:space="preserve">,</w:t>
      </w:r>
      <w:r>
        <w:t xml:space="preserve"> </w:t>
      </w:r>
      <w:r>
        <w:rPr>
          <w:i/>
          <w:iCs/>
        </w:rPr>
        <w:t xml:space="preserve">73</w:t>
      </w:r>
      <w:r>
        <w:t xml:space="preserve">(1), 83–92.</w:t>
      </w:r>
    </w:p>
    <w:bookmarkEnd w:id="61"/>
    <w:bookmarkStart w:id="62" w:name="ref-borenstein2009effect"/>
    <w:p>
      <w:pPr>
        <w:pStyle w:val="Literaturverzeichnis"/>
      </w:pPr>
      <w:r>
        <w:t xml:space="preserve">Borenstein, M. (2009). Effect sizes for continuous data. In H. Cooper, L. V. Hedges, &amp; J. C. Valentine (Eds.),</w:t>
      </w:r>
      <w:r>
        <w:t xml:space="preserve"> </w:t>
      </w:r>
      <w:r>
        <w:rPr>
          <w:i/>
          <w:iCs/>
        </w:rPr>
        <w:t xml:space="preserve">The handbook of synthesis and meta-analysis</w:t>
      </w:r>
      <w:r>
        <w:t xml:space="preserve"> </w:t>
      </w:r>
      <w:r>
        <w:t xml:space="preserve">(pp. 221–235). New York, NY: Russell Sage Foundation.</w:t>
      </w:r>
    </w:p>
    <w:bookmarkEnd w:id="62"/>
    <w:bookmarkStart w:id="63" w:name="ref-borenstein2011introduction"/>
    <w:p>
      <w:pPr>
        <w:pStyle w:val="Literaturverzeichnis"/>
      </w:pPr>
      <w:r>
        <w:t xml:space="preserve">Borenstein, M., Hedges, L. V., Higgins, J. P., &amp; Rothstein, H. R. (2011).</w:t>
      </w:r>
      <w:r>
        <w:t xml:space="preserve"> </w:t>
      </w:r>
      <w:r>
        <w:rPr>
          <w:i/>
          <w:iCs/>
        </w:rPr>
        <w:t xml:space="preserve">Introduction to meta-analysis</w:t>
      </w:r>
      <w:r>
        <w:t xml:space="preserve">. John Wiley &amp; Sons.</w:t>
      </w:r>
    </w:p>
    <w:bookmarkEnd w:id="63"/>
    <w:bookmarkStart w:id="64"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
          <w:iCs/>
        </w:rPr>
        <w:t xml:space="preserve">Cognitive Therapy and Research</w:t>
      </w:r>
      <w:r>
        <w:t xml:space="preserve">,</w:t>
      </w:r>
      <w:r>
        <w:t xml:space="preserve"> </w:t>
      </w:r>
      <w:r>
        <w:rPr>
          <w:i/>
          <w:iCs/>
        </w:rPr>
        <w:t xml:space="preserve">31</w:t>
      </w:r>
      <w:r>
        <w:t xml:space="preserve">, 805–815.</w:t>
      </w:r>
    </w:p>
    <w:bookmarkEnd w:id="64"/>
    <w:bookmarkStart w:id="66" w:name="ref-R-weightr"/>
    <w:p>
      <w:pPr>
        <w:pStyle w:val="Literaturverzeichnis"/>
      </w:pPr>
      <w:r>
        <w:t xml:space="preserve">Coburn, K. M., &amp; Vevea, J. L. (2019).</w:t>
      </w:r>
      <w:r>
        <w:t xml:space="preserve"> </w:t>
      </w:r>
      <w:r>
        <w:rPr>
          <w:i/>
          <w:iCs/>
        </w:rPr>
        <w:t xml:space="preserve">Weightr: Estimating weight-function models for publication bias</w:t>
      </w:r>
      <w:r>
        <w:t xml:space="preserve">. Retrieved from</w:t>
      </w:r>
      <w:r>
        <w:t xml:space="preserve"> </w:t>
      </w:r>
      <w:hyperlink r:id="rId65">
        <w:r>
          <w:rPr>
            <w:rStyle w:val="Hyperlink"/>
          </w:rPr>
          <w:t xml:space="preserve">https://CRAN.R-project.org/package=weightr</w:t>
        </w:r>
      </w:hyperlink>
    </w:p>
    <w:bookmarkEnd w:id="66"/>
    <w:bookmarkStart w:id="67" w:name="ref-cohen1988statistical"/>
    <w:p>
      <w:pPr>
        <w:pStyle w:val="Literaturverzeichnis"/>
      </w:pPr>
      <w:r>
        <w:t xml:space="preserve">Cohen, J. (2013).</w:t>
      </w:r>
      <w:r>
        <w:t xml:space="preserve"> </w:t>
      </w:r>
      <w:r>
        <w:rPr>
          <w:i/>
          <w:iCs/>
        </w:rPr>
        <w:t xml:space="preserve">Statistical power analysis for the behavioral sciences</w:t>
      </w:r>
      <w:r>
        <w:t xml:space="preserve"> </w:t>
      </w:r>
      <w:r>
        <w:t xml:space="preserve">(Vol. 2). New York, NY: Lawrence Erlbaum Associates.</w:t>
      </w:r>
    </w:p>
    <w:bookmarkEnd w:id="67"/>
    <w:bookmarkStart w:id="68"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
          <w:iCs/>
        </w:rPr>
        <w:t xml:space="preserve">Journal of Personality and Social Psychology</w:t>
      </w:r>
      <w:r>
        <w:t xml:space="preserve">.</w:t>
      </w:r>
    </w:p>
    <w:bookmarkEnd w:id="68"/>
    <w:bookmarkStart w:id="69" w:name="ref-coles2024replication"/>
    <w:p>
      <w:pPr>
        <w:pStyle w:val="Literaturverzeichnis"/>
      </w:pPr>
      <w:r>
        <w:rPr>
          <w:vertAlign w:val="superscript"/>
        </w:rPr>
        <w:t xml:space="preserve">*</w:t>
      </w:r>
      <w:r>
        <w:t xml:space="preserve"> </w:t>
      </w:r>
      <w:r>
        <w:t xml:space="preserve">Coles, N. A., McCullough, M., Oishi, S., Dang, A., McCauley, T., Pfattheicher, S., … Sarabia, V. (2024).</w:t>
      </w:r>
      <w:r>
        <w:t xml:space="preserve"> </w:t>
      </w:r>
      <w:r>
        <w:rPr>
          <w:i/>
          <w:iCs/>
        </w:rPr>
        <w:t xml:space="preserve">Six unpublished investigations of the role of demand characteristics in a conformity paradigm</w:t>
      </w:r>
      <w:r>
        <w:t xml:space="preserve">.</w:t>
      </w:r>
    </w:p>
    <w:bookmarkEnd w:id="69"/>
    <w:bookmarkStart w:id="70" w:name="ref-coles2023replication"/>
    <w:p>
      <w:pPr>
        <w:pStyle w:val="Literaturverzeichnis"/>
      </w:pPr>
      <w:r>
        <w:rPr>
          <w:vertAlign w:val="superscript"/>
        </w:rPr>
        <w:t xml:space="preserve">*</w:t>
      </w:r>
      <w:r>
        <w:t xml:space="preserve"> </w:t>
      </w:r>
      <w:r>
        <w:t xml:space="preserve">Coles, N. A., Wyatt, M., &amp; Frank, M. C. (2023).</w:t>
      </w:r>
      <w:r>
        <w:t xml:space="preserve"> </w:t>
      </w:r>
      <w:r>
        <w:rPr>
          <w:i/>
          <w:iCs/>
        </w:rPr>
        <w:t xml:space="preserve">Coles, wyatt, and frank unpublished replication of coles et al. 2022</w:t>
      </w:r>
      <w:r>
        <w:t xml:space="preserve">.</w:t>
      </w:r>
    </w:p>
    <w:bookmarkEnd w:id="70"/>
    <w:bookmarkStart w:id="7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
          <w:iCs/>
        </w:rPr>
        <w:t xml:space="preserve">Journal of Personality and Social Psychology</w:t>
      </w:r>
      <w:r>
        <w:t xml:space="preserve">,</w:t>
      </w:r>
      <w:r>
        <w:t xml:space="preserve"> </w:t>
      </w:r>
      <w:r>
        <w:rPr>
          <w:i/>
          <w:iCs/>
        </w:rPr>
        <w:t xml:space="preserve">14</w:t>
      </w:r>
      <w:r>
        <w:t xml:space="preserve">(3), 185–194.</w:t>
      </w:r>
    </w:p>
    <w:bookmarkEnd w:id="71"/>
    <w:bookmarkStart w:id="72" w:name="ref-corneille2022sixty"/>
    <w:p>
      <w:pPr>
        <w:pStyle w:val="Literaturverzeichnis"/>
      </w:pPr>
      <w:r>
        <w:t xml:space="preserve">Corneille, O., &amp; Lush, P. (2023). Sixty years after orne’s american psychologist article: A conceptual framework for subjective experiences elicited by demand characteristics.</w:t>
      </w:r>
      <w:r>
        <w:t xml:space="preserve"> </w:t>
      </w:r>
      <w:r>
        <w:rPr>
          <w:i/>
          <w:iCs/>
        </w:rPr>
        <w:t xml:space="preserve">Personality and Social Psychology Review</w:t>
      </w:r>
      <w:r>
        <w:t xml:space="preserve">,</w:t>
      </w:r>
      <w:r>
        <w:t xml:space="preserve"> </w:t>
      </w:r>
      <w:r>
        <w:rPr>
          <w:i/>
          <w:iCs/>
        </w:rPr>
        <w:t xml:space="preserve">27</w:t>
      </w:r>
      <w:r>
        <w:t xml:space="preserve">(1), 81–101.</w:t>
      </w:r>
    </w:p>
    <w:bookmarkEnd w:id="72"/>
    <w:bookmarkStart w:id="73"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
          <w:iCs/>
        </w:rPr>
        <w:t xml:space="preserve">Psychology and Psychotherapy: Theory, Research and Practice</w:t>
      </w:r>
      <w:r>
        <w:t xml:space="preserve">,</w:t>
      </w:r>
      <w:r>
        <w:t xml:space="preserve"> </w:t>
      </w:r>
      <w:r>
        <w:rPr>
          <w:i/>
          <w:iCs/>
        </w:rPr>
        <w:t xml:space="preserve">77</w:t>
      </w:r>
      <w:r>
        <w:t xml:space="preserve">(1), 121–133.</w:t>
      </w:r>
    </w:p>
    <w:bookmarkEnd w:id="73"/>
    <w:bookmarkStart w:id="74"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
          <w:iCs/>
        </w:rPr>
        <w:t xml:space="preserve">The Journal of Psychology</w:t>
      </w:r>
      <w:r>
        <w:t xml:space="preserve">,</w:t>
      </w:r>
      <w:r>
        <w:t xml:space="preserve"> </w:t>
      </w:r>
      <w:r>
        <w:rPr>
          <w:i/>
          <w:iCs/>
        </w:rPr>
        <w:t xml:space="preserve">139</w:t>
      </w:r>
      <w:r>
        <w:t xml:space="preserve">(1), 57–66.</w:t>
      </w:r>
    </w:p>
    <w:bookmarkEnd w:id="74"/>
    <w:bookmarkStart w:id="75"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
          <w:iCs/>
        </w:rPr>
        <w:t xml:space="preserve">The Journal of Psychology</w:t>
      </w:r>
      <w:r>
        <w:t xml:space="preserve">,</w:t>
      </w:r>
      <w:r>
        <w:t xml:space="preserve"> </w:t>
      </w:r>
      <w:r>
        <w:rPr>
          <w:i/>
          <w:iCs/>
        </w:rPr>
        <w:t xml:space="preserve">129</w:t>
      </w:r>
      <w:r>
        <w:t xml:space="preserve">(3), 269–275.</w:t>
      </w:r>
    </w:p>
    <w:bookmarkEnd w:id="75"/>
    <w:bookmarkStart w:id="76" w:name="ref-drevon2017intercoder"/>
    <w:p>
      <w:pPr>
        <w:pStyle w:val="Literaturverzeichnis"/>
      </w:pPr>
      <w:r>
        <w:t xml:space="preserve">Drevon, D., Fursa, S. R., &amp; Malcolm, A. L. (2017). Intercoder reliability and validity of WebPlotDigitizer in extracting graphed data.</w:t>
      </w:r>
      <w:r>
        <w:t xml:space="preserve"> </w:t>
      </w:r>
      <w:r>
        <w:rPr>
          <w:i/>
          <w:iCs/>
        </w:rPr>
        <w:t xml:space="preserve">Behavior Modification</w:t>
      </w:r>
      <w:r>
        <w:t xml:space="preserve">,</w:t>
      </w:r>
      <w:r>
        <w:t xml:space="preserve"> </w:t>
      </w:r>
      <w:r>
        <w:rPr>
          <w:i/>
          <w:iCs/>
        </w:rPr>
        <w:t xml:space="preserve">41</w:t>
      </w:r>
      <w:r>
        <w:t xml:space="preserve">(2), 323–339.</w:t>
      </w:r>
    </w:p>
    <w:bookmarkEnd w:id="76"/>
    <w:bookmarkStart w:id="77"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
          <w:iCs/>
        </w:rPr>
        <w:t xml:space="preserve">Journal of Experimental Psychology: Human Perception and Performance</w:t>
      </w:r>
      <w:r>
        <w:t xml:space="preserve">,</w:t>
      </w:r>
      <w:r>
        <w:t xml:space="preserve"> </w:t>
      </w:r>
      <w:r>
        <w:rPr>
          <w:i/>
          <w:iCs/>
        </w:rPr>
        <w:t xml:space="preserve">38</w:t>
      </w:r>
      <w:r>
        <w:t xml:space="preserve">(6), 1582.</w:t>
      </w:r>
    </w:p>
    <w:bookmarkEnd w:id="77"/>
    <w:bookmarkStart w:id="78" w:name="ref-earn1979experimental"/>
    <w:p>
      <w:pPr>
        <w:pStyle w:val="Literaturverzeichnis"/>
      </w:pPr>
      <w:r>
        <w:rPr>
          <w:vertAlign w:val="superscript"/>
        </w:rPr>
        <w:t xml:space="preserve">*</w:t>
      </w:r>
      <w:r>
        <w:t xml:space="preserve"> </w:t>
      </w:r>
      <w:r>
        <w:t xml:space="preserve">Earn, B. M. (1979).</w:t>
      </w:r>
      <w:r>
        <w:t xml:space="preserve"> </w:t>
      </w:r>
      <w:r>
        <w:rPr>
          <w:i/>
          <w:iCs/>
        </w:rPr>
        <w:t xml:space="preserve">Experimental compensation, task interest and the cooperation with demand characteristics of volunteer and sign-up subjects.</w:t>
      </w:r>
      <w:r>
        <w:t xml:space="preserve"> </w:t>
      </w:r>
      <w:r>
        <w:t xml:space="preserve">(PhD thesis).</w:t>
      </w:r>
    </w:p>
    <w:bookmarkEnd w:id="78"/>
    <w:bookmarkStart w:id="79" w:name="ref-fillenbaun1970more"/>
    <w:p>
      <w:pPr>
        <w:pStyle w:val="Literaturverzeichnis"/>
      </w:pPr>
      <w:r>
        <w:t xml:space="preserve">Fillenbaun, S., &amp; Frey, R. (1970). More on the" faithful" behavior of suspicious subjects.</w:t>
      </w:r>
      <w:r>
        <w:t xml:space="preserve"> </w:t>
      </w:r>
      <w:r>
        <w:rPr>
          <w:i/>
          <w:iCs/>
        </w:rPr>
        <w:t xml:space="preserve">Journal of Personality</w:t>
      </w:r>
      <w:r>
        <w:t xml:space="preserve">,</w:t>
      </w:r>
      <w:r>
        <w:t xml:space="preserve"> </w:t>
      </w:r>
      <w:r>
        <w:rPr>
          <w:i/>
          <w:iCs/>
        </w:rPr>
        <w:t xml:space="preserve">38</w:t>
      </w:r>
      <w:r>
        <w:t xml:space="preserve">(1), 43–51.</w:t>
      </w:r>
    </w:p>
    <w:bookmarkEnd w:id="79"/>
    <w:bookmarkStart w:id="80" w:name="ref-fresson2017role"/>
    <w:p>
      <w:pPr>
        <w:pStyle w:val="Literaturverzeichnis"/>
      </w:pPr>
      <w:r>
        <w:rPr>
          <w:vertAlign w:val="superscript"/>
        </w:rPr>
        <w:t xml:space="preserve">*</w:t>
      </w:r>
      <w:r>
        <w:t xml:space="preserve"> </w:t>
      </w:r>
      <w:r>
        <w:t xml:space="preserve">Fresson, M., Dardenne, B., Geurten, M., Anzaldi, L., &amp; Meulemans, T. (2017). The role of self-transcendence and cognitive processes in the response expectancy effect.</w:t>
      </w:r>
      <w:r>
        <w:t xml:space="preserve"> </w:t>
      </w:r>
      <w:r>
        <w:rPr>
          <w:i/>
          <w:iCs/>
        </w:rPr>
        <w:t xml:space="preserve">Psychologica Belgica</w:t>
      </w:r>
      <w:r>
        <w:t xml:space="preserve">,</w:t>
      </w:r>
      <w:r>
        <w:t xml:space="preserve"> </w:t>
      </w:r>
      <w:r>
        <w:rPr>
          <w:i/>
          <w:iCs/>
        </w:rPr>
        <w:t xml:space="preserve">57</w:t>
      </w:r>
      <w:r>
        <w:t xml:space="preserve">(2), 77–92.</w:t>
      </w:r>
    </w:p>
    <w:bookmarkEnd w:id="80"/>
    <w:bookmarkStart w:id="81" w:name="ref-hayes1967two"/>
    <w:p>
      <w:pPr>
        <w:pStyle w:val="Literaturverzeichnis"/>
      </w:pPr>
      <w:r>
        <w:t xml:space="preserve">Hayes, C., &amp; King, W. (1967). Two types of phenomenal instructions for size and distance judgments of objects presented on a two-dimensional plane.</w:t>
      </w:r>
      <w:r>
        <w:t xml:space="preserve"> </w:t>
      </w:r>
      <w:r>
        <w:rPr>
          <w:i/>
          <w:iCs/>
        </w:rPr>
        <w:t xml:space="preserve">Perception &amp; Psychophysics</w:t>
      </w:r>
      <w:r>
        <w:t xml:space="preserve">,</w:t>
      </w:r>
      <w:r>
        <w:t xml:space="preserve"> </w:t>
      </w:r>
      <w:r>
        <w:rPr>
          <w:i/>
          <w:iCs/>
        </w:rPr>
        <w:t xml:space="preserve">2</w:t>
      </w:r>
      <w:r>
        <w:t xml:space="preserve">(11), 556–558.</w:t>
      </w:r>
    </w:p>
    <w:bookmarkEnd w:id="81"/>
    <w:bookmarkStart w:id="82"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
          <w:iCs/>
        </w:rPr>
        <w:t xml:space="preserve">Journal of Cognitive Neuroscience</w:t>
      </w:r>
      <w:r>
        <w:t xml:space="preserve">,</w:t>
      </w:r>
      <w:r>
        <w:t xml:space="preserve"> </w:t>
      </w:r>
      <w:r>
        <w:rPr>
          <w:i/>
          <w:iCs/>
        </w:rPr>
        <w:t xml:space="preserve">30</w:t>
      </w:r>
      <w:r>
        <w:t xml:space="preserve">(11), 1720–1733.</w:t>
      </w:r>
    </w:p>
    <w:bookmarkEnd w:id="82"/>
    <w:bookmarkStart w:id="83" w:name="ref-hyman1954interviewing"/>
    <w:p>
      <w:pPr>
        <w:pStyle w:val="Literaturverzeichnis"/>
      </w:pPr>
      <w:r>
        <w:t xml:space="preserve">Hyman, H. H. (1954).</w:t>
      </w:r>
      <w:r>
        <w:t xml:space="preserve"> </w:t>
      </w:r>
      <w:r>
        <w:rPr>
          <w:i/>
          <w:iCs/>
        </w:rPr>
        <w:t xml:space="preserve">Interviewing in social research</w:t>
      </w:r>
      <w:r>
        <w:t xml:space="preserve">. Chicago, IL: University of Chicago Press.</w:t>
      </w:r>
    </w:p>
    <w:bookmarkEnd w:id="83"/>
    <w:bookmarkStart w:id="84" w:name="ref-isager2022student"/>
    <w:p>
      <w:pPr>
        <w:pStyle w:val="Literaturverzeichnis"/>
      </w:pPr>
      <w:r>
        <w:rPr>
          <w:vertAlign w:val="superscript"/>
        </w:rPr>
        <w:t xml:space="preserve">*</w:t>
      </w:r>
      <w:r>
        <w:t xml:space="preserve"> </w:t>
      </w:r>
      <w:r>
        <w:t xml:space="preserve">Isager, P. (2022).</w:t>
      </w:r>
      <w:r>
        <w:t xml:space="preserve"> </w:t>
      </w:r>
      <w:r>
        <w:rPr>
          <w:i/>
          <w:iCs/>
        </w:rPr>
        <w:t xml:space="preserve">Student replication of coles et al. 2022</w:t>
      </w:r>
      <w:r>
        <w:t xml:space="preserve">.</w:t>
      </w:r>
    </w:p>
    <w:bookmarkEnd w:id="84"/>
    <w:bookmarkStart w:id="85"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
          <w:iCs/>
        </w:rPr>
        <w:t xml:space="preserve">Cognitive Therapy and Research</w:t>
      </w:r>
      <w:r>
        <w:t xml:space="preserve">,</w:t>
      </w:r>
      <w:r>
        <w:t xml:space="preserve"> </w:t>
      </w:r>
      <w:r>
        <w:rPr>
          <w:i/>
          <w:iCs/>
        </w:rPr>
        <w:t xml:space="preserve">28</w:t>
      </w:r>
      <w:r>
        <w:t xml:space="preserve">, 229–239.</w:t>
      </w:r>
    </w:p>
    <w:bookmarkEnd w:id="85"/>
    <w:bookmarkStart w:id="86"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
          <w:iCs/>
        </w:rPr>
        <w:t xml:space="preserve">Cognition &amp; Emotion</w:t>
      </w:r>
      <w:r>
        <w:t xml:space="preserve">,</w:t>
      </w:r>
      <w:r>
        <w:t xml:space="preserve"> </w:t>
      </w:r>
      <w:r>
        <w:rPr>
          <w:i/>
          <w:iCs/>
        </w:rPr>
        <w:t xml:space="preserve">2</w:t>
      </w:r>
      <w:r>
        <w:t xml:space="preserve">(1), 41–48.</w:t>
      </w:r>
    </w:p>
    <w:bookmarkEnd w:id="86"/>
    <w:bookmarkStart w:id="87"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
          <w:iCs/>
        </w:rPr>
        <w:t xml:space="preserve">Appetite</w:t>
      </w:r>
      <w:r>
        <w:t xml:space="preserve">,</w:t>
      </w:r>
      <w:r>
        <w:t xml:space="preserve"> </w:t>
      </w:r>
      <w:r>
        <w:rPr>
          <w:i/>
          <w:iCs/>
        </w:rPr>
        <w:t xml:space="preserve">141</w:t>
      </w:r>
      <w:r>
        <w:t xml:space="preserve">, 104318.</w:t>
      </w:r>
    </w:p>
    <w:bookmarkEnd w:id="87"/>
    <w:bookmarkStart w:id="88"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
          <w:iCs/>
        </w:rPr>
        <w:t xml:space="preserve">Personality</w:t>
      </w:r>
      <w:r>
        <w:t xml:space="preserve">,</w:t>
      </w:r>
      <w:r>
        <w:t xml:space="preserve"> </w:t>
      </w:r>
      <w:r>
        <w:rPr>
          <w:i/>
          <w:iCs/>
        </w:rPr>
        <w:t xml:space="preserve">2</w:t>
      </w:r>
      <w:r>
        <w:t xml:space="preserve">(2), 77–91.</w:t>
      </w:r>
    </w:p>
    <w:bookmarkEnd w:id="88"/>
    <w:bookmarkStart w:id="89"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
          <w:iCs/>
        </w:rPr>
        <w:t xml:space="preserve">Journal of Personality and Social Psychology</w:t>
      </w:r>
      <w:r>
        <w:t xml:space="preserve">,</w:t>
      </w:r>
      <w:r>
        <w:t xml:space="preserve"> </w:t>
      </w:r>
      <w:r>
        <w:rPr>
          <w:i/>
          <w:iCs/>
        </w:rPr>
        <w:t xml:space="preserve">100</w:t>
      </w:r>
      <w:r>
        <w:t xml:space="preserve">(6), 1095–1110.</w:t>
      </w:r>
    </w:p>
    <w:bookmarkEnd w:id="89"/>
    <w:bookmarkStart w:id="90"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
          <w:iCs/>
        </w:rPr>
        <w:t xml:space="preserve">Psychological Research</w:t>
      </w:r>
      <w:r>
        <w:t xml:space="preserve">,</w:t>
      </w:r>
      <w:r>
        <w:t xml:space="preserve"> </w:t>
      </w:r>
      <w:r>
        <w:rPr>
          <w:i/>
          <w:iCs/>
        </w:rPr>
        <w:t xml:space="preserve">82</w:t>
      </w:r>
      <w:r>
        <w:t xml:space="preserve">(4), 700–707.</w:t>
      </w:r>
    </w:p>
    <w:bookmarkEnd w:id="90"/>
    <w:bookmarkStart w:id="91" w:name="ref-masling1966role"/>
    <w:p>
      <w:pPr>
        <w:pStyle w:val="Literaturverzeichnis"/>
      </w:pPr>
      <w:r>
        <w:t xml:space="preserve">Masling, J. (1966). Role-related behavior of the subject and psychologist and its effects upon psychological data.</w:t>
      </w:r>
      <w:r>
        <w:t xml:space="preserve"> </w:t>
      </w:r>
      <w:r>
        <w:rPr>
          <w:i/>
          <w:iCs/>
        </w:rPr>
        <w:t xml:space="preserve">Nebraska Symposium on Motivation</w:t>
      </w:r>
      <w:r>
        <w:t xml:space="preserve">,</w:t>
      </w:r>
      <w:r>
        <w:t xml:space="preserve"> </w:t>
      </w:r>
      <w:r>
        <w:rPr>
          <w:i/>
          <w:iCs/>
        </w:rPr>
        <w:t xml:space="preserve">14</w:t>
      </w:r>
      <w:r>
        <w:t xml:space="preserve">, 67–103.</w:t>
      </w:r>
    </w:p>
    <w:bookmarkEnd w:id="91"/>
    <w:bookmarkStart w:id="93" w:name="ref-R-PublicationBias"/>
    <w:p>
      <w:pPr>
        <w:pStyle w:val="Literaturverzeichnis"/>
      </w:pPr>
      <w:r>
        <w:t xml:space="preserve">Mathur, M. B., &amp; VanderWeele, T. J. (2020a).</w:t>
      </w:r>
      <w:r>
        <w:t xml:space="preserve"> </w:t>
      </w:r>
      <w:r>
        <w:rPr>
          <w:i/>
          <w:iCs/>
        </w:rPr>
        <w:t xml:space="preserve">PublicationBias: Sensitivity analysis for publication bias in meta-analyses</w:t>
      </w:r>
      <w:r>
        <w:t xml:space="preserve">. Retrieved from</w:t>
      </w:r>
      <w:r>
        <w:t xml:space="preserve"> </w:t>
      </w:r>
      <w:hyperlink r:id="rId92">
        <w:r>
          <w:rPr>
            <w:rStyle w:val="Hyperlink"/>
          </w:rPr>
          <w:t xml:space="preserve">https://CRAN.R-project.org/package=PublicationBias</w:t>
        </w:r>
      </w:hyperlink>
    </w:p>
    <w:bookmarkEnd w:id="93"/>
    <w:bookmarkStart w:id="94" w:name="ref-mathur2020sensitivity"/>
    <w:p>
      <w:pPr>
        <w:pStyle w:val="Literaturverzeichnis"/>
      </w:pPr>
      <w:r>
        <w:t xml:space="preserve">Mathur, M. B., &amp; VanderWeele, T. J. (2020b). Sensitivity analysis for publication bias in meta-analyses.</w:t>
      </w:r>
      <w:r>
        <w:t xml:space="preserve"> </w:t>
      </w:r>
      <w:r>
        <w:rPr>
          <w:i/>
          <w:iCs/>
        </w:rPr>
        <w:t xml:space="preserve">Journal of the Royal Statistical Society Series C: Applied Statistics</w:t>
      </w:r>
      <w:r>
        <w:t xml:space="preserve">,</w:t>
      </w:r>
      <w:r>
        <w:t xml:space="preserve"> </w:t>
      </w:r>
      <w:r>
        <w:rPr>
          <w:i/>
          <w:iCs/>
        </w:rPr>
        <w:t xml:space="preserve">69</w:t>
      </w:r>
      <w:r>
        <w:t xml:space="preserve">(5), 1091–1119.</w:t>
      </w:r>
    </w:p>
    <w:bookmarkEnd w:id="94"/>
    <w:bookmarkStart w:id="95"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
          <w:iCs/>
        </w:rPr>
        <w:t xml:space="preserve">Psychological Reports</w:t>
      </w:r>
      <w:r>
        <w:t xml:space="preserve">,</w:t>
      </w:r>
      <w:r>
        <w:t xml:space="preserve"> </w:t>
      </w:r>
      <w:r>
        <w:rPr>
          <w:i/>
          <w:iCs/>
        </w:rPr>
        <w:t xml:space="preserve">36</w:t>
      </w:r>
      <w:r>
        <w:t xml:space="preserve">(1), 267–278.</w:t>
      </w:r>
    </w:p>
    <w:bookmarkEnd w:id="95"/>
    <w:bookmarkStart w:id="96"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
          <w:iCs/>
        </w:rPr>
        <w:t xml:space="preserve">Journal of Clinical Psychology</w:t>
      </w:r>
      <w:r>
        <w:t xml:space="preserve">.</w:t>
      </w:r>
    </w:p>
    <w:bookmarkEnd w:id="96"/>
    <w:bookmarkStart w:id="97"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
          <w:iCs/>
        </w:rPr>
        <w:t xml:space="preserve">American Political Science Review</w:t>
      </w:r>
      <w:r>
        <w:t xml:space="preserve">,</w:t>
      </w:r>
      <w:r>
        <w:t xml:space="preserve"> </w:t>
      </w:r>
      <w:r>
        <w:rPr>
          <w:i/>
          <w:iCs/>
        </w:rPr>
        <w:t xml:space="preserve">113</w:t>
      </w:r>
      <w:r>
        <w:t xml:space="preserve">(2), 517–529.</w:t>
      </w:r>
    </w:p>
    <w:bookmarkEnd w:id="97"/>
    <w:bookmarkStart w:id="98"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
          <w:iCs/>
        </w:rPr>
        <w:t xml:space="preserve">American Psychologist</w:t>
      </w:r>
      <w:r>
        <w:t xml:space="preserve">,</w:t>
      </w:r>
      <w:r>
        <w:t xml:space="preserve"> </w:t>
      </w:r>
      <w:r>
        <w:rPr>
          <w:i/>
          <w:iCs/>
        </w:rPr>
        <w:t xml:space="preserve">17</w:t>
      </w:r>
      <w:r>
        <w:t xml:space="preserve">(11), 776–783.</w:t>
      </w:r>
    </w:p>
    <w:bookmarkEnd w:id="98"/>
    <w:bookmarkStart w:id="99"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
          <w:iCs/>
        </w:rPr>
        <w:t xml:space="preserve">The Journal of Abnormal and Social Psychology</w:t>
      </w:r>
      <w:r>
        <w:t xml:space="preserve">,</w:t>
      </w:r>
      <w:r>
        <w:t xml:space="preserve"> </w:t>
      </w:r>
      <w:r>
        <w:rPr>
          <w:i/>
          <w:iCs/>
        </w:rPr>
        <w:t xml:space="preserve">68</w:t>
      </w:r>
      <w:r>
        <w:t xml:space="preserve">(1), 3.</w:t>
      </w:r>
    </w:p>
    <w:bookmarkEnd w:id="99"/>
    <w:bookmarkStart w:id="100" w:name="ref-page2021prisma"/>
    <w:p>
      <w:pPr>
        <w:pStyle w:val="Literaturverzeichnis"/>
      </w:pPr>
      <w:r>
        <w:t xml:space="preserve">Page, M. J., McKenzie, J. E., Bossuyt, P. M., Boutron, I., Hoffmann, T. C., Mulrow, C. D., et al.others. (2021). The PRISMA 2020 statement: An updated guideline for reporting systematic reviews.</w:t>
      </w:r>
      <w:r>
        <w:t xml:space="preserve"> </w:t>
      </w:r>
      <w:r>
        <w:rPr>
          <w:i/>
          <w:iCs/>
        </w:rPr>
        <w:t xml:space="preserve">BMJ</w:t>
      </w:r>
      <w:r>
        <w:t xml:space="preserve">,</w:t>
      </w:r>
      <w:r>
        <w:t xml:space="preserve"> </w:t>
      </w:r>
      <w:r>
        <w:rPr>
          <w:i/>
          <w:iCs/>
        </w:rPr>
        <w:t xml:space="preserve">372</w:t>
      </w:r>
      <w:r>
        <w:t xml:space="preserve">.</w:t>
      </w:r>
    </w:p>
    <w:bookmarkEnd w:id="100"/>
    <w:bookmarkStart w:id="101" w:name="ref-palomba1995dissociation"/>
    <w:p>
      <w:pPr>
        <w:pStyle w:val="Literaturverzeichnis"/>
      </w:pPr>
      <w:r>
        <w:rPr>
          <w:vertAlign w:val="superscript"/>
        </w:rPr>
        <w:t xml:space="preserve">*</w:t>
      </w:r>
      <w:r>
        <w:t xml:space="preserve"> </w:t>
      </w:r>
      <w:r>
        <w:t xml:space="preserve">Palomba, D., &amp; Stegagno, L. (1995). Dissociation between actual and expected cardiac changes: Interoception and emotional experience. In D. Vaitl &amp; R. Schandry (Eds.),</w:t>
      </w:r>
      <w:r>
        <w:t xml:space="preserve"> </w:t>
      </w:r>
      <w:r>
        <w:rPr>
          <w:i/>
          <w:iCs/>
        </w:rPr>
        <w:t xml:space="preserve">From the heart to the brain: The psychophysiology of circulation – brain interaction</w:t>
      </w:r>
      <w:r>
        <w:t xml:space="preserve"> </w:t>
      </w:r>
      <w:r>
        <w:t xml:space="preserve">(pp. 283–298). Peter Lang Publishing.</w:t>
      </w:r>
    </w:p>
    <w:bookmarkEnd w:id="101"/>
    <w:bookmarkStart w:id="102"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
          <w:iCs/>
        </w:rPr>
        <w:t xml:space="preserve">The Journal of Social Psychology</w:t>
      </w:r>
      <w:r>
        <w:t xml:space="preserve">,</w:t>
      </w:r>
      <w:r>
        <w:t xml:space="preserve"> </w:t>
      </w:r>
      <w:r>
        <w:rPr>
          <w:i/>
          <w:iCs/>
        </w:rPr>
        <w:t xml:space="preserve">105</w:t>
      </w:r>
      <w:r>
        <w:t xml:space="preserve">(2), 265–275.</w:t>
      </w:r>
    </w:p>
    <w:bookmarkEnd w:id="102"/>
    <w:bookmarkStart w:id="103"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
          <w:iCs/>
        </w:rPr>
        <w:t xml:space="preserve">Journal of Abnormal Psychology</w:t>
      </w:r>
      <w:r>
        <w:t xml:space="preserve">,</w:t>
      </w:r>
      <w:r>
        <w:t xml:space="preserve"> </w:t>
      </w:r>
      <w:r>
        <w:rPr>
          <w:i/>
          <w:iCs/>
        </w:rPr>
        <w:t xml:space="preserve">89</w:t>
      </w:r>
      <w:r>
        <w:t xml:space="preserve">(2), 286.</w:t>
      </w:r>
    </w:p>
    <w:bookmarkEnd w:id="103"/>
    <w:bookmarkStart w:id="104" w:name="ref-pustejovsky2018small"/>
    <w:p>
      <w:pPr>
        <w:pStyle w:val="Literaturverzeichnis"/>
      </w:pPr>
      <w:r>
        <w:t xml:space="preserve">Pustejovsky, J. E., &amp; Tipton, E. (2018). Small-sample methods for cluster-robust variance estimation and hypothesis testing in fixed effects models.</w:t>
      </w:r>
      <w:r>
        <w:t xml:space="preserve"> </w:t>
      </w:r>
      <w:r>
        <w:rPr>
          <w:i/>
          <w:iCs/>
        </w:rPr>
        <w:t xml:space="preserve">Journal of Business &amp; Economic Statistics</w:t>
      </w:r>
      <w:r>
        <w:t xml:space="preserve">,</w:t>
      </w:r>
      <w:r>
        <w:t xml:space="preserve"> </w:t>
      </w:r>
      <w:r>
        <w:rPr>
          <w:i/>
          <w:iCs/>
        </w:rPr>
        <w:t xml:space="preserve">36</w:t>
      </w:r>
      <w:r>
        <w:t xml:space="preserve">(4), 672–683.</w:t>
      </w:r>
    </w:p>
    <w:bookmarkEnd w:id="104"/>
    <w:bookmarkStart w:id="106" w:name="ref-R-base"/>
    <w:p>
      <w:pPr>
        <w:pStyle w:val="Literaturverzeichnis"/>
      </w:pPr>
      <w:r>
        <w:t xml:space="preserve">R Core Team. (2021).</w:t>
      </w:r>
      <w:r>
        <w:t xml:space="preserve"> </w:t>
      </w:r>
      <w:r>
        <w:rPr>
          <w:i/>
          <w:iCs/>
        </w:rPr>
        <w:t xml:space="preserve">R: A language and environment for statistical computing</w:t>
      </w:r>
      <w:r>
        <w:t xml:space="preserve">. Vienna, Austria: R Foundation for Statistical Computing. Retrieved from</w:t>
      </w:r>
      <w:r>
        <w:t xml:space="preserve"> </w:t>
      </w:r>
      <w:hyperlink r:id="rId105">
        <w:r>
          <w:rPr>
            <w:rStyle w:val="Hyperlink"/>
          </w:rPr>
          <w:t xml:space="preserve">https://www.R-project.org/</w:t>
        </w:r>
      </w:hyperlink>
    </w:p>
    <w:bookmarkEnd w:id="106"/>
    <w:bookmarkStart w:id="107" w:name="ref-riecken1962program"/>
    <w:p>
      <w:pPr>
        <w:pStyle w:val="Literaturverzeichnis"/>
      </w:pPr>
      <w:r>
        <w:t xml:space="preserve">Riecken, H. W. (1962). A program for research on experiments in social psychology. In N. W. Washburne (Ed.),</w:t>
      </w:r>
      <w:r>
        <w:t xml:space="preserve"> </w:t>
      </w:r>
      <w:r>
        <w:rPr>
          <w:i/>
          <w:iCs/>
        </w:rPr>
        <w:t xml:space="preserve">Decisions, values and groups</w:t>
      </w:r>
      <w:r>
        <w:t xml:space="preserve"> </w:t>
      </w:r>
      <w:r>
        <w:t xml:space="preserve">(Vol. 2, pp. 25–41). New York, NY: Pergamon Press.</w:t>
      </w:r>
    </w:p>
    <w:bookmarkEnd w:id="107"/>
    <w:bookmarkStart w:id="108"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
          <w:iCs/>
        </w:rPr>
        <w:t xml:space="preserve">Psychological Methods</w:t>
      </w:r>
      <w:r>
        <w:t xml:space="preserve">,</w:t>
      </w:r>
      <w:r>
        <w:t xml:space="preserve"> </w:t>
      </w:r>
      <w:r>
        <w:rPr>
          <w:i/>
          <w:iCs/>
        </w:rPr>
        <w:t xml:space="preserve">26</w:t>
      </w:r>
      <w:r>
        <w:t xml:space="preserve">(2), 141.</w:t>
      </w:r>
    </w:p>
    <w:bookmarkEnd w:id="108"/>
    <w:bookmarkStart w:id="109"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
          <w:iCs/>
        </w:rPr>
        <w:t xml:space="preserve">Journal of Behavioral Decision Making</w:t>
      </w:r>
      <w:r>
        <w:t xml:space="preserve">,</w:t>
      </w:r>
      <w:r>
        <w:t xml:space="preserve"> </w:t>
      </w:r>
      <w:r>
        <w:rPr>
          <w:i/>
          <w:iCs/>
        </w:rPr>
        <w:t xml:space="preserve">27</w:t>
      </w:r>
      <w:r>
        <w:t xml:space="preserve">(1), 1–10.</w:t>
      </w:r>
    </w:p>
    <w:bookmarkEnd w:id="109"/>
    <w:bookmarkStart w:id="110" w:name="ref-rosenberg1969conditions"/>
    <w:p>
      <w:pPr>
        <w:pStyle w:val="Literaturverzeichnis"/>
      </w:pPr>
      <w:r>
        <w:t xml:space="preserve">Rosenberg, M. J. (1969). The conditions and consequences of evaluation apprehension. In R. Rosenthal &amp; R. L. Rosnow (Eds.),</w:t>
      </w:r>
      <w:r>
        <w:t xml:space="preserve"> </w:t>
      </w:r>
      <w:r>
        <w:rPr>
          <w:i/>
          <w:iCs/>
        </w:rPr>
        <w:t xml:space="preserve">Artifacts in behavioral research</w:t>
      </w:r>
      <w:r>
        <w:t xml:space="preserve"> </w:t>
      </w:r>
      <w:r>
        <w:t xml:space="preserve">(pp. 280–350). New York, NY: Academic Press.</w:t>
      </w:r>
    </w:p>
    <w:bookmarkEnd w:id="110"/>
    <w:bookmarkStart w:id="111" w:name="ref-rosnow1973mediation"/>
    <w:p>
      <w:pPr>
        <w:pStyle w:val="Literaturverzeichnis"/>
      </w:pPr>
      <w:r>
        <w:t xml:space="preserve">Rosnow, R. L., &amp; Aiken, L. S. (1973). Mediation of artifacts in behavioral research.</w:t>
      </w:r>
      <w:r>
        <w:t xml:space="preserve"> </w:t>
      </w:r>
      <w:r>
        <w:rPr>
          <w:i/>
          <w:iCs/>
        </w:rPr>
        <w:t xml:space="preserve">Journal of Experimental Social Psychology</w:t>
      </w:r>
      <w:r>
        <w:t xml:space="preserve">,</w:t>
      </w:r>
      <w:r>
        <w:t xml:space="preserve"> </w:t>
      </w:r>
      <w:r>
        <w:rPr>
          <w:i/>
          <w:iCs/>
        </w:rPr>
        <w:t xml:space="preserve">9</w:t>
      </w:r>
      <w:r>
        <w:t xml:space="preserve">(3), 181–201.</w:t>
      </w:r>
    </w:p>
    <w:bookmarkEnd w:id="111"/>
    <w:bookmarkStart w:id="112" w:name="ref-rosnow1997people"/>
    <w:p>
      <w:pPr>
        <w:pStyle w:val="Literaturverzeichnis"/>
      </w:pPr>
      <w:r>
        <w:t xml:space="preserve">Rosnow, R. L., &amp; Rosenthal, R. (1997).</w:t>
      </w:r>
      <w:r>
        <w:t xml:space="preserve"> </w:t>
      </w:r>
      <w:r>
        <w:rPr>
          <w:i/>
          <w:iCs/>
        </w:rPr>
        <w:t xml:space="preserve">People studying people: Artifacts and ethics in behavioral research</w:t>
      </w:r>
      <w:r>
        <w:t xml:space="preserve">. New York, NY: Freeman.</w:t>
      </w:r>
    </w:p>
    <w:bookmarkEnd w:id="112"/>
    <w:bookmarkStart w:id="113"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
          <w:iCs/>
        </w:rPr>
        <w:t xml:space="preserve">BMC Medical Informatics and Decision Making</w:t>
      </w:r>
      <w:r>
        <w:t xml:space="preserve">,</w:t>
      </w:r>
      <w:r>
        <w:t xml:space="preserve"> </w:t>
      </w:r>
      <w:r>
        <w:rPr>
          <w:i/>
          <w:iCs/>
        </w:rPr>
        <w:t xml:space="preserve">7</w:t>
      </w:r>
      <w:r>
        <w:t xml:space="preserve">(1), 1–6.</w:t>
      </w:r>
    </w:p>
    <w:bookmarkEnd w:id="113"/>
    <w:bookmarkStart w:id="114" w:name="ref-schauer1969demand"/>
    <w:p>
      <w:pPr>
        <w:pStyle w:val="Literaturverzeichnis"/>
      </w:pPr>
      <w:r>
        <w:rPr>
          <w:vertAlign w:val="superscript"/>
        </w:rPr>
        <w:t xml:space="preserve">*</w:t>
      </w:r>
      <w:r>
        <w:t xml:space="preserve"> </w:t>
      </w:r>
      <w:r>
        <w:t xml:space="preserve">Schauer, E. (1969).</w:t>
      </w:r>
      <w:r>
        <w:t xml:space="preserve"> </w:t>
      </w:r>
      <w:r>
        <w:rPr>
          <w:i/>
          <w:iCs/>
        </w:rPr>
        <w:t xml:space="preserve">Demand characteristics in a quasi-psychophysical experiment.</w:t>
      </w:r>
      <w:r>
        <w:t xml:space="preserve"> </w:t>
      </w:r>
      <w:r>
        <w:t xml:space="preserve">(PhD thesis).</w:t>
      </w:r>
    </w:p>
    <w:bookmarkEnd w:id="114"/>
    <w:bookmarkStart w:id="115" w:name="ref-sharpe2016frightened"/>
    <w:p>
      <w:pPr>
        <w:pStyle w:val="Literaturverzeichnis"/>
      </w:pPr>
      <w:r>
        <w:t xml:space="preserve">Sharpe, D., &amp; Whelton, W. J. (2016). Frightened by an old scarecrow: The remarkable resilience of demand characteristics.</w:t>
      </w:r>
      <w:r>
        <w:t xml:space="preserve"> </w:t>
      </w:r>
      <w:r>
        <w:rPr>
          <w:i/>
          <w:iCs/>
        </w:rPr>
        <w:t xml:space="preserve">Review of General Psychology</w:t>
      </w:r>
      <w:r>
        <w:t xml:space="preserve">,</w:t>
      </w:r>
      <w:r>
        <w:t xml:space="preserve"> </w:t>
      </w:r>
      <w:r>
        <w:rPr>
          <w:i/>
          <w:iCs/>
        </w:rPr>
        <w:t xml:space="preserve">20</w:t>
      </w:r>
      <w:r>
        <w:t xml:space="preserve">(4), 349–368.</w:t>
      </w:r>
    </w:p>
    <w:bookmarkEnd w:id="115"/>
    <w:bookmarkStart w:id="116"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
          <w:iCs/>
        </w:rPr>
        <w:t xml:space="preserve">Journal of Behavioral Assessment</w:t>
      </w:r>
      <w:r>
        <w:t xml:space="preserve">,</w:t>
      </w:r>
      <w:r>
        <w:t xml:space="preserve"> </w:t>
      </w:r>
      <w:r>
        <w:rPr>
          <w:i/>
          <w:iCs/>
        </w:rPr>
        <w:t xml:space="preserve">4</w:t>
      </w:r>
      <w:r>
        <w:t xml:space="preserve">, 179–185.</w:t>
      </w:r>
    </w:p>
    <w:bookmarkEnd w:id="116"/>
    <w:bookmarkStart w:id="117" w:name="ref-sigall1970cooperative"/>
    <w:p>
      <w:pPr>
        <w:pStyle w:val="Literaturverzeichnis"/>
      </w:pPr>
      <w:r>
        <w:t xml:space="preserve">Sigall, H., Aronson, E., &amp; Van Hoose, T. (1970). The cooperative subject: Myth or reality?</w:t>
      </w:r>
      <w:r>
        <w:t xml:space="preserve"> </w:t>
      </w:r>
      <w:r>
        <w:rPr>
          <w:i/>
          <w:iCs/>
        </w:rPr>
        <w:t xml:space="preserve">Journal of Experimental Social Psychology</w:t>
      </w:r>
      <w:r>
        <w:t xml:space="preserve">,</w:t>
      </w:r>
      <w:r>
        <w:t xml:space="preserve"> </w:t>
      </w:r>
      <w:r>
        <w:rPr>
          <w:i/>
          <w:iCs/>
        </w:rPr>
        <w:t xml:space="preserve">6</w:t>
      </w:r>
      <w:r>
        <w:t xml:space="preserve">(1), 1–10.</w:t>
      </w:r>
    </w:p>
    <w:bookmarkEnd w:id="117"/>
    <w:bookmarkStart w:id="118" w:name="ref-silverman1965demand"/>
    <w:p>
      <w:pPr>
        <w:pStyle w:val="Literaturverzeichnis"/>
      </w:pPr>
      <w:r>
        <w:t xml:space="preserve">Silverman, I., &amp; Marcantonio, C. (1965). Demand characteristics versus dissonance reduction as determinants of failure-seeking behavior.</w:t>
      </w:r>
      <w:r>
        <w:t xml:space="preserve"> </w:t>
      </w:r>
      <w:r>
        <w:rPr>
          <w:i/>
          <w:iCs/>
        </w:rPr>
        <w:t xml:space="preserve">Journal of Personality and Social Psychology</w:t>
      </w:r>
      <w:r>
        <w:t xml:space="preserve">,</w:t>
      </w:r>
      <w:r>
        <w:t xml:space="preserve"> </w:t>
      </w:r>
      <w:r>
        <w:rPr>
          <w:i/>
          <w:iCs/>
        </w:rPr>
        <w:t xml:space="preserve">2</w:t>
      </w:r>
      <w:r>
        <w:t xml:space="preserve">(6), 882.</w:t>
      </w:r>
    </w:p>
    <w:bookmarkEnd w:id="118"/>
    <w:bookmarkStart w:id="119"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
          <w:iCs/>
        </w:rPr>
        <w:t xml:space="preserve">The Journal of General Psychology</w:t>
      </w:r>
      <w:r>
        <w:t xml:space="preserve">,</w:t>
      </w:r>
      <w:r>
        <w:t xml:space="preserve"> </w:t>
      </w:r>
      <w:r>
        <w:rPr>
          <w:i/>
          <w:iCs/>
        </w:rPr>
        <w:t xml:space="preserve">113</w:t>
      </w:r>
      <w:r>
        <w:t xml:space="preserve">(3), 289–297.</w:t>
      </w:r>
    </w:p>
    <w:bookmarkEnd w:id="119"/>
    <w:bookmarkStart w:id="120"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
          <w:iCs/>
        </w:rPr>
        <w:t xml:space="preserve">North American Journal of Psychology</w:t>
      </w:r>
      <w:r>
        <w:t xml:space="preserve">,</w:t>
      </w:r>
      <w:r>
        <w:t xml:space="preserve"> </w:t>
      </w:r>
      <w:r>
        <w:rPr>
          <w:i/>
          <w:iCs/>
        </w:rPr>
        <w:t xml:space="preserve">10</w:t>
      </w:r>
      <w:r>
        <w:t xml:space="preserve">(3), 553–566.</w:t>
      </w:r>
    </w:p>
    <w:bookmarkEnd w:id="120"/>
    <w:bookmarkStart w:id="121" w:name="ref-stanley2014meta"/>
    <w:p>
      <w:pPr>
        <w:pStyle w:val="Literaturverzeichnis"/>
      </w:pPr>
      <w:r>
        <w:t xml:space="preserve">Stanley, T. D., &amp; Doucouliagos, H. (2014). Meta-regression approximations to reduce publication selection bias.</w:t>
      </w:r>
      <w:r>
        <w:t xml:space="preserve"> </w:t>
      </w:r>
      <w:r>
        <w:rPr>
          <w:i/>
          <w:iCs/>
        </w:rPr>
        <w:t xml:space="preserve">Research Synthesis Methods</w:t>
      </w:r>
      <w:r>
        <w:t xml:space="preserve">,</w:t>
      </w:r>
      <w:r>
        <w:t xml:space="preserve"> </w:t>
      </w:r>
      <w:r>
        <w:rPr>
          <w:i/>
          <w:iCs/>
        </w:rPr>
        <w:t xml:space="preserve">5</w:t>
      </w:r>
      <w:r>
        <w:t xml:space="preserve">(1), 60–78.</w:t>
      </w:r>
    </w:p>
    <w:bookmarkEnd w:id="121"/>
    <w:bookmarkStart w:id="122" w:name="ref-stewart2004placebo"/>
    <w:p>
      <w:pPr>
        <w:pStyle w:val="Literaturverzeichnis"/>
      </w:pPr>
      <w:r>
        <w:t xml:space="preserve">Stewart-Williams, S., &amp; Podd, J. (2004). The placebo effect: Dissolving the expectancy versus conditioning debate.</w:t>
      </w:r>
      <w:r>
        <w:t xml:space="preserve"> </w:t>
      </w:r>
      <w:r>
        <w:rPr>
          <w:i/>
          <w:iCs/>
        </w:rPr>
        <w:t xml:space="preserve">Psychological Bulletin</w:t>
      </w:r>
      <w:r>
        <w:t xml:space="preserve">,</w:t>
      </w:r>
      <w:r>
        <w:t xml:space="preserve"> </w:t>
      </w:r>
      <w:r>
        <w:rPr>
          <w:i/>
          <w:iCs/>
        </w:rPr>
        <w:t xml:space="preserve">130</w:t>
      </w:r>
      <w:r>
        <w:t xml:space="preserve">(2), 324–340.</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
          <w:iCs/>
        </w:rPr>
        <w:t xml:space="preserve">Social and Personality Psychology Compass</w:t>
      </w:r>
      <w:r>
        <w:t xml:space="preserve">,</w:t>
      </w:r>
      <w:r>
        <w:t xml:space="preserve"> </w:t>
      </w:r>
      <w:r>
        <w:rPr>
          <w:i/>
          <w:iCs/>
        </w:rPr>
        <w:t xml:space="preserve">2</w:t>
      </w:r>
      <w:r>
        <w:t xml:space="preserve">(2), 861–877.</w:t>
      </w:r>
    </w:p>
    <w:bookmarkEnd w:id="123"/>
    <w:bookmarkStart w:id="124"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
          <w:iCs/>
        </w:rPr>
        <w:t xml:space="preserve">The Journal of Nervous and Mental Disease</w:t>
      </w:r>
      <w:r>
        <w:t xml:space="preserve">,</w:t>
      </w:r>
      <w:r>
        <w:t xml:space="preserve"> </w:t>
      </w:r>
      <w:r>
        <w:rPr>
          <w:i/>
          <w:iCs/>
        </w:rPr>
        <w:t xml:space="preserve">194</w:t>
      </w:r>
      <w:r>
        <w:t xml:space="preserve">(6), 415–421.</w:t>
      </w:r>
    </w:p>
    <w:bookmarkEnd w:id="124"/>
    <w:bookmarkStart w:id="125" w:name="ref-tsai2018great"/>
    <w:p>
      <w:pPr>
        <w:pStyle w:val="Literaturverzeichnis"/>
      </w:pPr>
      <w:r>
        <w:rPr>
          <w:vertAlign w:val="superscript"/>
        </w:rPr>
        <w:t xml:space="preserve">*</w:t>
      </w:r>
      <w:r>
        <w:t xml:space="preserve"> </w:t>
      </w:r>
      <w:r>
        <w:t xml:space="preserve">Tsai, N., Buschkuehl, M., Kamarsu, S., Shah, P., Jonides, J., &amp; Jaeggi, S. M. (2018). (Un) great expectations: The role of placebo effects in cognitive training.</w:t>
      </w:r>
      <w:r>
        <w:t xml:space="preserve"> </w:t>
      </w:r>
      <w:r>
        <w:rPr>
          <w:i/>
          <w:iCs/>
        </w:rPr>
        <w:t xml:space="preserve">Journal of Applied Research in Memory and Cognition</w:t>
      </w:r>
      <w:r>
        <w:t xml:space="preserve">,</w:t>
      </w:r>
      <w:r>
        <w:t xml:space="preserve"> </w:t>
      </w:r>
      <w:r>
        <w:rPr>
          <w:i/>
          <w:iCs/>
        </w:rPr>
        <w:t xml:space="preserve">7</w:t>
      </w:r>
      <w:r>
        <w:t xml:space="preserve">(4), 564–573.</w:t>
      </w:r>
    </w:p>
    <w:bookmarkEnd w:id="125"/>
    <w:bookmarkStart w:id="126"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
          <w:iCs/>
        </w:rPr>
        <w:t xml:space="preserve">Journal of Environmental Psychology</w:t>
      </w:r>
      <w:r>
        <w:t xml:space="preserve">,</w:t>
      </w:r>
      <w:r>
        <w:t xml:space="preserve"> </w:t>
      </w:r>
      <w:r>
        <w:rPr>
          <w:i/>
          <w:iCs/>
        </w:rPr>
        <w:t xml:space="preserve">11</w:t>
      </w:r>
      <w:r>
        <w:t xml:space="preserve">(1), 87–95.</w:t>
      </w:r>
    </w:p>
    <w:bookmarkEnd w:id="126"/>
    <w:bookmarkStart w:id="127"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
          <w:iCs/>
        </w:rPr>
        <w:t xml:space="preserve">Perceptual and Motor Skills</w:t>
      </w:r>
      <w:r>
        <w:t xml:space="preserve">,</w:t>
      </w:r>
      <w:r>
        <w:t xml:space="preserve"> </w:t>
      </w:r>
      <w:r>
        <w:rPr>
          <w:i/>
          <w:iCs/>
        </w:rPr>
        <w:t xml:space="preserve">104</w:t>
      </w:r>
      <w:r>
        <w:t xml:space="preserve">(1), 153–154.</w:t>
      </w:r>
    </w:p>
    <w:bookmarkEnd w:id="127"/>
    <w:bookmarkStart w:id="128" w:name="ref-vevea1995general"/>
    <w:p>
      <w:pPr>
        <w:pStyle w:val="Literaturverzeichnis"/>
      </w:pPr>
      <w:r>
        <w:t xml:space="preserve">Vevea, J. L., &amp; Hedges, L. V. (1995). A general linear model for estimating effect size in the presence of publication bias.</w:t>
      </w:r>
      <w:r>
        <w:t xml:space="preserve"> </w:t>
      </w:r>
      <w:r>
        <w:rPr>
          <w:i/>
          <w:iCs/>
        </w:rPr>
        <w:t xml:space="preserve">Psychometrika</w:t>
      </w:r>
      <w:r>
        <w:t xml:space="preserve">,</w:t>
      </w:r>
      <w:r>
        <w:t xml:space="preserve"> </w:t>
      </w:r>
      <w:r>
        <w:rPr>
          <w:i/>
          <w:iCs/>
        </w:rPr>
        <w:t xml:space="preserve">60</w:t>
      </w:r>
      <w:r>
        <w:t xml:space="preserve">(3), 419–435.</w:t>
      </w:r>
    </w:p>
    <w:bookmarkEnd w:id="128"/>
    <w:bookmarkStart w:id="129"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
          <w:iCs/>
        </w:rPr>
        <w:t xml:space="preserve">Journal of Statistical Software</w:t>
      </w:r>
      <w:r>
        <w:t xml:space="preserve">,</w:t>
      </w:r>
      <w:r>
        <w:t xml:space="preserve"> </w:t>
      </w:r>
      <w:r>
        <w:rPr>
          <w:i/>
          <w:iCs/>
        </w:rPr>
        <w:t xml:space="preserve">36</w:t>
      </w:r>
      <w:r>
        <w:t xml:space="preserve">(3), 1–48.</w:t>
      </w:r>
    </w:p>
    <w:bookmarkEnd w:id="129"/>
    <w:bookmarkEnd w:id="130"/>
    <w:bookmarkEnd w:id="13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
          <w:iCs/>
        </w:rPr>
        <w:t xml:space="preserve">non-directional</w:t>
      </w:r>
      <w:r>
        <w:t xml:space="preserve"> </w:t>
      </w:r>
      <w:r>
        <w:t xml:space="preserve">effect. We did so because we worried participants in these scenarios could not unambiguously infer how the researcher expected their response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0">
    <w:p>
      <w:pPr>
        <w:pStyle w:val="Funotentext"/>
      </w:pPr>
      <w:r>
        <w:rPr>
          <w:rStyle w:val="Funotenzeichen"/>
        </w:rPr>
        <w:footnoteRef/>
      </w:r>
      <w:r>
        <w:t xml:space="preserve"> </w:t>
      </w: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footnote>
  <w:footnote w:id="33">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hyperlink" Id="rId92" Target="https://CRAN.R-project.org/package=PublicationBias" TargetMode="External" /><Relationship Type="http://schemas.openxmlformats.org/officeDocument/2006/relationships/hyperlink" Id="rId65" Target="https://CRAN.R-project.org/package=weightr" TargetMode="External" /><Relationship Type="http://schemas.openxmlformats.org/officeDocument/2006/relationships/hyperlink" Id="rId58"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0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PublicationBias" TargetMode="External" /><Relationship Type="http://schemas.openxmlformats.org/officeDocument/2006/relationships/hyperlink" Id="rId65" Target="https://CRAN.R-project.org/package=weightr" TargetMode="External" /><Relationship Type="http://schemas.openxmlformats.org/officeDocument/2006/relationships/hyperlink" Id="rId58"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0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and heterogeneity of demand characteristics: A meta-analysis of manipulations of explicit demand cues</dc:title>
  <dc:creator/>
  <cp:keywords/>
  <dcterms:created xsi:type="dcterms:W3CDTF">2025-06-13T15:25:03Z</dcterms:created>
  <dcterms:modified xsi:type="dcterms:W3CDTF">2025-06-13T15:25:03Z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