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9AD9D" w14:textId="77777777" w:rsidR="001E6401" w:rsidRDefault="00000000">
      <w:pPr>
        <w:pStyle w:val="Title"/>
      </w:pPr>
      <w:r>
        <w:t>Meta-analysis suggests that the effects of demand characteristics can be consequential, unreliable, and difficult to explain</w:t>
      </w:r>
    </w:p>
    <w:p w14:paraId="09C368FA" w14:textId="77777777" w:rsidR="001E6401" w:rsidRDefault="00000000" w:rsidP="00015DCC">
      <w:pPr>
        <w:pStyle w:val="BodyText"/>
        <w:ind w:firstLine="0"/>
      </w:pPr>
      <w:r>
        <w:t>                                                                                                                                                    </w:t>
      </w:r>
    </w:p>
    <w:p w14:paraId="289F016F" w14:textId="77777777" w:rsidR="001E6401" w:rsidRDefault="00000000">
      <w:pPr>
        <w:pStyle w:val="BodyText"/>
      </w:pPr>
      <w:r>
        <w:t> </w:t>
      </w:r>
    </w:p>
    <w:p w14:paraId="3D114A5B" w14:textId="77777777" w:rsidR="001E6401" w:rsidRDefault="00000000">
      <w:pPr>
        <w:pStyle w:val="h1-pagebreak"/>
      </w:pPr>
      <w:r>
        <w:lastRenderedPageBreak/>
        <w:t>Abstract</w:t>
      </w:r>
    </w:p>
    <w:p w14:paraId="5B5E6112" w14:textId="3765735E" w:rsidR="001E6401" w:rsidRDefault="00000000">
      <w:pPr>
        <w:pStyle w:val="BodyText"/>
      </w:pPr>
      <w:r>
        <w:t>Demand characteristics are a fundamental methodological concern in experimental psychology. Yet, little is known about the direction, magnitude, consistency, and mechanisms underlying their effects. We conducted a three-level meta-analysis of 252 effect sizes from 52 studies that provided experimental tests of demand effects by explicitly manipulating cues about the study hypothesis. These manipulations tended to produce small overall increases in hypothesis-consistent responding (</w:t>
      </w:r>
      <w:r>
        <w:rPr>
          <w:i/>
          <w:iCs/>
        </w:rPr>
        <w:t>g</w:t>
      </w:r>
      <w:r>
        <w:t xml:space="preserve"> = 0.21, 95% CI [0.12, 0.31]). However, effects were extremely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Both the observed and estimated distribution of these effects suggested that demand characteristics can create false positives, false negatives, upward bias, and downward bias. This heterogeneity is currently difficult to explain. New participants who reviewed key study details were neither able to predict nor provide insights into psychological mechanisms theorized to underlie demand effects. Participants</w:t>
      </w:r>
      <w:r w:rsidR="0057450F">
        <w:t>’</w:t>
      </w:r>
      <w:r>
        <w:t xml:space="preserve"> ratings of three theorized moderators – motivation to adjust responses, opportunity to adjust responses, and belief in the researcher’s hypothesis – failed to predict observed demand effects. Coded methodological features (e.g., whether participants were paid) also often failed to predict observed effects – explaining approximately 15% of in-sample variability. Although the meta-analysis did not capture the full depth of the demand characteristics construct, the synthesis of even a narrow subset of the literature suggests that their effects can be inferentially consequential, unreliable, and difficult to explain.</w:t>
      </w:r>
    </w:p>
    <w:p w14:paraId="4EBECB7A" w14:textId="77777777" w:rsidR="001E6401" w:rsidRDefault="00000000">
      <w:pPr>
        <w:pStyle w:val="BodyText"/>
      </w:pPr>
      <w:r>
        <w:rPr>
          <w:i/>
          <w:iCs/>
        </w:rPr>
        <w:t>Keywords:</w:t>
      </w:r>
      <w:r>
        <w:t xml:space="preserve"> demand characteristics, expectancies, meta-analysis, methodology, confound</w:t>
      </w:r>
    </w:p>
    <w:p w14:paraId="0890DC4B" w14:textId="77777777" w:rsidR="001E6401" w:rsidRDefault="00000000">
      <w:pPr>
        <w:pStyle w:val="h1-pagebreak"/>
      </w:pPr>
      <w:r>
        <w:lastRenderedPageBreak/>
        <w:t>Meta-analysis suggests that the effects of demand characteristics can be consequential, unreliable, and difficult to explain</w:t>
      </w:r>
    </w:p>
    <w:p w14:paraId="385FDBF9" w14:textId="77777777" w:rsidR="001E6401"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5086B82C" w14:textId="77777777" w:rsidR="001E6401" w:rsidRDefault="00000000">
      <w:pPr>
        <w:pStyle w:val="BodyText"/>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 </w:t>
      </w:r>
      <w:r>
        <w:rPr>
          <w:i/>
          <w:iCs/>
        </w:rPr>
        <w:t>methodological artifact</w:t>
      </w:r>
      <w:r>
        <w:t>.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After over a half century of inquiry, they explain, the artifact’s effects ultimately remain difficult to predict and explain.</w:t>
      </w:r>
    </w:p>
    <w:p w14:paraId="5B544C38" w14:textId="77777777" w:rsidR="001E6401" w:rsidRDefault="00000000">
      <w:pPr>
        <w:pStyle w:val="BodyText"/>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 </w:t>
      </w:r>
      <w:r>
        <w:rPr>
          <w:i/>
          <w:iCs/>
        </w:rPr>
        <w:t>demand characteristics</w:t>
      </w:r>
      <w:r>
        <w:t>.</w:t>
      </w:r>
    </w:p>
    <w:p w14:paraId="4BFCF12F" w14:textId="77777777" w:rsidR="001E6401"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w:t>
      </w:r>
      <w:r>
        <w:lastRenderedPageBreak/>
        <w:t xml:space="preserve">positives, such as patients exhibiting sham symptoms of hypnosis (Orne, 1959). However,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on self-reported emotion can be amplified </w:t>
      </w:r>
      <w:r>
        <w:rPr>
          <w:i/>
          <w:iCs/>
        </w:rPr>
        <w:t>or</w:t>
      </w:r>
      <w:r>
        <w:t xml:space="preserve"> attenuated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direct manipulations of demand characteristics consistently failed to significantly impact participants’ responses (Mummolo &amp; Peterson, 2019).</w:t>
      </w:r>
    </w:p>
    <w:p w14:paraId="41BD870B" w14:textId="77777777" w:rsidR="001E6401" w:rsidRDefault="00000000">
      <w:pPr>
        <w:pStyle w:val="BodyText"/>
      </w:pPr>
      <w:r>
        <w:t>In the present work, we advance an unexpected</w:t>
      </w:r>
      <w:r>
        <w:rPr>
          <w:rStyle w:val="FootnoteReference"/>
        </w:rPr>
        <w:footnoteReference w:id="1"/>
      </w:r>
      <w:r>
        <w:t xml:space="preserve"> thesis based on the above observations and our own follow-up meta-analytic work: demand characteristics are uncomfortably close to the mysterious methodological artifact described in the opening of the paper. Demand effects are a literal textbook methodological concern in experimental psychology (Sharpe &amp; Whelton, 2016). They can create false positives, false negatives, upward bias, and downward bias. Yet, over 50+ years after Orne influentially described them (1962), demand characteristics remain difficult to predict and explain. To begin, we review an influential theoretical framework that initially guided our investigation.</w:t>
      </w:r>
    </w:p>
    <w:p w14:paraId="1EF28B36" w14:textId="77777777" w:rsidR="001E6401" w:rsidRDefault="00000000">
      <w:pPr>
        <w:pStyle w:val="Heading2"/>
      </w:pPr>
      <w:bookmarkStart w:id="0" w:name="Xa0d64ece604650f58e403bddeb4af76aa562f5e"/>
      <w:r>
        <w:lastRenderedPageBreak/>
        <w:t>How do demand characteristics alter participant responses?</w:t>
      </w:r>
    </w:p>
    <w:p w14:paraId="59D364C4" w14:textId="77777777" w:rsidR="001E6401" w:rsidRDefault="00000000">
      <w:pPr>
        <w:pStyle w:val="FirstParagraph"/>
      </w:pPr>
      <w:r>
        <w:t>One of the most influential frameworks for conceptualizing demand effects was developed by Rosnow and colleagues (Rosnow &amp; Aiken, 1973; Rosnow &amp; Rosenthal, 1997; Strohmetz, 2008). In this framework, they described three key moderators we discuss in the present work: (1) receptivity to cues, (2) motivation to provide hypothesis-consistent responses, and (3) opportunity to alter responses.</w:t>
      </w:r>
    </w:p>
    <w:p w14:paraId="1DCD9E5A" w14:textId="7B645E26" w:rsidR="001E6401" w:rsidRDefault="00000000">
      <w:pPr>
        <w:pStyle w:val="BodyText"/>
      </w:pPr>
      <w:r>
        <w:t>To start, Rosnow and colleagues reasoned that participants must be receptive to demand characteristics for there to be subsequent shifts in participants’ responses</w:t>
      </w:r>
      <w:del w:id="1" w:author="Coles, Nicholas A." w:date="2025-05-01T19:10:00Z" w16du:dateUtc="2025-05-01T23:10:00Z">
        <w:r w:rsidDel="005E4054">
          <w:delText xml:space="preserve"> (see also, Orne, 1958)</w:delText>
        </w:r>
      </w:del>
      <w:r>
        <w:t>. As an extreme example, imagine that a researcher hands an infant a sheet of paper that precisely explains the study hypothesis. Demand characteristics are certainly present, but they are not predicted to have an impact because the infant is not receptive to the cues. Even if the infant possessed the astonishing ability to read, it’s possible they would misunderstand the cues (Corneille &amp; Lush, 2023) – which we will consider another form of non-receptivity in the present work.</w:t>
      </w:r>
    </w:p>
    <w:p w14:paraId="7440B2CA" w14:textId="77777777" w:rsidR="001E6401"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Early work on demand characteristics was marked by debates about whether participants are motivated to adjust their responses to (a) help the researcher confirm their hypothesis (Orne, 1962), (b) receive positive evaluations (Riecken, 1962; Rosenberg, 1969;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w:t>
      </w:r>
      <w:r>
        <w:lastRenderedPageBreak/>
        <w:t>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14:paraId="7117F640" w14:textId="77777777" w:rsidR="001E6401" w:rsidRDefault="00000000">
      <w:pPr>
        <w:pStyle w:val="BodyText"/>
      </w:pPr>
      <w:r>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 This framework directly maps onto many psychologists’ typical playbook for avoiding the impact of demand characteristics: use deception and/or unobtrusive procedures (reduce receptivity), incentivize honest reporting (reduce motivation), and/or deploy difficult-to-control outcome measures (reduce opportunity to adjust responses).</w:t>
      </w:r>
    </w:p>
    <w:p w14:paraId="3F4EF3A8" w14:textId="77777777" w:rsidR="001E6401" w:rsidRDefault="00000000">
      <w:pPr>
        <w:pStyle w:val="BodyText"/>
      </w:pPr>
      <w:r>
        <w:t xml:space="preserve">Of course, other researchers have since expanded upon and/or challenged parts of Rosnow and colleagues’ framework. For example, by elaborating upon underlying mechanisms like imagination, Corneille and Lush (2023) more clearly highlight that participants can willingly change many outcomes that may initially seem outside their control. For example, a participant who wants to help a researcher confirm that a manuscript reviewing research artifacts is </w:t>
      </w:r>
      <w:r>
        <w:lastRenderedPageBreak/>
        <w:t xml:space="preserve">physiologically arousing could likely do so by simply imagining a physiologically arousing context. Relatedly, Coles et al. (2022) argued that demand characteristics may sometimes impact participants in cases where they are </w:t>
      </w:r>
      <w:r>
        <w:rPr>
          <w:i/>
          <w:iCs/>
        </w:rPr>
        <w:t>not</w:t>
      </w:r>
      <w:r>
        <w:t xml:space="preserve"> motivated to adjust responses – e.g., via conditioned responses or other mechanisms discussed in conceptually-related work on placebo effects (Stewart-Williams &amp; Podd, 2004). We focus our review on Rosnow and colleagues’ influential framework, but we revisit complementary ideas throughout.</w:t>
      </w:r>
    </w:p>
    <w:p w14:paraId="52E637FE" w14:textId="77777777" w:rsidR="001E6401" w:rsidRDefault="00000000">
      <w:pPr>
        <w:pStyle w:val="Heading1"/>
      </w:pPr>
      <w:bookmarkStart w:id="2" w:name="methodology"/>
      <w:bookmarkEnd w:id="0"/>
      <w:r>
        <w:t>Methodology</w:t>
      </w:r>
    </w:p>
    <w:p w14:paraId="64FEDB72" w14:textId="77777777" w:rsidR="001E6401" w:rsidRDefault="00000000">
      <w:pPr>
        <w:pStyle w:val="FirstParagraph"/>
      </w:pPr>
      <w:r>
        <w:t xml:space="preserve">The goal of the current paper is to quantitatively take stock of what experimental psychologists have learned – if anything – about demand effects in the 50+ years since Orne influentially described them (Orne, 1962). Although several excellent </w:t>
      </w:r>
      <w:r>
        <w:rPr>
          <w:i/>
          <w:iCs/>
        </w:rPr>
        <w:t>narrative reviews</w:t>
      </w:r>
      <w:r>
        <w:t xml:space="preserve"> exist (Corneille &amp; Lush, 2023; Rosnow &amp; Rosenthal, 1997; Sharpe &amp; Whelton, 2016; Strohmetz, 2008), meta-analysis allows us to evaluate the magnitude, consistency, and potential moderators of demand effects.</w:t>
      </w:r>
    </w:p>
    <w:p w14:paraId="20358BE4" w14:textId="09B8B1FF" w:rsidR="001E6401" w:rsidRDefault="00000000">
      <w:pPr>
        <w:pStyle w:val="BodyText"/>
      </w:pPr>
      <w:r>
        <w:t>We defined the scope of the meta-analysis using the Population, Intervention, Comparison, Outcome framework (</w:t>
      </w:r>
      <w:ins w:id="3" w:author="Coles, Nicholas A." w:date="2025-05-01T19:16:00Z" w16du:dateUtc="2025-05-01T23:16:00Z">
        <w:r w:rsidR="005E4054" w:rsidRPr="005E4054">
          <w:t>a structured approach to framing research questions</w:t>
        </w:r>
        <w:r w:rsidR="005E4054">
          <w:t xml:space="preserve">; </w:t>
        </w:r>
      </w:ins>
      <w:r>
        <w:t>Schardt, Adams, Owens, Keitz, &amp; Fontelo, 2007). 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w:t>
      </w:r>
    </w:p>
    <w:p w14:paraId="41447DC0" w14:textId="77777777" w:rsidR="001E6401"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lastRenderedPageBreak/>
        <w:t>any</w:t>
      </w:r>
      <w:r>
        <w:t xml:space="preserve"> cue that may impact participants’ beliefs about the purpose of the study, including instructions, rumors, and experimenter behavior (Orne, 1962). However, such a definition creates a potentially boundless conceptual space where </w:t>
      </w:r>
      <w:r>
        <w:rPr>
          <w:i/>
          <w:iCs/>
        </w:rPr>
        <w:t>any</w:t>
      </w:r>
      <w:r>
        <w:t xml:space="preserve"> systematic change in a research design might be considered a test of demand characteristics. Furthermore, our own review of the literature revealed that researchers tend to study such effects by manipulating the study hypothesis </w:t>
      </w:r>
      <w:r>
        <w:rPr>
          <w:i/>
          <w:iCs/>
        </w:rPr>
        <w:t>explicitly</w:t>
      </w:r>
      <w:r>
        <w:t xml:space="preserve"> communicated to participants. For these reasons, the present review focuses on relatively explicit manipulations of the study hypothesis. (See </w:t>
      </w:r>
      <w:r>
        <w:rPr>
          <w:i/>
          <w:iCs/>
        </w:rPr>
        <w:t>Limitations</w:t>
      </w:r>
      <w:r>
        <w:t xml:space="preserve"> section for further reflection.)</w:t>
      </w:r>
    </w:p>
    <w:p w14:paraId="7B98F302" w14:textId="77777777" w:rsidR="001E6401"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35AF7FC6" w14:textId="77777777" w:rsidR="001E6401" w:rsidRDefault="00000000">
      <w:pPr>
        <w:pStyle w:val="Heading3"/>
        <w:framePr w:wrap="around"/>
      </w:pPr>
      <w:bookmarkStart w:id="4" w:name="literature-search"/>
      <w:r>
        <w:t>Literature search.</w:t>
      </w:r>
    </w:p>
    <w:p w14:paraId="28C5A5EC" w14:textId="77777777" w:rsidR="001E6401" w:rsidRDefault="00000000">
      <w:pPr>
        <w:pStyle w:val="FirstParagraph"/>
      </w:pPr>
      <w:r>
        <w:t>Figure 1 provides a PRISMA-style flowchart summarizing our literature search and screening process (Page et al., 2021).</w:t>
      </w:r>
    </w:p>
    <w:p w14:paraId="417B2427" w14:textId="77777777" w:rsidR="001E6401" w:rsidRDefault="00000000">
      <w:pPr>
        <w:pStyle w:val="BodyText"/>
      </w:pPr>
      <w:r>
        <w:t xml:space="preserve">The literature search was initially developed in consultation with a librarian at (anonymous for peer review) and later expanded based on reviewer feedback. On January 12, 2022, we searched APA PsycInfo using broad search terms: “demand characteristics” OR “hypothesis awareness” (n = 850 records identified). On April 17, 2024, we repeated the search to identify records published after the initial search (n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(n = 572 </w:t>
      </w:r>
      <w:r>
        <w:lastRenderedPageBreak/>
        <w:t>records identified). We also released a call for unpublished studies on the Society for Personality and Social Psychology Open Forum, Twitter, the Facebook Psychological Methods Discussion group, and the Facebook PsychMAP group (n = 6 records identified).</w:t>
      </w:r>
    </w:p>
    <w:p w14:paraId="2C26C8B5" w14:textId="1E7B8A9D" w:rsidR="00C0698C" w:rsidRDefault="00000000">
      <w:pPr>
        <w:pStyle w:val="BodyText"/>
      </w:pPr>
      <w:r>
        <w:t>Our search did not have language restrictions and went as far back as 1840, which yielded 1457 records, 168 of which were unpublished.</w:t>
      </w:r>
    </w:p>
    <w:p w14:paraId="0481746B" w14:textId="77777777" w:rsidR="00C0698C" w:rsidRDefault="00C0698C">
      <w:pPr>
        <w:spacing w:before="0" w:after="200" w:line="240" w:lineRule="auto"/>
      </w:pPr>
      <w:r>
        <w:br w:type="page"/>
      </w:r>
    </w:p>
    <w:p w14:paraId="66EE87BE" w14:textId="77777777" w:rsidR="001E6401" w:rsidRDefault="00000000">
      <w:pPr>
        <w:pStyle w:val="CaptionedFigure"/>
        <w:framePr w:wrap="notBeside"/>
      </w:pPr>
      <w:r>
        <w:rPr>
          <w:noProof/>
        </w:rPr>
        <w:lastRenderedPageBreak/>
        <w:drawing>
          <wp:inline distT="0" distB="0" distL="0" distR="0" wp14:anchorId="22018E43" wp14:editId="30BB668D">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7"/>
                    <a:stretch>
                      <a:fillRect/>
                    </a:stretch>
                  </pic:blipFill>
                  <pic:spPr bwMode="auto">
                    <a:xfrm>
                      <a:off x="0" y="0"/>
                      <a:ext cx="5969000" cy="4660327"/>
                    </a:xfrm>
                    <a:prstGeom prst="rect">
                      <a:avLst/>
                    </a:prstGeom>
                    <a:noFill/>
                    <a:ln w="9525">
                      <a:noFill/>
                      <a:headEnd/>
                      <a:tailEnd/>
                    </a:ln>
                  </pic:spPr>
                </pic:pic>
              </a:graphicData>
            </a:graphic>
          </wp:inline>
        </w:drawing>
      </w:r>
    </w:p>
    <w:p w14:paraId="67DA6282" w14:textId="0B5D5D2F" w:rsidR="00C0698C" w:rsidRDefault="00000000">
      <w:pPr>
        <w:pStyle w:val="ImageCaption"/>
      </w:pPr>
      <w:bookmarkStart w:id="5" w:name="fig:prisma"/>
      <w:bookmarkEnd w:id="5"/>
      <w:r>
        <w:rPr>
          <w:i/>
          <w:iCs/>
        </w:rPr>
        <w:t>Figure</w:t>
      </w:r>
      <w:r>
        <w:t xml:space="preserve"> 1. PRISMA-style flowchart illustrating the identification, screening, and selection of studies.</w:t>
      </w:r>
    </w:p>
    <w:p w14:paraId="17CC8C93" w14:textId="77777777" w:rsidR="00C0698C" w:rsidRDefault="00C0698C">
      <w:pPr>
        <w:spacing w:before="0" w:after="200" w:line="240" w:lineRule="auto"/>
      </w:pPr>
      <w:r>
        <w:br w:type="page"/>
      </w:r>
    </w:p>
    <w:p w14:paraId="4001F0F0" w14:textId="77777777" w:rsidR="001E6401" w:rsidRDefault="00000000">
      <w:pPr>
        <w:pStyle w:val="Heading3"/>
        <w:framePr w:wrap="around"/>
      </w:pPr>
      <w:bookmarkStart w:id="6" w:name="screening"/>
      <w:bookmarkEnd w:id="4"/>
      <w:r>
        <w:lastRenderedPageBreak/>
        <w:t>Screening.</w:t>
      </w:r>
    </w:p>
    <w:p w14:paraId="25850D9E" w14:textId="77777777" w:rsidR="001E6401" w:rsidRDefault="00000000">
      <w:pPr>
        <w:pStyle w:val="FirstParagraph"/>
      </w:pPr>
      <w:r>
        <w:t>Put simply, records must have met the following criteria in order to be eligible for inclusion in the meta-analysis:</w:t>
      </w:r>
    </w:p>
    <w:p w14:paraId="7C68257C" w14:textId="77777777" w:rsidR="001E6401" w:rsidRDefault="00000000">
      <w:pPr>
        <w:numPr>
          <w:ilvl w:val="0"/>
          <w:numId w:val="24"/>
        </w:numPr>
      </w:pPr>
      <w:r>
        <w:t>The researcher manipulated what participants were told about the effect of an independent variable on a dependent variable.</w:t>
      </w:r>
      <w:r>
        <w:rPr>
          <w:rStyle w:val="FootnoteReference"/>
        </w:rPr>
        <w:footnoteReference w:id="2"/>
      </w:r>
      <w:r>
        <w:t xml:space="preserve"> In most cases, the effect of the independent variable was described explicitly, but there were some included studies where it was strongly implied.</w:t>
      </w:r>
    </w:p>
    <w:p w14:paraId="42730400" w14:textId="77777777" w:rsidR="001E6401"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516D5AE0" w14:textId="77777777" w:rsidR="001E6401" w:rsidRDefault="00000000">
      <w:pPr>
        <w:numPr>
          <w:ilvl w:val="0"/>
          <w:numId w:val="24"/>
        </w:numPr>
      </w:pPr>
      <w:r>
        <w:t>A non-clinical population was studied.</w:t>
      </w:r>
    </w:p>
    <w:p w14:paraId="6B442C46" w14:textId="77777777" w:rsidR="001E6401" w:rsidRDefault="00000000">
      <w:pPr>
        <w:numPr>
          <w:ilvl w:val="0"/>
          <w:numId w:val="24"/>
        </w:numPr>
      </w:pPr>
      <w:r>
        <w:t>Information necessary for computing at least one effect size was included.</w:t>
      </w:r>
    </w:p>
    <w:p w14:paraId="31635EA9" w14:textId="77777777" w:rsidR="001E6401" w:rsidRDefault="00000000">
      <w:pPr>
        <w:pStyle w:val="FirstParagraph"/>
      </w:pPr>
      <w:r>
        <w:t>Figure 1 more thoroughly summarizes exclusion criteria. In instances where multiple exclusion criteria applied, coders were asked to choose only one option.</w:t>
      </w:r>
    </w:p>
    <w:p w14:paraId="4C333C28" w14:textId="77777777" w:rsidR="001E6401"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53 studies from 38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64979E4D" w14:textId="77777777" w:rsidR="001E6401" w:rsidRDefault="00000000">
      <w:pPr>
        <w:pStyle w:val="Heading3"/>
        <w:framePr w:wrap="around"/>
      </w:pPr>
      <w:bookmarkStart w:id="7" w:name="effect-size-index"/>
      <w:bookmarkEnd w:id="6"/>
      <w:r>
        <w:t>Effect size index.</w:t>
      </w:r>
    </w:p>
    <w:p w14:paraId="27A0CCA9" w14:textId="77777777" w:rsidR="001E6401"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5ED83D52" w14:textId="77777777" w:rsidR="001E6401" w:rsidRDefault="00000000">
      <w:pPr>
        <w:pStyle w:val="BodyText"/>
      </w:pPr>
      <w:r>
        <w:t>In most scenarios, we estimated the main effect of explicit demand characteristics. For example, Coles et al. (2022) manipulated whether participants were told that posing smiles would increase happiness. Here, the main effect of explicit demand characteristics can be computed by comparing happiness ratings from smiling participants who were either informed or not informed of the mood-boosting effect of smiling.</w:t>
      </w:r>
    </w:p>
    <w:p w14:paraId="28B54909" w14:textId="77777777" w:rsidR="001E6401" w:rsidRDefault="00000000">
      <w:pPr>
        <w:pStyle w:val="BodyText"/>
      </w:pPr>
      <w:r>
        <w:t xml:space="preserve">In some scenarios, we estimated the </w:t>
      </w:r>
      <w:r>
        <w:rPr>
          <w:i/>
          <w:iCs/>
        </w:rPr>
        <w:t>interactive</w:t>
      </w:r>
      <w:r>
        <w:t xml:space="preserve"> effect of explicit demand characteristics.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explicit demand characteristics. In this scenario, the interactive effect of explicit demand characteristics was computed by calculating a standardized difference-in-differences score.</w:t>
      </w:r>
    </w:p>
    <w:p w14:paraId="4DBF945E" w14:textId="77777777" w:rsidR="001E6401" w:rsidRDefault="00000000">
      <w:pPr>
        <w:pStyle w:val="BodyText"/>
      </w:pPr>
      <w:r>
        <w:lastRenderedPageBreak/>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49ABB988" w14:textId="77777777" w:rsidR="001E6401"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3"/>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significance and direction of the effect was described, we assumed </w:t>
      </w:r>
      <w:r>
        <w:rPr>
          <w:i/>
          <w:iCs/>
        </w:rPr>
        <w:t>p</w:t>
      </w:r>
      <w:r>
        <w:t xml:space="preserve">-values of .04 and .50 for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5BF97903" w14:textId="77777777" w:rsidR="001E6401" w:rsidRDefault="00000000">
      <w:pPr>
        <w:pStyle w:val="BodyText"/>
      </w:pPr>
      <w:r>
        <w:lastRenderedPageBreak/>
        <w:t>Nearly all studies (75%)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0CA4436E" w14:textId="77777777" w:rsidR="001E6401" w:rsidRDefault="00000000">
      <w:pPr>
        <w:pStyle w:val="Heading3"/>
        <w:framePr w:wrap="around"/>
      </w:pPr>
      <w:bookmarkStart w:id="8" w:name="potential-study-feature-moderators"/>
      <w:bookmarkEnd w:id="7"/>
      <w:r>
        <w:t>Potential study feature moderators.</w:t>
      </w:r>
    </w:p>
    <w:p w14:paraId="14BB968D" w14:textId="77777777" w:rsidR="001E6401"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demand effects:</w:t>
      </w:r>
    </w:p>
    <w:p w14:paraId="7B8B4C8D" w14:textId="77777777" w:rsidR="001E6401"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Sometimes, though, one demand condition was compared to another.</w:t>
      </w:r>
    </w:p>
    <w:p w14:paraId="2A04B94E" w14:textId="77777777" w:rsidR="001E6401"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w:t>
      </w:r>
      <w:r>
        <w:lastRenderedPageBreak/>
        <w:t>mood should be larger when the positive demand condition is compared to the negative demand condition (as opposed to the control condition). To test this, we coded whether comparisons were made to a control group or a different demand condition.</w:t>
      </w:r>
    </w:p>
    <w:p w14:paraId="1245B763" w14:textId="77777777" w:rsidR="001E6401"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17990079" w14:textId="77777777" w:rsidR="001E6401" w:rsidRDefault="00000000">
      <w:pPr>
        <w:numPr>
          <w:ilvl w:val="0"/>
          <w:numId w:val="25"/>
        </w:numPr>
      </w:pPr>
      <w:r>
        <w:rPr>
          <w:i/>
          <w:iCs/>
        </w:rPr>
        <w:t>Design of demand characteristics manipulation.</w:t>
      </w:r>
      <w:r>
        <w:t xml:space="preserve"> Whether demand characteristics were manipulation within- vs. between-subjects.</w:t>
      </w:r>
    </w:p>
    <w:p w14:paraId="63B3DB93" w14:textId="77777777" w:rsidR="001E6401" w:rsidRDefault="00000000">
      <w:pPr>
        <w:numPr>
          <w:ilvl w:val="0"/>
          <w:numId w:val="25"/>
        </w:numPr>
      </w:pPr>
      <w:r>
        <w:rPr>
          <w:i/>
          <w:iCs/>
        </w:rPr>
        <w:t>Participant pool.</w:t>
      </w:r>
      <w:r>
        <w:t xml:space="preserve"> Whether students, non-students (e.g., MTurk workers), or a mix of students and non-students were sampled.</w:t>
      </w:r>
    </w:p>
    <w:p w14:paraId="05FB8A65" w14:textId="77777777" w:rsidR="001E6401" w:rsidRDefault="00000000">
      <w:pPr>
        <w:numPr>
          <w:ilvl w:val="0"/>
          <w:numId w:val="25"/>
        </w:numPr>
      </w:pPr>
      <w:r>
        <w:rPr>
          <w:i/>
          <w:iCs/>
        </w:rPr>
        <w:t>Setting.</w:t>
      </w:r>
      <w:r>
        <w:t xml:space="preserve"> Whether the study was conducted online or in-person.</w:t>
      </w:r>
    </w:p>
    <w:p w14:paraId="1DF8FF10" w14:textId="77777777" w:rsidR="001E6401" w:rsidRDefault="00000000">
      <w:pPr>
        <w:numPr>
          <w:ilvl w:val="0"/>
          <w:numId w:val="25"/>
        </w:numPr>
      </w:pPr>
      <w:r>
        <w:rPr>
          <w:i/>
          <w:iCs/>
        </w:rPr>
        <w:t>Payment.</w:t>
      </w:r>
      <w:r>
        <w:t xml:space="preserve"> Whether participants were paid or unpaid.</w:t>
      </w:r>
    </w:p>
    <w:p w14:paraId="745DCF64" w14:textId="77777777" w:rsidR="001E6401" w:rsidRDefault="00000000">
      <w:pPr>
        <w:numPr>
          <w:ilvl w:val="0"/>
          <w:numId w:val="25"/>
        </w:numPr>
      </w:pPr>
      <w:r>
        <w:rPr>
          <w:i/>
          <w:iCs/>
        </w:rPr>
        <w:t>Publication status.</w:t>
      </w:r>
      <w:r>
        <w:t xml:space="preserve"> Whether the study was published or unpublished.</w:t>
      </w:r>
    </w:p>
    <w:p w14:paraId="4DEA3393" w14:textId="7014AA2C" w:rsidR="001E6401" w:rsidRDefault="00000000">
      <w:pPr>
        <w:pStyle w:val="Heading3"/>
        <w:framePr w:wrap="around"/>
      </w:pPr>
      <w:bookmarkStart w:id="9" w:name="Xe0d312d46d170b17286487d2e4bf43d6a2a2281"/>
      <w:bookmarkEnd w:id="8"/>
      <w:r>
        <w:t>Can research participants help us understand demand effects?</w:t>
      </w:r>
    </w:p>
    <w:p w14:paraId="2CC97F2C" w14:textId="77777777" w:rsidR="001E6401" w:rsidRDefault="00000000">
      <w:pPr>
        <w:pStyle w:val="FirstParagraph"/>
      </w:pPr>
      <w:r>
        <w:t xml:space="preserve">During our literature review, we found very few papers that tested mechanisms that may help predict demand effects. We thus turned to a population that Orne (1969) believed may help researchers understand demand effects: research participants themselves. As recently reviewed by Corneille and Béna (2023), participants can successfully predict a variety of effects in experimental psychology, including the approach-avoidance effect, mere exposure effect, and the rubber hand illusion. When this occurs, it raises concerns that the original effect may have been driven by </w:t>
      </w:r>
      <w:r>
        <w:lastRenderedPageBreak/>
        <w:t xml:space="preserve">demand characteristics (Bartels, 2019). Here, we attempt to extend this methodology not to raise concerns about participants’ potential responses to demand characteristics – but instead to evaluate whether they can explain </w:t>
      </w:r>
      <w:r>
        <w:rPr>
          <w:i/>
          <w:iCs/>
        </w:rPr>
        <w:t>when</w:t>
      </w:r>
      <w:r>
        <w:t xml:space="preserve"> and </w:t>
      </w:r>
      <w:r>
        <w:rPr>
          <w:i/>
          <w:iCs/>
        </w:rPr>
        <w:t>how</w:t>
      </w:r>
      <w:r>
        <w:t xml:space="preserve"> such effects operate.</w:t>
      </w:r>
    </w:p>
    <w:p w14:paraId="49207C9F" w14:textId="77777777" w:rsidR="001E6401" w:rsidRDefault="00000000">
      <w:pPr>
        <w:pStyle w:val="BodyText"/>
      </w:pPr>
      <w:r>
        <w:t>As we describe below, we asked a new set of participants to review vignettes describing key details of studies included in the meta-analysis. We then solicited judgments of not only whether they believed demand effects would emerge, but also the extent to which they (a) correctly identified the communicated hypothesis, (b) would be motivated to adjust responses, (c) would be able to adjust responses, and (d) would believe the experimenter’s hypothesis.</w:t>
      </w:r>
    </w:p>
    <w:p w14:paraId="7E59BE18" w14:textId="77777777" w:rsidR="001E6401" w:rsidRDefault="00000000">
      <w:pPr>
        <w:pStyle w:val="Heading4"/>
        <w:framePr w:wrap="around"/>
      </w:pPr>
      <w:bookmarkStart w:id="10" w:name="vignette-rating-methodology"/>
      <w:r>
        <w:t>Vignette rating methodology.</w:t>
      </w:r>
    </w:p>
    <w:p w14:paraId="53DE92DB" w14:textId="77777777" w:rsidR="001E6401" w:rsidRDefault="00000000">
      <w:pPr>
        <w:pStyle w:val="FirstParagraph"/>
      </w:pPr>
      <w:r>
        <w:t>For each study included in the meta-analysis after our original literature search</w:t>
      </w:r>
      <w:r>
        <w:rPr>
          <w:rStyle w:val="FootnoteReference"/>
        </w:rPr>
        <w:footnoteReference w:id="4"/>
      </w:r>
      <w:r>
        <w:t>,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(Figure 2). In an effort to help participants understand the study context, vignettes also contained information about (a) whether students vs. non-students were sampled, (b) whether subjects received compensation, and (c) whether the study was conducted online or in-person.</w:t>
      </w:r>
    </w:p>
    <w:p w14:paraId="1CB4CA3B" w14:textId="77777777" w:rsidR="001E6401" w:rsidRDefault="00000000">
      <w:pPr>
        <w:pStyle w:val="CaptionedFigure"/>
        <w:framePr w:wrap="notBeside"/>
      </w:pPr>
      <w:r>
        <w:rPr>
          <w:noProof/>
        </w:rPr>
        <w:lastRenderedPageBreak/>
        <w:drawing>
          <wp:inline distT="0" distB="0" distL="0" distR="0" wp14:anchorId="2059EA45" wp14:editId="347D11A3">
            <wp:extent cx="5969000" cy="3740573"/>
            <wp:effectExtent l="0" t="0" r="0" b="0"/>
            <wp:docPr id="35" name="Picture" descr="Figure 2: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36" name="Picture" descr="images/metaware_vigs.png"/>
                    <pic:cNvPicPr>
                      <a:picLocks noChangeAspect="1" noChangeArrowheads="1"/>
                    </pic:cNvPicPr>
                  </pic:nvPicPr>
                  <pic:blipFill>
                    <a:blip r:embed="rId8"/>
                    <a:stretch>
                      <a:fillRect/>
                    </a:stretch>
                  </pic:blipFill>
                  <pic:spPr bwMode="auto">
                    <a:xfrm>
                      <a:off x="0" y="0"/>
                      <a:ext cx="5969000" cy="3740573"/>
                    </a:xfrm>
                    <a:prstGeom prst="rect">
                      <a:avLst/>
                    </a:prstGeom>
                    <a:noFill/>
                    <a:ln w="9525">
                      <a:noFill/>
                      <a:headEnd/>
                      <a:tailEnd/>
                    </a:ln>
                  </pic:spPr>
                </pic:pic>
              </a:graphicData>
            </a:graphic>
          </wp:inline>
        </w:drawing>
      </w:r>
    </w:p>
    <w:p w14:paraId="5EBEF7C6" w14:textId="2E7EC41A" w:rsidR="00C0698C" w:rsidRDefault="00000000">
      <w:pPr>
        <w:pStyle w:val="ImageCaption"/>
      </w:pPr>
      <w:bookmarkStart w:id="11" w:name="fig:vig"/>
      <w:bookmarkEnd w:id="11"/>
      <w:r>
        <w:rPr>
          <w:i/>
          <w:iCs/>
        </w:rPr>
        <w:t>Figure</w:t>
      </w:r>
      <w:r>
        <w:t xml:space="preserve"> 2. Vignettes for Standing et al. (2008), which described the key details for each demand characteristic condition (bolded and underlined) and dependent variable (bolded and italicized) combination.</w:t>
      </w:r>
    </w:p>
    <w:p w14:paraId="5035DE4E" w14:textId="77777777" w:rsidR="00C0698C" w:rsidRDefault="00C0698C">
      <w:pPr>
        <w:spacing w:before="0" w:after="200" w:line="240" w:lineRule="auto"/>
      </w:pPr>
      <w:r>
        <w:br w:type="page"/>
      </w:r>
    </w:p>
    <w:p w14:paraId="5F344590" w14:textId="77777777" w:rsidR="001E6401" w:rsidRDefault="00000000">
      <w:pPr>
        <w:pStyle w:val="BodyText"/>
      </w:pPr>
      <w:r>
        <w:lastRenderedPageBreak/>
        <w:t>In total, there were 119 vignettes. We did not create vignettes for control conditions because participants were not given information about the experimenter’s hypothesis (i.e., there were no explicit demand characteristics to act upon).</w:t>
      </w:r>
    </w:p>
    <w:p w14:paraId="735D8EF5" w14:textId="77777777" w:rsidR="001E6401" w:rsidRDefault="00000000">
      <w:pPr>
        <w:pStyle w:val="BodyText"/>
      </w:pPr>
      <w:r>
        <w:t>Using a web-based Qualtrics survey, participants reviewed 10 randomly selected vignettes. Much like the sample in the studies they reviewed, these participants were a convenience sample. For each study, participants were asked to first identify the researcher’s hypothesis. Here, participants chose between four options that described a filler effect (usually involving an irrelevant dependent variable) or a positive, negative, or nil effect of the independent variable on the dependent variable. Although not originally pre-registered, the proportion of participants who correctly identified the hypothesis in each vignette (0 - 1) will later be used to evaluate Rosnow and colleagues’ proposed receptivity moderator.</w:t>
      </w:r>
    </w:p>
    <w:p w14:paraId="6742518D" w14:textId="77777777" w:rsidR="001E6401" w:rsidRDefault="00000000">
      <w:pPr>
        <w:pStyle w:val="BodyText"/>
      </w:pPr>
      <w:r>
        <w:t xml:space="preserve">Afterwards, participants rated the extent to which they would hypothetically (a) be motivated to adjust responses based on the researcher’s stated hypothesis (-3 = “extremely motivated to adjust responses to be inconsistent” to 3 = “extremely motivated to adjust responses to be consistent”), (b) be able to adjust their responses on the outcome-of-interest (0 = “extremely incapable” to 4 = “extremely capable”), and (c) believe the hypothesized effect would occur (-3 = “strong disbelief” to 3 = “strong belief”). Participants also indicated the extent to which they expected other participants to adjust their responses to confirm the hypothesized effect (-3 = “extremely likely to adjust responses to be </w:t>
      </w:r>
      <w:r>
        <w:rPr>
          <w:i/>
          <w:iCs/>
        </w:rPr>
        <w:t>inconsistent</w:t>
      </w:r>
      <w:r>
        <w:t>” to 3 “extremely likely to adjust responses to be consistent”). These rating scales were presented in random order.</w:t>
      </w:r>
    </w:p>
    <w:p w14:paraId="763F747F" w14:textId="77777777" w:rsidR="001E6401" w:rsidRDefault="00000000">
      <w:pPr>
        <w:pStyle w:val="BodyText"/>
      </w:pPr>
      <w:r>
        <w:lastRenderedPageBreak/>
        <w:t>Sample size was initially based on availability of resources.</w:t>
      </w:r>
      <w:r>
        <w:rPr>
          <w:rStyle w:val="FootnoteReference"/>
        </w:rPr>
        <w:footnoteReference w:id="5"/>
      </w:r>
      <w:r>
        <w:t xml:space="preserve"> We originally collected as much data as possible (n = 192) in a single quarter from undergraduates from (anonymous for peer review). Following a reviewer recommendation, we performed post-hoc examinations of the reliability of their ratings. More specifically, we calculated intraclass correlations using mixed effects models. For ratings of predicted demand effects, motivation to adjust responses, opportunity to adjust responses, and belief in the hypothesized effect, we used the lme4 package (Bates, Mächler, Bolker, &amp; Walker, 2015) in R (R Core Team, 2021) to fit an intercept-only mixed effect model with random intercepts at the level of participant and vignette. We then used the performance package (Lüdecke, Ben-Shachar, Patil, Waggoner, &amp; Makowski, 2021) to calculate the intraclass correlation for the participant random intercept. The intraclass coefficient for predicted demand effects (ICC = 0.21), motivation to adjust responses (ICC = 0.23), opportunity to adjust responses (ICC = 0.21), and belief in the researcher’s stated hypothesis (ICC = 0.14) was low.</w:t>
      </w:r>
    </w:p>
    <w:p w14:paraId="7B652A03" w14:textId="77777777" w:rsidR="001E6401" w:rsidRDefault="00000000">
      <w:pPr>
        <w:pStyle w:val="BodyText"/>
      </w:pPr>
      <w:r>
        <w:t xml:space="preserve">The low intraclass correlations from our original sample indicates that participants strongly disagree about how they will respond to explicit demand cues. Nonetheless, the Law of Large Numbers stipulates that these relatively imprecise ratings should converge into relatively precise estimates of the true mean at larger samples. We attempted to exploit this statistical tendency by collecting additional ratings from Prolific workers. This left us with a total of 412 participants (55% female; 41% male; all other participants indicated they were transgender, </w:t>
      </w:r>
      <w:r>
        <w:lastRenderedPageBreak/>
        <w:t>gender non-conforming, some other gender, or unwilling to disclose gender). 54% of participants reported they were White/Caucasian, 20% Asian, 11% Black/African American. All other participants declined to respond or indicated their ethnicity could not be described by a single (or any) provided category. The average participant age was 30.10 (</w:t>
      </w:r>
      <m:oMath>
        <m:r>
          <w:rPr>
            <w:rFonts w:ascii="Cambria Math" w:hAnsi="Cambria Math"/>
          </w:rPr>
          <m:t>SD</m:t>
        </m:r>
      </m:oMath>
      <w:r>
        <w:t xml:space="preserve"> = 13.82).</w:t>
      </w:r>
    </w:p>
    <w:p w14:paraId="7309BB49" w14:textId="77777777" w:rsidR="001E6401" w:rsidRDefault="00000000">
      <w:pPr>
        <w:pStyle w:val="Heading5"/>
        <w:framePr w:wrap="around"/>
      </w:pPr>
      <w:bookmarkStart w:id="12" w:name="X50ac5346a764638f68a9356056d1f2c3e87ad60"/>
      <w:r>
        <w:t>Accounting for different demand comparisons.</w:t>
      </w:r>
    </w:p>
    <w:p w14:paraId="5762C5A5" w14:textId="77777777" w:rsidR="001E6401" w:rsidRDefault="00000000">
      <w:pPr>
        <w:pStyle w:val="FirstParagraph"/>
      </w:pPr>
      <w:r>
        <w:t xml:space="preserve">As mentioned before, Hedge’s </w:t>
      </w:r>
      <m:oMath>
        <m:r>
          <w:rPr>
            <w:rFonts w:ascii="Cambria Math" w:hAnsi="Cambria Math"/>
          </w:rPr>
          <m:t>g</m:t>
        </m:r>
      </m:oMath>
      <w:r>
        <w:t xml:space="preserve"> represents the standardized difference between </w:t>
      </w:r>
      <w:r>
        <w:rPr>
          <w:i/>
          <w:iCs/>
        </w:rPr>
        <w:t>two</w:t>
      </w:r>
      <w:r>
        <w:t xml:space="preserve"> groups. Thus, for each observation in the meta-analysis, we summed participants’ average motivation, opportunity, and belief ratings (after removing cases where they identified the wrong hypothesis). We also summed the estimates of how likely participants were to correctly identify the communicated hypothesis.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If those demand conditions are compared to each other – instead of a control condition – their effects should be additive. Summing participants ratings allowed us to accommodate this possibility.</w:t>
      </w:r>
    </w:p>
    <w:p w14:paraId="03453AF7" w14:textId="77777777" w:rsidR="001E6401"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 </w:t>
      </w:r>
      <w:r>
        <w:rPr>
          <w:i/>
          <w:iCs/>
        </w:rPr>
        <w:t>or</w:t>
      </w:r>
      <w:r>
        <w:t xml:space="preserve"> decreasing their </w:t>
      </w:r>
      <w:r>
        <w:lastRenderedPageBreak/>
        <w:t>mood report. Thus, even if motivation does moderate the effects of demand characteristics, we would not expect a systematic pattern to emerge with our coding scheme.</w:t>
      </w:r>
    </w:p>
    <w:p w14:paraId="11F3B80D" w14:textId="77777777" w:rsidR="001E6401" w:rsidRDefault="00000000">
      <w:pPr>
        <w:pStyle w:val="Heading3"/>
        <w:framePr w:wrap="around"/>
      </w:pPr>
      <w:bookmarkStart w:id="13" w:name="meta-analytic-approach"/>
      <w:bookmarkEnd w:id="9"/>
      <w:bookmarkEnd w:id="10"/>
      <w:bookmarkEnd w:id="12"/>
      <w:r>
        <w:t>Meta-analytic approach.</w:t>
      </w:r>
    </w:p>
    <w:p w14:paraId="4DE8858B" w14:textId="77777777" w:rsidR="001E6401" w:rsidRDefault="00000000">
      <w:pPr>
        <w:pStyle w:val="FirstParagraph"/>
      </w:pPr>
      <w:r>
        <w:t xml:space="preserve">For our meta-analytic approach, we used three-level meta-analysis (3LMA; also referred to as “multilevel” meta-analysis). Rather than assume that there is a single true effect of demand characteristics,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 often referred to as “random effects”).</w:t>
      </w:r>
    </w:p>
    <w:p w14:paraId="6C580687" w14:textId="77777777" w:rsidR="001E6401" w:rsidRDefault="00000000">
      <w:pPr>
        <w:pStyle w:val="BodyText"/>
      </w:pPr>
      <w:r>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significance of each moderator, we used model comparison </w:t>
      </w:r>
      <w:r>
        <w:rPr>
          <w:i/>
          <w:iCs/>
        </w:rPr>
        <w:t>F</w:t>
      </w:r>
      <w:r>
        <w:t>-tests. To estimate effect sizes within each subgroup of the moderator, we used model-derived estimates.</w:t>
      </w:r>
    </w:p>
    <w:p w14:paraId="07FF4B81" w14:textId="77777777" w:rsidR="001E6401" w:rsidRDefault="00000000">
      <w:pPr>
        <w:pStyle w:val="Heading4"/>
        <w:framePr w:wrap="around"/>
      </w:pPr>
      <w:bookmarkStart w:id="14" w:name="publication-bias-analyses"/>
      <w:r>
        <w:t>Publication bias analyses.</w:t>
      </w:r>
    </w:p>
    <w:p w14:paraId="68003AE6" w14:textId="77777777" w:rsidR="001E6401"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Consequently, we used three main approaches for assessing and correcting for potential publication bias in our estimation of the overall effect of demand characteristics.</w:t>
      </w:r>
    </w:p>
    <w:p w14:paraId="6BE07BBE" w14:textId="77777777" w:rsidR="001E6401" w:rsidRDefault="00000000">
      <w:pPr>
        <w:pStyle w:val="BodyText"/>
      </w:pPr>
      <w:r>
        <w:lastRenderedPageBreak/>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6"/>
      </w:r>
      <w:r>
        <w:t>.</w:t>
      </w:r>
    </w:p>
    <w:p w14:paraId="1DF82156" w14:textId="47823F95" w:rsidR="001E6401" w:rsidRDefault="00000000">
      <w:pPr>
        <w:pStyle w:val="BodyText"/>
      </w:pPr>
      <w:r>
        <w:t>Second, we conducted precision</w:t>
      </w:r>
      <w:ins w:id="15" w:author="Coles, Nicholas A." w:date="2025-04-30T15:01:00Z" w16du:dateUtc="2025-04-30T19:01:00Z">
        <w:r w:rsidR="00BB54F4">
          <w:t xml:space="preserve"> </w:t>
        </w:r>
      </w:ins>
      <w:del w:id="16" w:author="Coles, Nicholas A." w:date="2025-04-30T15:01:00Z" w16du:dateUtc="2025-04-30T19:01:00Z">
        <w:r w:rsidDel="00BB54F4">
          <w:delText>-</w:delText>
        </w:r>
      </w:del>
      <w:r>
        <w:t>effect tests (</w:t>
      </w:r>
      <w:ins w:id="17" w:author="Coles, Nicholas A." w:date="2025-04-30T15:02:00Z" w16du:dateUtc="2025-04-30T19:02:00Z">
        <w:r w:rsidR="00BB54F4">
          <w:t xml:space="preserve">PET; </w:t>
        </w:r>
      </w:ins>
      <w:r>
        <w:t xml:space="preserve">Stanley &amp; </w:t>
      </w:r>
      <w:proofErr w:type="spellStart"/>
      <w:r>
        <w:t>Doucouliagos</w:t>
      </w:r>
      <w:proofErr w:type="spellEnd"/>
      <w:r>
        <w:t xml:space="preserve">, 2014). In </w:t>
      </w:r>
      <w:del w:id="18" w:author="Coles, Nicholas A." w:date="2025-04-30T15:02:00Z" w16du:dateUtc="2025-04-30T19:02:00Z">
        <w:r w:rsidDel="00BB54F4">
          <w:delText>precision-effect tests</w:delText>
        </w:r>
      </w:del>
      <w:ins w:id="19" w:author="Coles, Nicholas A." w:date="2025-04-30T15:02:00Z" w16du:dateUtc="2025-04-30T19:02:00Z">
        <w:r w:rsidR="00BB54F4">
          <w:t>PET</w:t>
        </w:r>
      </w:ins>
      <w:r>
        <w:t>, the relationship between observed effect sizes and their standard errors – which is often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532396B7" w14:textId="77777777" w:rsidR="001E6401" w:rsidRDefault="00000000">
      <w:pPr>
        <w:pStyle w:val="BodyText"/>
      </w:pPr>
      <w:r>
        <w:lastRenderedPageBreak/>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1759C658" w14:textId="77777777" w:rsidR="001E6401"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6A1AEBF8" w14:textId="77777777" w:rsidR="001E6401" w:rsidRDefault="00000000">
      <w:pPr>
        <w:pStyle w:val="Heading3"/>
        <w:framePr w:wrap="around"/>
      </w:pPr>
      <w:bookmarkStart w:id="20" w:name="transparency-and-openness"/>
      <w:bookmarkEnd w:id="13"/>
      <w:bookmarkEnd w:id="14"/>
      <w:r>
        <w:t>Transparency and openness.</w:t>
      </w:r>
    </w:p>
    <w:p w14:paraId="25DB664E" w14:textId="77777777" w:rsidR="001E6401" w:rsidRDefault="00000000">
      <w:pPr>
        <w:pStyle w:val="FirstParagraph"/>
      </w:pPr>
      <w:r>
        <w:t xml:space="preserve">The project pre-registration, materials, data, and code are openly available at </w:t>
      </w:r>
      <w:hyperlink r:id="rId9">
        <w:r w:rsidR="001E6401">
          <w:rPr>
            <w:rStyle w:val="Hyperlink"/>
          </w:rPr>
          <w:t>https://osf.io/3hkre/?view_only=2dc92af53f194e5eab0d7aecafaf01c2</w:t>
        </w:r>
      </w:hyperlink>
      <w:r>
        <w:t>. This link also contains a list of amendments/deviations we made to our pre-registration as the project evolved and reviewer feedback was received. These amendments were largely concerned with (a) whether and how many vignette ratings to collect, (b) whether to make vignette-related tests confirmatory vs. exploratory, (c) whether new primary data collected for a Coles et al. (2024) record is described in the main text vs. summarized in the meta-analysis, (d) whether to code the quality of included records</w:t>
      </w:r>
      <w:r>
        <w:rPr>
          <w:rStyle w:val="FootnoteReference"/>
        </w:rPr>
        <w:footnoteReference w:id="7"/>
      </w:r>
      <w:r>
        <w:t xml:space="preserve">, (e) expansions to the literature search, (f) whether to use Cohen’s </w:t>
      </w:r>
      <w:r>
        <w:rPr>
          <w:i/>
          <w:iCs/>
        </w:rPr>
        <w:t>d</w:t>
      </w:r>
      <w:r>
        <w:t xml:space="preserve"> or Hedge’s </w:t>
      </w:r>
      <w:r>
        <w:rPr>
          <w:i/>
          <w:iCs/>
        </w:rPr>
        <w:lastRenderedPageBreak/>
        <w:t>g</w:t>
      </w:r>
      <w:r>
        <w:t xml:space="preserve"> as our effect size index, and (g) decisions regarding whether to use robust variance estimation, mixed-effects models, or both.</w:t>
      </w:r>
    </w:p>
    <w:p w14:paraId="6CF096AD" w14:textId="77777777" w:rsidR="001E6401" w:rsidRDefault="00000000">
      <w:pPr>
        <w:pStyle w:val="BodyText"/>
      </w:pPr>
      <w:r>
        <w:t>For the meta-analysis, sample size was determined by the availability of relevant records. For the vignette ratings, sample size was initially determined by the availability of resources (i.e., we collected as much data as possible in a single quarter). However, our second wave of participant recruitment considered precision – and was designed to (a) yield an equal number of participant ratings per vignette, and (b) decrease the length of the 95% confidence intervals of the predicted demand effect, motivation, opportunity, and belief ratings to 1.</w:t>
      </w:r>
    </w:p>
    <w:p w14:paraId="4C27FB64" w14:textId="77777777" w:rsidR="001E6401" w:rsidRDefault="00000000">
      <w:pPr>
        <w:pStyle w:val="BodyText"/>
      </w:pPr>
      <w:r>
        <w:t>All code has been checked for reproducibility, including the script used to generate a computationally reproducible manuscript using the papaja R package (Aust &amp; Barth, 2022).</w:t>
      </w:r>
    </w:p>
    <w:p w14:paraId="34E4186D" w14:textId="77777777" w:rsidR="001E6401" w:rsidRDefault="00000000">
      <w:pPr>
        <w:pStyle w:val="Heading2"/>
      </w:pPr>
      <w:bookmarkStart w:id="21" w:name="results"/>
      <w:bookmarkEnd w:id="20"/>
      <w:r>
        <w:t>Results</w:t>
      </w:r>
    </w:p>
    <w:p w14:paraId="2D89D30F" w14:textId="0EA5129F" w:rsidR="001E6401" w:rsidRDefault="00000000">
      <w:pPr>
        <w:pStyle w:val="FirstParagraph"/>
      </w:pPr>
      <w:r>
        <w:t>In total, we extracted 252 effect sizes from 52 studies from between the years 1964 and 2024 (</w:t>
      </w:r>
      <w:r>
        <w:rPr>
          <w:i/>
          <w:iCs/>
        </w:rPr>
        <w:t>M</w:t>
      </w:r>
      <w:r>
        <w:t xml:space="preserve"> = 2003, </w:t>
      </w:r>
      <w:r>
        <w:rPr>
          <w:i/>
          <w:iCs/>
        </w:rPr>
        <w:t>SD</w:t>
      </w:r>
      <w:r>
        <w:t xml:space="preserve"> = 18.63). 11 of these studies were unpublished.</w:t>
      </w:r>
    </w:p>
    <w:p w14:paraId="1B72A88A" w14:textId="77777777" w:rsidR="001E6401" w:rsidRDefault="00000000">
      <w:pPr>
        <w:pStyle w:val="BodyText"/>
      </w:pPr>
      <w:r>
        <w:t>In order of frequency, effect sizes represented a positive demand compared to a control group (</w:t>
      </w:r>
      <w:r>
        <w:rPr>
          <w:i/>
          <w:iCs/>
        </w:rPr>
        <w:t>k</w:t>
      </w:r>
      <w:r>
        <w:t xml:space="preserve"> = 114), positive demand to negative demand (</w:t>
      </w:r>
      <w:r>
        <w:rPr>
          <w:i/>
          <w:iCs/>
        </w:rPr>
        <w:t>k</w:t>
      </w:r>
      <w:r>
        <w:t xml:space="preserve"> = 44), negative demand to a control </w:t>
      </w:r>
      <w:r>
        <w:lastRenderedPageBreak/>
        <w:t>group (</w:t>
      </w:r>
      <w:r>
        <w:rPr>
          <w:i/>
          <w:iCs/>
        </w:rPr>
        <w:t>k</w:t>
      </w:r>
      <w:r>
        <w:t xml:space="preserve"> = 43), positive demand to a nil demand group (</w:t>
      </w:r>
      <w:r>
        <w:rPr>
          <w:i/>
          <w:iCs/>
        </w:rPr>
        <w:t>k</w:t>
      </w:r>
      <w:r>
        <w:t xml:space="preserve"> = 34), or nil demand to a control group (</w:t>
      </w:r>
      <w:r>
        <w:rPr>
          <w:i/>
          <w:iCs/>
        </w:rPr>
        <w:t>k</w:t>
      </w:r>
      <w:r>
        <w:t xml:space="preserve"> = 17).</w:t>
      </w:r>
    </w:p>
    <w:p w14:paraId="18B8718E" w14:textId="77777777" w:rsidR="001E6401" w:rsidRDefault="00000000">
      <w:pPr>
        <w:pStyle w:val="BodyText"/>
      </w:pPr>
      <w:r>
        <w:t>More broadly, effect sizes tended to compare one demand condition to a control group (</w:t>
      </w:r>
      <w:r>
        <w:rPr>
          <w:i/>
          <w:iCs/>
        </w:rPr>
        <w:t>k</w:t>
      </w:r>
      <w:r>
        <w:t xml:space="preserve"> = 174) – as opposed to a group exposed to a different type of explicit demand cues (</w:t>
      </w:r>
      <w:r>
        <w:rPr>
          <w:i/>
          <w:iCs/>
        </w:rPr>
        <w:t>k</w:t>
      </w:r>
      <w:r>
        <w:t xml:space="preserve"> = 78). Regardless of what type of demand manipulation was used, it was more common to manipulate the cues between (</w:t>
      </w:r>
      <w:r>
        <w:rPr>
          <w:i/>
          <w:iCs/>
        </w:rPr>
        <w:t>k</w:t>
      </w:r>
      <w:r>
        <w:t xml:space="preserve"> = 208) vs. within subjects (</w:t>
      </w:r>
      <w:r>
        <w:rPr>
          <w:i/>
          <w:iCs/>
        </w:rPr>
        <w:t>k</w:t>
      </w:r>
      <w:r>
        <w:t xml:space="preserve"> = 44).</w:t>
      </w:r>
    </w:p>
    <w:p w14:paraId="76E909A2" w14:textId="77777777" w:rsidR="001E6401" w:rsidRDefault="00000000">
      <w:pPr>
        <w:pStyle w:val="BodyText"/>
      </w:pPr>
      <w:r>
        <w:t>Most effect sizes came from student samples (</w:t>
      </w:r>
      <w:r>
        <w:rPr>
          <w:i/>
          <w:iCs/>
        </w:rPr>
        <w:t>k</w:t>
      </w:r>
      <w:r>
        <w:t xml:space="preserve"> = 160), although some samples were non-students (</w:t>
      </w:r>
      <w:r>
        <w:rPr>
          <w:i/>
          <w:iCs/>
        </w:rPr>
        <w:t>k</w:t>
      </w:r>
      <w:r>
        <w:t xml:space="preserve"> = 25),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162), although some were paid (</w:t>
      </w:r>
      <w:r>
        <w:rPr>
          <w:i/>
          <w:iCs/>
        </w:rPr>
        <w:t>k</w:t>
      </w:r>
      <w:r>
        <w:t xml:space="preserve"> = 50) and some were not described thoroughly enough to make a determination (</w:t>
      </w:r>
      <w:r>
        <w:rPr>
          <w:i/>
          <w:iCs/>
        </w:rPr>
        <w:t>k</w:t>
      </w:r>
      <w:r>
        <w:t xml:space="preserve"> = 40). The majority of effect sizes came from in-person studies (</w:t>
      </w:r>
      <w:r>
        <w:rPr>
          <w:i/>
          <w:iCs/>
        </w:rPr>
        <w:t>k</w:t>
      </w:r>
      <w:r>
        <w:t xml:space="preserve"> = 187), but some were from online studies (</w:t>
      </w:r>
      <w:r>
        <w:rPr>
          <w:i/>
          <w:iCs/>
        </w:rPr>
        <w:t>k</w:t>
      </w:r>
      <w:r>
        <w:t xml:space="preserve"> = 52) or not described thoroughly enough to make a determination (</w:t>
      </w:r>
      <w:r>
        <w:rPr>
          <w:i/>
          <w:iCs/>
        </w:rPr>
        <w:t>k</w:t>
      </w:r>
      <w:r>
        <w:t xml:space="preserve"> = 13).</w:t>
      </w:r>
    </w:p>
    <w:p w14:paraId="65237CC4" w14:textId="77777777" w:rsidR="001E6401" w:rsidRDefault="00000000">
      <w:pPr>
        <w:pStyle w:val="Heading3"/>
        <w:framePr w:wrap="around"/>
      </w:pPr>
      <w:bookmarkStart w:id="22" w:name="overall-results"/>
      <w:r>
        <w:t>Overall results.</w:t>
      </w:r>
    </w:p>
    <w:p w14:paraId="1D766138" w14:textId="77777777" w:rsidR="001E6401" w:rsidRDefault="00000000">
      <w:pPr>
        <w:pStyle w:val="FirstParagraph"/>
      </w:pPr>
      <w:r>
        <w:t xml:space="preserve">Overall, results indicated that explicit manipulations of demand characteristics cause participants’ responses to shift in a manner consistent with the communicated hypothesis, </w:t>
      </w:r>
      <m:oMath>
        <m:r>
          <w:rPr>
            <w:rFonts w:ascii="Cambria Math" w:hAnsi="Cambria Math"/>
          </w:rPr>
          <m:t>g</m:t>
        </m:r>
      </m:oMath>
      <w:r>
        <w:t xml:space="preserve"> = 0.21, 95% CI [0.12, 0.31], </w:t>
      </w:r>
      <m:oMath>
        <m:r>
          <w:rPr>
            <w:rFonts w:ascii="Cambria Math" w:hAnsi="Cambria Math"/>
          </w:rPr>
          <m:t>t</m:t>
        </m:r>
      </m:oMath>
      <w:r>
        <w:t xml:space="preserve">(47.30) = 4.53,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617C580A" w14:textId="77777777" w:rsidR="001E6401" w:rsidRDefault="00000000">
      <w:pPr>
        <w:pStyle w:val="CaptionedFigure"/>
        <w:framePr w:wrap="notBeside"/>
      </w:pPr>
      <w:r>
        <w:rPr>
          <w:noProof/>
        </w:rPr>
        <w:lastRenderedPageBreak/>
        <w:drawing>
          <wp:inline distT="0" distB="0" distL="0" distR="0" wp14:anchorId="3D1A7960" wp14:editId="3BAF2594">
            <wp:extent cx="5969000" cy="6097563"/>
            <wp:effectExtent l="0" t="0" r="0" b="0"/>
            <wp:docPr id="48" name="Picture" descr="Figur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4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7A4A6866" w14:textId="77777777" w:rsidR="001E6401" w:rsidRDefault="00000000">
      <w:pPr>
        <w:pStyle w:val="ImageCaption"/>
      </w:pPr>
      <w:bookmarkStart w:id="23" w:name="fig:forest"/>
      <w:bookmarkEnd w:id="23"/>
      <w:r>
        <w:rPr>
          <w:i/>
          <w:iCs/>
        </w:rPr>
        <w:t>Figure</w:t>
      </w:r>
      <w:r>
        <w:t xml:space="preserve"> 3.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demand characteristics produce more hypothesis-consistent responding (green; </w:t>
      </w:r>
      <w:r w:rsidRPr="00C0698C">
        <w:rPr>
          <w:i/>
          <w:iCs/>
        </w:rPr>
        <w:t>g</w:t>
      </w:r>
      <w:r>
        <w:t xml:space="preserve"> &gt; 0.10), more hypothesis-inconsistent responding (red; </w:t>
      </w:r>
      <w:r w:rsidRPr="00C0698C">
        <w:rPr>
          <w:i/>
          <w:iCs/>
        </w:rPr>
        <w:t>g</w:t>
      </w:r>
      <w:r>
        <w:t xml:space="preserve"> &lt; -0.10), or negligible shifts in responding (grey; |</w:t>
      </w:r>
      <w:r w:rsidRPr="00C0698C">
        <w:rPr>
          <w:i/>
          <w:iCs/>
        </w:rPr>
        <w:t>g</w:t>
      </w:r>
      <w:r>
        <w:t>| &lt; 0.10).</w:t>
      </w:r>
    </w:p>
    <w:p w14:paraId="1393F90F" w14:textId="0169BC0F" w:rsidR="001E6401" w:rsidRDefault="00000000">
      <w:pPr>
        <w:pStyle w:val="BodyText"/>
      </w:pPr>
      <w:r>
        <w:lastRenderedPageBreak/>
        <w:t xml:space="preserve">As a reminder, rather than assuming that there is a </w:t>
      </w:r>
      <w:r>
        <w:rPr>
          <w:i/>
          <w:iCs/>
        </w:rPr>
        <w:t>single true effect</w:t>
      </w:r>
      <w:r>
        <w:t xml:space="preserve"> of demand characteristics, 3LMA assumes a distribution of </w:t>
      </w:r>
      <w:r>
        <w:rPr>
          <w:i/>
          <w:iCs/>
        </w:rPr>
        <w:t>multiple true effects.</w:t>
      </w:r>
      <w:r>
        <w:t xml:space="preserve"> Consistent with this assumption, observed variability in demand effects </w:t>
      </w:r>
      <w:del w:id="24" w:author="Coles, Nicholas A." w:date="2025-04-30T15:08:00Z" w16du:dateUtc="2025-04-30T19:08:00Z">
        <w:r w:rsidDel="009A3A1D">
          <w:delText xml:space="preserve">drastically </w:delText>
        </w:r>
      </w:del>
      <w:r>
        <w:t xml:space="preserve">exceeded what would be expected from sampling error alone (between-study </w:t>
      </w:r>
      <m:oMath>
        <m:r>
          <w:rPr>
            <w:rFonts w:ascii="Cambria Math" w:hAnsi="Cambria Math"/>
          </w:rPr>
          <m:t>τ</m:t>
        </m:r>
      </m:oMath>
      <w:r>
        <w:t xml:space="preserve"> = 0.28; within-study </w:t>
      </w:r>
      <m:oMath>
        <m:r>
          <w:rPr>
            <w:rFonts w:ascii="Cambria Math" w:hAnsi="Cambria Math"/>
          </w:rPr>
          <m:t>σ</m:t>
        </m:r>
      </m:oMath>
      <w:r>
        <w:t xml:space="preserve"> = 0.18; </w:t>
      </w:r>
      <m:oMath>
        <m:r>
          <w:rPr>
            <w:rFonts w:ascii="Cambria Math" w:hAnsi="Cambria Math"/>
          </w:rPr>
          <m:t>Q</m:t>
        </m:r>
      </m:oMath>
      <w:r>
        <w:t xml:space="preserve">(251) = 972.42, </w:t>
      </w:r>
      <m:oMath>
        <m:r>
          <w:rPr>
            <w:rFonts w:ascii="Cambria Math" w:hAnsi="Cambria Math"/>
          </w:rPr>
          <m:t>p</m:t>
        </m:r>
      </m:oMath>
      <w:r>
        <w:t xml:space="preserve"> &lt; .001</w:t>
      </w:r>
      <w:ins w:id="25" w:author="Coles, Nicholas A." w:date="2025-04-30T15:29:00Z" w16du:dateUtc="2025-04-30T19:29:00Z">
        <w:r w:rsidR="00FE399E">
          <w:t xml:space="preserve">, </w:t>
        </w:r>
      </w:ins>
      <w:ins w:id="26" w:author="Coles, Nicholas A." w:date="2025-04-30T15:34:00Z" w16du:dateUtc="2025-04-30T19:34:00Z">
        <w:r w:rsidR="00FE399E">
          <w:t xml:space="preserve">total </w:t>
        </w:r>
      </w:ins>
      <w:ins w:id="27" w:author="Coles, Nicholas A." w:date="2025-04-30T15:29:00Z" w16du:dateUtc="2025-04-30T19:29:00Z">
        <w:r w:rsidR="00FE399E" w:rsidRPr="00FE399E">
          <w:rPr>
            <w:i/>
            <w:iCs/>
            <w:rPrChange w:id="28" w:author="Coles, Nicholas A." w:date="2025-04-30T15:29:00Z" w16du:dateUtc="2025-04-30T19:29:00Z">
              <w:rPr/>
            </w:rPrChange>
          </w:rPr>
          <w:t>I</w:t>
        </w:r>
        <w:r w:rsidR="00FE399E" w:rsidRPr="00FE399E">
          <w:rPr>
            <w:i/>
            <w:iCs/>
            <w:vertAlign w:val="superscript"/>
            <w:rPrChange w:id="29" w:author="Coles, Nicholas A." w:date="2025-04-30T15:29:00Z" w16du:dateUtc="2025-04-30T19:29:00Z">
              <w:rPr/>
            </w:rPrChange>
          </w:rPr>
          <w:t>2</w:t>
        </w:r>
        <w:r w:rsidR="00FE399E">
          <w:t xml:space="preserve"> = </w:t>
        </w:r>
      </w:ins>
      <w:ins w:id="30" w:author="Coles, Nicholas A." w:date="2025-04-30T15:34:00Z" w16du:dateUtc="2025-04-30T19:34:00Z">
        <w:r w:rsidR="00FE399E">
          <w:t>84.92</w:t>
        </w:r>
      </w:ins>
      <w:ins w:id="31" w:author="Coles, Nicholas A." w:date="2025-04-30T15:29:00Z" w16du:dateUtc="2025-04-30T19:29:00Z">
        <w:r w:rsidR="00FE399E">
          <w:t>)</w:t>
        </w:r>
      </w:ins>
      <w:del w:id="32" w:author="Coles, Nicholas A." w:date="2025-04-30T15:29:00Z" w16du:dateUtc="2025-04-30T19:29:00Z">
        <w:r w:rsidDel="00FE399E">
          <w:delText>)</w:delText>
        </w:r>
      </w:del>
      <w:r>
        <w:t xml:space="preserve">.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3, this estimated distribution illustrates that demand characteristics can have a wide range of effects. Indeed, the 95% prediction interval for a single future study </w:t>
      </w:r>
      <w:proofErr w:type="gramStart"/>
      <w:r>
        <w:t>ranges</w:t>
      </w:r>
      <w:proofErr w:type="gramEnd"/>
      <w:r>
        <w:t xml:space="preserve"> from </w:t>
      </w:r>
      <m:oMath>
        <m:r>
          <w:rPr>
            <w:rFonts w:ascii="Cambria Math" w:hAnsi="Cambria Math"/>
          </w:rPr>
          <m:t>g</m:t>
        </m:r>
      </m:oMath>
      <w:r>
        <w:t xml:space="preserve"> = -0.46 to </w:t>
      </w:r>
      <m:oMath>
        <m:r>
          <w:rPr>
            <w:rFonts w:ascii="Cambria Math" w:hAnsi="Cambria Math"/>
          </w:rPr>
          <m:t>g</m:t>
        </m:r>
      </m:oMath>
      <w:r>
        <w:t xml:space="preserve"> = </w:t>
      </w:r>
      <w:ins w:id="33" w:author="Coles, Nicholas A." w:date="2025-04-30T15:08:00Z" w16du:dateUtc="2025-04-30T19:08:00Z">
        <w:r w:rsidR="009A3A1D">
          <w:t>0.89</w:t>
        </w:r>
      </w:ins>
      <w:del w:id="34" w:author="Coles, Nicholas A." w:date="2025-04-30T15:08:00Z" w16du:dateUtc="2025-04-30T19:08:00Z">
        <w:r w:rsidDel="009A3A1D">
          <w:delText>-0.46</w:delText>
        </w:r>
      </w:del>
      <w:r>
        <w:t>.</w:t>
      </w:r>
    </w:p>
    <w:p w14:paraId="2EC66C6C" w14:textId="77777777" w:rsidR="001E6401"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demand characteristics most often produce hypothesis-consistent shifts (63%), but sometimes produce negligible shifts (20%) or shifts in the </w:t>
      </w:r>
      <w:r>
        <w:rPr>
          <w:i/>
          <w:iCs/>
        </w:rPr>
        <w:t>opposite</w:t>
      </w:r>
      <w:r>
        <w:t xml:space="preserve"> direction of the communicated hypothesis (17%). Such results are consistent with Rosnow and colleagues’ prediction that demand characteristics can lead to both hypothesis-consistent and hypothesis-</w:t>
      </w:r>
      <w:r>
        <w:rPr>
          <w:i/>
          <w:iCs/>
        </w:rPr>
        <w:t>inconsistent</w:t>
      </w:r>
      <w:r>
        <w:t xml:space="preserve"> shifts in participants’ responses.</w:t>
      </w:r>
    </w:p>
    <w:p w14:paraId="0D3A3903" w14:textId="77777777" w:rsidR="001E6401" w:rsidRDefault="00000000">
      <w:pPr>
        <w:pStyle w:val="Heading3"/>
        <w:framePr w:wrap="around"/>
      </w:pPr>
      <w:bookmarkStart w:id="35" w:name="moderator-analyses"/>
      <w:bookmarkEnd w:id="22"/>
      <w:r>
        <w:t>Moderator analyses.</w:t>
      </w:r>
    </w:p>
    <w:p w14:paraId="0DA9F066" w14:textId="77777777" w:rsidR="001E6401" w:rsidRDefault="00000000">
      <w:pPr>
        <w:pStyle w:val="FirstParagraph"/>
      </w:pPr>
      <w:r>
        <w:t>When variability in effect sizes exceeds what would be expected from sampling error alone, it suggests the presence of moderators. Below, we examine several potential candidates.</w:t>
      </w:r>
    </w:p>
    <w:p w14:paraId="4B783765" w14:textId="77777777" w:rsidR="001E6401" w:rsidRDefault="00000000">
      <w:pPr>
        <w:pStyle w:val="Heading4"/>
        <w:framePr w:wrap="around"/>
      </w:pPr>
      <w:bookmarkStart w:id="36" w:name="study-features"/>
      <w:r>
        <w:t>Study features.</w:t>
      </w:r>
    </w:p>
    <w:p w14:paraId="5DF1FC53" w14:textId="77777777" w:rsidR="001E6401" w:rsidRDefault="00000000">
      <w:pPr>
        <w:pStyle w:val="FirstParagraph"/>
      </w:pPr>
      <w:r>
        <w:t>In general, we did not find much evidence that demand effects are moderated by study features (see Table 1). The two exceptions were (1) whether the demand characteristics condition was compared to a control group (vs. another condition with demand characteristics), and (2) whether the study was conducted in-person (vs. online).</w:t>
      </w:r>
    </w:p>
    <w:p w14:paraId="2769E5CE" w14:textId="5E7D095C" w:rsidR="001E6401" w:rsidRDefault="00000000">
      <w:pPr>
        <w:pStyle w:val="BodyText"/>
      </w:pPr>
      <w:r>
        <w:lastRenderedPageBreak/>
        <w:t>The average effect sizes was estimated to be twice as large when two demand characteristic conditions were compared (</w:t>
      </w:r>
      <m:oMath>
        <m:r>
          <w:ins w:id="37" w:author="Coles, Nicholas A." w:date="2025-04-30T15:05:00Z" w16du:dateUtc="2025-04-30T19:05:00Z">
            <w:rPr>
              <w:rFonts w:ascii="Cambria Math" w:hAnsi="Cambria Math"/>
            </w:rPr>
            <m:t>g</m:t>
          </w:ins>
        </m:r>
        <m:r>
          <w:del w:id="38" w:author="Coles, Nicholas A." w:date="2025-04-30T15:05:00Z" w16du:dateUtc="2025-04-30T19:05:00Z">
            <w:rPr>
              <w:rFonts w:ascii="Cambria Math" w:hAnsi="Cambria Math"/>
            </w:rPr>
            <m:t>d</m:t>
          </w:del>
        </m:r>
      </m:oMath>
      <w:r>
        <w:t xml:space="preserve"> = 0.34, 95% CI [0.19, 0.49], </w:t>
      </w:r>
      <m:oMath>
        <m:r>
          <w:rPr>
            <w:rFonts w:ascii="Cambria Math" w:hAnsi="Cambria Math"/>
          </w:rPr>
          <m:t>p</m:t>
        </m:r>
      </m:oMath>
      <w:r>
        <w:t xml:space="preserve"> &lt; .001), as opposed to one demand characteristic condition being compared to a control group (</w:t>
      </w:r>
      <w:ins w:id="39" w:author="Coles, Nicholas A." w:date="2025-04-30T15:05:00Z" w16du:dateUtc="2025-04-30T19:05:00Z">
        <w:r w:rsidR="00BB54F4" w:rsidRPr="00BB54F4">
          <w:rPr>
            <w:rFonts w:eastAsiaTheme="minorEastAsia"/>
            <w:i/>
            <w:iCs/>
            <w:rPrChange w:id="40" w:author="Coles, Nicholas A." w:date="2025-04-30T15:05:00Z" w16du:dateUtc="2025-04-30T19:05:00Z">
              <w:rPr>
                <w:rFonts w:eastAsiaTheme="minorEastAsia"/>
              </w:rPr>
            </w:rPrChange>
          </w:rPr>
          <w:t>g</w:t>
        </w:r>
      </w:ins>
      <m:oMath>
        <m:r>
          <w:del w:id="41" w:author="Coles, Nicholas A." w:date="2025-04-30T15:05:00Z" w16du:dateUtc="2025-04-30T19:05:00Z">
            <w:rPr>
              <w:rFonts w:ascii="Cambria Math" w:hAnsi="Cambria Math"/>
            </w:rPr>
            <m:t>d</m:t>
          </w:del>
        </m:r>
      </m:oMath>
      <w:r>
        <w:t xml:space="preserve"> = 0.16, 95% CI [0.08, 0.25], </w:t>
      </w:r>
      <m:oMath>
        <m:r>
          <w:rPr>
            <w:rFonts w:ascii="Cambria Math" w:hAnsi="Cambria Math"/>
          </w:rPr>
          <m:t>p</m:t>
        </m:r>
      </m:oMath>
      <w:r>
        <w:t xml:space="preserve"> = &lt; .001), </w:t>
      </w:r>
      <m:oMath>
        <m:r>
          <w:rPr>
            <w:rFonts w:ascii="Cambria Math" w:hAnsi="Cambria Math"/>
          </w:rPr>
          <m:t>F</m:t>
        </m:r>
      </m:oMath>
      <w:r>
        <w:t xml:space="preserve">(1, 10.41) = 10.55, </w:t>
      </w:r>
      <m:oMath>
        <m:r>
          <w:rPr>
            <w:rFonts w:ascii="Cambria Math" w:hAnsi="Cambria Math"/>
          </w:rPr>
          <m:t>p</m:t>
        </m:r>
      </m:oMath>
      <w:r>
        <w:t xml:space="preserve"> = .008. This provides preliminary evidence that the effects of demand characteristics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3.55) = 1.89, </w:t>
      </w:r>
      <m:oMath>
        <m:r>
          <w:rPr>
            <w:rFonts w:ascii="Cambria Math" w:hAnsi="Cambria Math"/>
          </w:rPr>
          <m:t>p</m:t>
        </m:r>
      </m:oMath>
      <w:r>
        <w:t xml:space="preserve"> = .292.</w:t>
      </w:r>
    </w:p>
    <w:p w14:paraId="24A1C7A9" w14:textId="4E6BF22E" w:rsidR="001E6401" w:rsidRDefault="00000000">
      <w:pPr>
        <w:pStyle w:val="BodyText"/>
      </w:pPr>
      <w:r>
        <w:t>Instances where a demand characteristic condition was compared to a control group allowed us to test whether participants responses shift more when the researcher hypothesizes an increase (i.e., positive demand;</w:t>
      </w:r>
      <m:oMath>
        <m:r>
          <w:ins w:id="42" w:author="Coles, Nicholas A." w:date="2025-04-30T15:06:00Z" w16du:dateUtc="2025-04-30T19:06:00Z">
            <w:rPr>
              <w:rFonts w:ascii="Cambria Math" w:hAnsi="Cambria Math"/>
            </w:rPr>
            <m:t>g</m:t>
          </w:ins>
        </m:r>
      </m:oMath>
      <w:del w:id="43" w:author="Coles, Nicholas A." w:date="2025-04-30T15:06:00Z" w16du:dateUtc="2025-04-30T19:06:00Z">
        <w:r w:rsidDel="00BB54F4">
          <w:delText xml:space="preserve"> </w:delText>
        </w:r>
      </w:del>
      <m:oMath>
        <m:r>
          <w:del w:id="44" w:author="Coles, Nicholas A." w:date="2025-04-30T15:06:00Z" w16du:dateUtc="2025-04-30T19:06:00Z">
            <w:rPr>
              <w:rFonts w:ascii="Cambria Math" w:hAnsi="Cambria Math"/>
            </w:rPr>
            <m:t>d</m:t>
          </w:del>
        </m:r>
      </m:oMath>
      <w:r>
        <w:t xml:space="preserve"> = 0.18, 95% CI [0.07, 0.29], </w:t>
      </w:r>
      <m:oMath>
        <m:r>
          <w:rPr>
            <w:rFonts w:ascii="Cambria Math" w:hAnsi="Cambria Math"/>
          </w:rPr>
          <m:t>p</m:t>
        </m:r>
      </m:oMath>
      <w:r>
        <w:t xml:space="preserve"> = .002), a decrease (i.e., negative demand; </w:t>
      </w:r>
      <w:ins w:id="45" w:author="Coles, Nicholas A." w:date="2025-04-30T15:06:00Z" w16du:dateUtc="2025-04-30T19:06:00Z">
        <w:r w:rsidR="00BB54F4">
          <w:rPr>
            <w:rFonts w:eastAsiaTheme="minorEastAsia"/>
          </w:rPr>
          <w:t>g</w:t>
        </w:r>
      </w:ins>
      <m:oMath>
        <m:r>
          <w:del w:id="46" w:author="Coles, Nicholas A." w:date="2025-04-30T15:06:00Z" w16du:dateUtc="2025-04-30T19:06:00Z">
            <w:rPr>
              <w:rFonts w:ascii="Cambria Math" w:hAnsi="Cambria Math"/>
            </w:rPr>
            <m:t>d</m:t>
          </w:del>
        </m:r>
      </m:oMath>
      <w:r>
        <w:t xml:space="preserve"> = 0.20, 95% CI [0.07, 0.33], </w:t>
      </w:r>
      <m:oMath>
        <m:r>
          <w:rPr>
            <w:rFonts w:ascii="Cambria Math" w:hAnsi="Cambria Math"/>
          </w:rPr>
          <m:t>p</m:t>
        </m:r>
      </m:oMath>
      <w:r>
        <w:t xml:space="preserve"> = .005), or no change in the dependent variable (i.e., nil demand; </w:t>
      </w:r>
      <m:oMath>
        <m:r>
          <w:ins w:id="47" w:author="Coles, Nicholas A." w:date="2025-04-30T15:06:00Z" w16du:dateUtc="2025-04-30T19:06:00Z">
            <w:rPr>
              <w:rFonts w:ascii="Cambria Math" w:hAnsi="Cambria Math"/>
            </w:rPr>
            <m:t>g</m:t>
          </w:ins>
        </m:r>
        <m:r>
          <w:del w:id="48" w:author="Coles, Nicholas A." w:date="2025-04-30T15:06:00Z" w16du:dateUtc="2025-04-30T19:06:00Z">
            <w:rPr>
              <w:rFonts w:ascii="Cambria Math" w:hAnsi="Cambria Math"/>
            </w:rPr>
            <m:t>d</m:t>
          </w:del>
        </m:r>
      </m:oMath>
      <w:r>
        <w:t xml:space="preserve"> = 0.27, 95% CI [-0.20, 0.75], </w:t>
      </w:r>
      <m:oMath>
        <m:r>
          <w:rPr>
            <w:rFonts w:ascii="Cambria Math" w:hAnsi="Cambria Math"/>
          </w:rPr>
          <m:t>p</m:t>
        </m:r>
      </m:oMath>
      <w:r>
        <w:t xml:space="preserve"> = .169). We did not find this to be the case, </w:t>
      </w:r>
      <m:oMath>
        <m:r>
          <w:rPr>
            <w:rFonts w:ascii="Cambria Math" w:hAnsi="Cambria Math"/>
          </w:rPr>
          <m:t>F</m:t>
        </m:r>
      </m:oMath>
      <w:r>
        <w:t xml:space="preserve">(2, 4.16) = 0.18, </w:t>
      </w:r>
      <m:oMath>
        <m:r>
          <w:rPr>
            <w:rFonts w:ascii="Cambria Math" w:hAnsi="Cambria Math"/>
          </w:rPr>
          <m:t>p</m:t>
        </m:r>
      </m:oMath>
      <w:r>
        <w:t xml:space="preserve"> = .842. We also did not find that demand effects significantly varied depending on whether they were manipulated within- </w:t>
      </w:r>
      <m:oMath>
        <m:r>
          <w:ins w:id="49" w:author="Coles, Nicholas A." w:date="2025-04-30T15:06:00Z" w16du:dateUtc="2025-04-30T19:06:00Z">
            <w:rPr>
              <w:rFonts w:ascii="Cambria Math" w:hAnsi="Cambria Math"/>
            </w:rPr>
            <m:t>g</m:t>
          </w:ins>
        </m:r>
      </m:oMath>
      <w:del w:id="50" w:author="Coles, Nicholas A." w:date="2025-04-30T15:06:00Z" w16du:dateUtc="2025-04-30T19:06:00Z">
        <w:r w:rsidDel="00BB54F4">
          <w:delText>(</w:delText>
        </w:r>
      </w:del>
      <m:oMath>
        <m:r>
          <w:del w:id="51" w:author="Coles, Nicholas A." w:date="2025-04-30T15:06:00Z" w16du:dateUtc="2025-04-30T19:06:00Z">
            <w:rPr>
              <w:rFonts w:ascii="Cambria Math" w:hAnsi="Cambria Math"/>
            </w:rPr>
            <m:t>d</m:t>
          </w:del>
        </m:r>
      </m:oMath>
      <w:r>
        <w:t xml:space="preserve"> = 0.23, 95% CI [0.12, 0.35], </w:t>
      </w:r>
      <m:oMath>
        <m:r>
          <w:rPr>
            <w:rFonts w:ascii="Cambria Math" w:hAnsi="Cambria Math"/>
          </w:rPr>
          <m:t>p</m:t>
        </m:r>
      </m:oMath>
      <w:r>
        <w:t xml:space="preserve"> &lt; .001) vs. between-subjects (</w:t>
      </w:r>
      <w:ins w:id="52" w:author="Coles, Nicholas A." w:date="2025-04-30T15:06:00Z" w16du:dateUtc="2025-04-30T19:06:00Z">
        <w:r w:rsidR="00BB54F4">
          <w:rPr>
            <w:rFonts w:eastAsiaTheme="minorEastAsia"/>
          </w:rPr>
          <w:t>g</w:t>
        </w:r>
      </w:ins>
      <m:oMath>
        <m:r>
          <w:del w:id="53" w:author="Coles, Nicholas A." w:date="2025-04-30T15:06:00Z" w16du:dateUtc="2025-04-30T19:06:00Z">
            <w:rPr>
              <w:rFonts w:ascii="Cambria Math" w:hAnsi="Cambria Math"/>
            </w:rPr>
            <m:t>d</m:t>
          </w:del>
        </m:r>
      </m:oMath>
      <w:r>
        <w:t xml:space="preserve"> = 0.14, 95% CI [0.03, 0.25], </w:t>
      </w:r>
      <m:oMath>
        <m:r>
          <w:rPr>
            <w:rFonts w:ascii="Cambria Math" w:hAnsi="Cambria Math"/>
          </w:rPr>
          <m:t>p</m:t>
        </m:r>
      </m:oMath>
      <w:r>
        <w:t xml:space="preserve"> = .016), </w:t>
      </w:r>
      <m:oMath>
        <m:r>
          <w:rPr>
            <w:rFonts w:ascii="Cambria Math" w:hAnsi="Cambria Math"/>
          </w:rPr>
          <m:t>F</m:t>
        </m:r>
      </m:oMath>
      <w:r>
        <w:t xml:space="preserve">(1, 10.61) = 1.76, </w:t>
      </w:r>
      <m:oMath>
        <m:r>
          <w:rPr>
            <w:rFonts w:ascii="Cambria Math" w:hAnsi="Cambria Math"/>
          </w:rPr>
          <m:t>p</m:t>
        </m:r>
      </m:oMath>
      <w:r>
        <w:t xml:space="preserve"> = .213</w:t>
      </w:r>
    </w:p>
    <w:p w14:paraId="6D755E3B" w14:textId="04A742B4" w:rsidR="001E6401" w:rsidRDefault="00000000">
      <w:pPr>
        <w:pStyle w:val="BodyText"/>
      </w:pPr>
      <w:r>
        <w:t>Demand effects tended to be slightly more positive for in-person (</w:t>
      </w:r>
      <m:oMath>
        <m:r>
          <w:rPr>
            <w:rFonts w:ascii="Cambria Math" w:hAnsi="Cambria Math"/>
          </w:rPr>
          <m:t>g</m:t>
        </m:r>
      </m:oMath>
      <w:r>
        <w:t xml:space="preserve"> = 0.31, 95% CI [0.16, 0.46],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.029) studies, </w:t>
      </w:r>
      <m:oMath>
        <m:r>
          <w:rPr>
            <w:rFonts w:ascii="Cambria Math" w:hAnsi="Cambria Math"/>
          </w:rPr>
          <m:t>F</m:t>
        </m:r>
      </m:oMath>
      <w:r>
        <w:t xml:space="preserve">(1, 30.58) = 5.92, </w:t>
      </w:r>
      <m:oMath>
        <m:r>
          <w:rPr>
            <w:rFonts w:ascii="Cambria Math" w:hAnsi="Cambria Math"/>
          </w:rPr>
          <m:t>p</m:t>
        </m:r>
      </m:oMath>
      <w:r>
        <w:t xml:space="preserve"> = .021. However, we did not find that demand effects significantly varied depending on whether students (</w:t>
      </w:r>
      <m:oMath>
        <m:r>
          <w:ins w:id="54" w:author="Coles, Nicholas A." w:date="2025-04-30T15:06:00Z" w16du:dateUtc="2025-04-30T19:06:00Z">
            <w:rPr>
              <w:rFonts w:ascii="Cambria Math" w:hAnsi="Cambria Math"/>
            </w:rPr>
            <m:t>g</m:t>
          </w:ins>
        </m:r>
        <m:r>
          <w:del w:id="55" w:author="Coles, Nicholas A." w:date="2025-04-30T15:06:00Z" w16du:dateUtc="2025-04-30T19:06:00Z">
            <w:rPr>
              <w:rFonts w:ascii="Cambria Math" w:hAnsi="Cambria Math"/>
            </w:rPr>
            <m:t>d</m:t>
          </w:del>
        </m:r>
      </m:oMath>
      <w:r>
        <w:t xml:space="preserve"> = 0.27, 95% CI [0.13, 0.40], </w:t>
      </w:r>
      <m:oMath>
        <m:r>
          <w:rPr>
            <w:rFonts w:ascii="Cambria Math" w:hAnsi="Cambria Math"/>
          </w:rPr>
          <m:t>p</m:t>
        </m:r>
      </m:oMath>
      <w:r>
        <w:t xml:space="preserve"> &lt; .001), non-students (</w:t>
      </w:r>
      <w:ins w:id="56" w:author="Coles, Nicholas A." w:date="2025-04-30T15:06:00Z" w16du:dateUtc="2025-04-30T19:06:00Z">
        <w:r w:rsidR="00BB54F4">
          <w:rPr>
            <w:rFonts w:eastAsiaTheme="minorEastAsia"/>
          </w:rPr>
          <w:t>g</w:t>
        </w:r>
      </w:ins>
      <m:oMath>
        <m:r>
          <w:del w:id="57" w:author="Coles, Nicholas A." w:date="2025-04-30T15:06:00Z" w16du:dateUtc="2025-04-30T19:06:00Z">
            <w:rPr>
              <w:rFonts w:ascii="Cambria Math" w:hAnsi="Cambria Math"/>
            </w:rPr>
            <m:t>d</m:t>
          </w:del>
        </m:r>
      </m:oMath>
      <w:r>
        <w:t xml:space="preserve"> = 0.08, 95% CI [-0.01, 0.17], </w:t>
      </w:r>
      <m:oMath>
        <m:r>
          <w:rPr>
            <w:rFonts w:ascii="Cambria Math" w:hAnsi="Cambria Math"/>
          </w:rPr>
          <m:t>p</m:t>
        </m:r>
      </m:oMath>
      <w:r>
        <w:t xml:space="preserve"> = .076), or a mix of students and non-students (</w:t>
      </w:r>
      <w:ins w:id="58" w:author="Coles, Nicholas A." w:date="2025-04-30T15:06:00Z" w16du:dateUtc="2025-04-30T19:06:00Z">
        <w:r w:rsidR="00BB54F4">
          <w:rPr>
            <w:rFonts w:eastAsiaTheme="minorEastAsia"/>
          </w:rPr>
          <w:t>g</w:t>
        </w:r>
      </w:ins>
      <m:oMath>
        <m:r>
          <w:del w:id="59" w:author="Coles, Nicholas A." w:date="2025-04-30T15:06:00Z" w16du:dateUtc="2025-04-30T19:06:00Z">
            <w:rPr>
              <w:rFonts w:ascii="Cambria Math" w:hAnsi="Cambria Math"/>
            </w:rPr>
            <m:t>d</m:t>
          </w:del>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2.11) = 2.20, </w:t>
      </w:r>
      <m:oMath>
        <m:r>
          <w:rPr>
            <w:rFonts w:ascii="Cambria Math" w:hAnsi="Cambria Math"/>
          </w:rPr>
          <m:t>p</m:t>
        </m:r>
      </m:oMath>
      <w:r>
        <w:t xml:space="preserve"> = .304. We also did not find that demand effects significantly varied depending on whether those participants were paid (</w:t>
      </w:r>
      <m:oMath>
        <m:r>
          <w:ins w:id="60" w:author="Coles, Nicholas A." w:date="2025-04-30T15:06:00Z" w16du:dateUtc="2025-04-30T19:06:00Z">
            <w:rPr>
              <w:rFonts w:ascii="Cambria Math" w:hAnsi="Cambria Math"/>
            </w:rPr>
            <m:t>g</m:t>
          </w:ins>
        </m:r>
        <m:r>
          <w:del w:id="61" w:author="Coles, Nicholas A." w:date="2025-04-30T15:06:00Z" w16du:dateUtc="2025-04-30T19:06:00Z">
            <w:rPr>
              <w:rFonts w:ascii="Cambria Math" w:hAnsi="Cambria Math"/>
            </w:rPr>
            <m:t>d</m:t>
          </w:del>
        </m:r>
      </m:oMath>
      <w:r>
        <w:t xml:space="preserve"> = 0.13, 95% CI [0.00, 0.26], </w:t>
      </w:r>
      <m:oMath>
        <m:r>
          <w:rPr>
            <w:rFonts w:ascii="Cambria Math" w:hAnsi="Cambria Math"/>
          </w:rPr>
          <m:t>p</m:t>
        </m:r>
      </m:oMath>
      <w:r>
        <w:t xml:space="preserve"> = .048) vs. unpaid (</w:t>
      </w:r>
      <w:ins w:id="62" w:author="Coles, Nicholas A." w:date="2025-04-30T15:06:00Z" w16du:dateUtc="2025-04-30T19:06:00Z">
        <w:r w:rsidR="00BB54F4">
          <w:rPr>
            <w:rFonts w:eastAsiaTheme="minorEastAsia"/>
          </w:rPr>
          <w:t>g</w:t>
        </w:r>
      </w:ins>
      <m:oMath>
        <m:r>
          <w:del w:id="63" w:author="Coles, Nicholas A." w:date="2025-04-30T15:06:00Z" w16du:dateUtc="2025-04-30T19:06:00Z">
            <w:rPr>
              <w:rFonts w:ascii="Cambria Math" w:hAnsi="Cambria Math"/>
            </w:rPr>
            <m:t>d</m:t>
          </w:del>
        </m:r>
      </m:oMath>
      <w:r>
        <w:t xml:space="preserve"> = 0.21, 95% CI [0.09, 0.32], </w:t>
      </w:r>
      <m:oMath>
        <m:r>
          <w:rPr>
            <w:rFonts w:ascii="Cambria Math" w:hAnsi="Cambria Math"/>
          </w:rPr>
          <m:t>p</m:t>
        </m:r>
      </m:oMath>
      <w:r>
        <w:t xml:space="preserve"> = &lt; .001), </w:t>
      </w:r>
      <m:oMath>
        <m:r>
          <w:rPr>
            <w:rFonts w:ascii="Cambria Math" w:hAnsi="Cambria Math"/>
          </w:rPr>
          <m:t>F</m:t>
        </m:r>
      </m:oMath>
      <w:r>
        <w:t xml:space="preserve">(1, 20.94) = 0.84, </w:t>
      </w:r>
      <m:oMath>
        <m:r>
          <w:rPr>
            <w:rFonts w:ascii="Cambria Math" w:hAnsi="Cambria Math"/>
          </w:rPr>
          <m:t>p</m:t>
        </m:r>
      </m:oMath>
      <w:r>
        <w:t xml:space="preserve"> = .371.</w:t>
      </w:r>
    </w:p>
    <w:p w14:paraId="4AACF458" w14:textId="7E59C703" w:rsidR="001E6401" w:rsidRPr="00C0698C" w:rsidRDefault="00C0698C">
      <w:pPr>
        <w:pStyle w:val="TableCaption"/>
      </w:pPr>
      <w:r w:rsidRPr="00C0698C">
        <w:lastRenderedPageBreak/>
        <w:t xml:space="preserve">Table 1. Study </w:t>
      </w:r>
      <w:r>
        <w:t xml:space="preserve">feature </w:t>
      </w:r>
      <w:r w:rsidRPr="00C0698C">
        <w:t>moderator and subgroup analyses</w:t>
      </w:r>
      <w:r>
        <w:t>.</w:t>
      </w:r>
    </w:p>
    <w:tbl>
      <w:tblPr>
        <w:tblStyle w:val="Table"/>
        <w:tblW w:w="0" w:type="auto"/>
        <w:tblLayout w:type="fixed"/>
        <w:tblLook w:val="0020" w:firstRow="1" w:lastRow="0" w:firstColumn="0" w:lastColumn="0" w:noHBand="0" w:noVBand="0"/>
      </w:tblPr>
      <w:tblGrid>
        <w:gridCol w:w="4608"/>
        <w:gridCol w:w="540"/>
        <w:gridCol w:w="630"/>
        <w:gridCol w:w="720"/>
        <w:gridCol w:w="1440"/>
        <w:gridCol w:w="720"/>
        <w:gridCol w:w="964"/>
      </w:tblGrid>
      <w:tr w:rsidR="001E6401" w14:paraId="43932DEE" w14:textId="77777777" w:rsidTr="00C0698C">
        <w:trPr>
          <w:cnfStyle w:val="100000000000" w:firstRow="1" w:lastRow="0" w:firstColumn="0" w:lastColumn="0" w:oddVBand="0" w:evenVBand="0" w:oddHBand="0" w:evenHBand="0" w:firstRowFirstColumn="0" w:firstRowLastColumn="0" w:lastRowFirstColumn="0" w:lastRowLastColumn="0"/>
          <w:tblHeader/>
        </w:trPr>
        <w:tc>
          <w:tcPr>
            <w:tcW w:w="4608" w:type="dxa"/>
          </w:tcPr>
          <w:p w14:paraId="6826B7FF" w14:textId="77777777" w:rsidR="001E6401" w:rsidRDefault="00000000">
            <w:pPr>
              <w:pStyle w:val="Compact"/>
            </w:pPr>
            <w:r>
              <w:t>Moderator (bolded) and level</w:t>
            </w:r>
          </w:p>
        </w:tc>
        <w:tc>
          <w:tcPr>
            <w:tcW w:w="540" w:type="dxa"/>
          </w:tcPr>
          <w:p w14:paraId="306D9E49" w14:textId="77777777" w:rsidR="001E6401" w:rsidRPr="00C0698C" w:rsidRDefault="00000000">
            <w:pPr>
              <w:pStyle w:val="Compact"/>
              <w:rPr>
                <w:i/>
                <w:iCs/>
              </w:rPr>
            </w:pPr>
            <w:r w:rsidRPr="00C0698C">
              <w:rPr>
                <w:i/>
                <w:iCs/>
              </w:rPr>
              <w:t>s</w:t>
            </w:r>
          </w:p>
        </w:tc>
        <w:tc>
          <w:tcPr>
            <w:tcW w:w="630" w:type="dxa"/>
          </w:tcPr>
          <w:p w14:paraId="785E1887" w14:textId="77777777" w:rsidR="001E6401" w:rsidRPr="00C0698C" w:rsidRDefault="00000000">
            <w:pPr>
              <w:pStyle w:val="Compact"/>
              <w:rPr>
                <w:i/>
                <w:iCs/>
              </w:rPr>
            </w:pPr>
            <w:r w:rsidRPr="00C0698C">
              <w:rPr>
                <w:i/>
                <w:iCs/>
              </w:rPr>
              <w:t>k</w:t>
            </w:r>
          </w:p>
        </w:tc>
        <w:tc>
          <w:tcPr>
            <w:tcW w:w="720" w:type="dxa"/>
          </w:tcPr>
          <w:p w14:paraId="4CDFF438" w14:textId="77777777" w:rsidR="001E6401" w:rsidRPr="00C0698C" w:rsidRDefault="00000000">
            <w:pPr>
              <w:pStyle w:val="Compact"/>
              <w:rPr>
                <w:i/>
                <w:iCs/>
              </w:rPr>
            </w:pPr>
            <w:r w:rsidRPr="00C0698C">
              <w:rPr>
                <w:i/>
                <w:iCs/>
              </w:rPr>
              <w:t>g</w:t>
            </w:r>
          </w:p>
        </w:tc>
        <w:tc>
          <w:tcPr>
            <w:tcW w:w="1440" w:type="dxa"/>
          </w:tcPr>
          <w:p w14:paraId="46A8E7E1" w14:textId="77777777" w:rsidR="001E6401" w:rsidRDefault="00000000">
            <w:pPr>
              <w:pStyle w:val="Compact"/>
            </w:pPr>
            <w:r>
              <w:t>95% CI</w:t>
            </w:r>
          </w:p>
        </w:tc>
        <w:tc>
          <w:tcPr>
            <w:tcW w:w="720" w:type="dxa"/>
          </w:tcPr>
          <w:p w14:paraId="58D46CEB" w14:textId="77777777" w:rsidR="001E6401" w:rsidRPr="00C0698C" w:rsidRDefault="00000000">
            <w:pPr>
              <w:pStyle w:val="Compact"/>
              <w:rPr>
                <w:i/>
                <w:iCs/>
              </w:rPr>
            </w:pPr>
            <w:r w:rsidRPr="00C0698C">
              <w:rPr>
                <w:i/>
                <w:iCs/>
              </w:rPr>
              <w:t>F</w:t>
            </w:r>
          </w:p>
        </w:tc>
        <w:tc>
          <w:tcPr>
            <w:tcW w:w="964" w:type="dxa"/>
          </w:tcPr>
          <w:p w14:paraId="68634677" w14:textId="77777777" w:rsidR="001E6401" w:rsidRPr="00C0698C" w:rsidRDefault="00000000">
            <w:pPr>
              <w:pStyle w:val="Compact"/>
              <w:rPr>
                <w:i/>
                <w:iCs/>
              </w:rPr>
            </w:pPr>
            <w:r w:rsidRPr="00C0698C">
              <w:rPr>
                <w:i/>
                <w:iCs/>
              </w:rPr>
              <w:t>p</w:t>
            </w:r>
          </w:p>
        </w:tc>
      </w:tr>
      <w:tr w:rsidR="001E6401" w14:paraId="3302C49B" w14:textId="77777777" w:rsidTr="00C0698C">
        <w:tc>
          <w:tcPr>
            <w:tcW w:w="4608" w:type="dxa"/>
          </w:tcPr>
          <w:p w14:paraId="0055D01E" w14:textId="77777777" w:rsidR="001E6401" w:rsidRPr="00C0698C" w:rsidRDefault="00000000">
            <w:pPr>
              <w:pStyle w:val="Compact"/>
              <w:rPr>
                <w:b/>
                <w:bCs/>
              </w:rPr>
            </w:pPr>
            <w:r w:rsidRPr="00C0698C">
              <w:rPr>
                <w:b/>
                <w:bCs/>
              </w:rPr>
              <w:t>Group comparison</w:t>
            </w:r>
          </w:p>
        </w:tc>
        <w:tc>
          <w:tcPr>
            <w:tcW w:w="540" w:type="dxa"/>
          </w:tcPr>
          <w:p w14:paraId="771DBB67" w14:textId="77777777" w:rsidR="001E6401" w:rsidRDefault="00000000">
            <w:pPr>
              <w:pStyle w:val="Compact"/>
            </w:pPr>
            <w:r>
              <w:t>52</w:t>
            </w:r>
          </w:p>
        </w:tc>
        <w:tc>
          <w:tcPr>
            <w:tcW w:w="630" w:type="dxa"/>
          </w:tcPr>
          <w:p w14:paraId="4AAB5A93" w14:textId="77777777" w:rsidR="001E6401" w:rsidRDefault="00000000">
            <w:pPr>
              <w:pStyle w:val="Compact"/>
            </w:pPr>
            <w:r>
              <w:t>252</w:t>
            </w:r>
          </w:p>
        </w:tc>
        <w:tc>
          <w:tcPr>
            <w:tcW w:w="720" w:type="dxa"/>
          </w:tcPr>
          <w:p w14:paraId="2ABEA0BB" w14:textId="77777777" w:rsidR="001E6401" w:rsidRDefault="00000000">
            <w:pPr>
              <w:pStyle w:val="Compact"/>
            </w:pPr>
            <w:r>
              <w:t>–</w:t>
            </w:r>
          </w:p>
        </w:tc>
        <w:tc>
          <w:tcPr>
            <w:tcW w:w="1440" w:type="dxa"/>
          </w:tcPr>
          <w:p w14:paraId="6E28EBEA" w14:textId="77777777" w:rsidR="001E6401" w:rsidRDefault="00000000">
            <w:pPr>
              <w:pStyle w:val="Compact"/>
            </w:pPr>
            <w:r>
              <w:t>–</w:t>
            </w:r>
          </w:p>
        </w:tc>
        <w:tc>
          <w:tcPr>
            <w:tcW w:w="720" w:type="dxa"/>
          </w:tcPr>
          <w:p w14:paraId="32EF62E0" w14:textId="77777777" w:rsidR="001E6401" w:rsidRDefault="00000000">
            <w:pPr>
              <w:pStyle w:val="Compact"/>
            </w:pPr>
            <w:r>
              <w:t>1.89</w:t>
            </w:r>
          </w:p>
        </w:tc>
        <w:tc>
          <w:tcPr>
            <w:tcW w:w="964" w:type="dxa"/>
          </w:tcPr>
          <w:p w14:paraId="24B0F063" w14:textId="77777777" w:rsidR="001E6401" w:rsidRDefault="00000000">
            <w:pPr>
              <w:pStyle w:val="Compact"/>
            </w:pPr>
            <w:r>
              <w:t>.292</w:t>
            </w:r>
          </w:p>
        </w:tc>
      </w:tr>
      <w:tr w:rsidR="001E6401" w14:paraId="24937C5F" w14:textId="77777777" w:rsidTr="00C0698C">
        <w:tc>
          <w:tcPr>
            <w:tcW w:w="4608" w:type="dxa"/>
          </w:tcPr>
          <w:p w14:paraId="0C3D4275" w14:textId="77777777" w:rsidR="001E6401" w:rsidRDefault="00000000">
            <w:pPr>
              <w:pStyle w:val="Compact"/>
            </w:pPr>
            <w:r>
              <w:t>     positive vs. control</w:t>
            </w:r>
          </w:p>
        </w:tc>
        <w:tc>
          <w:tcPr>
            <w:tcW w:w="540" w:type="dxa"/>
          </w:tcPr>
          <w:p w14:paraId="252B354F" w14:textId="77777777" w:rsidR="001E6401" w:rsidRDefault="00000000">
            <w:pPr>
              <w:pStyle w:val="Compact"/>
            </w:pPr>
            <w:r>
              <w:t>41</w:t>
            </w:r>
          </w:p>
        </w:tc>
        <w:tc>
          <w:tcPr>
            <w:tcW w:w="630" w:type="dxa"/>
          </w:tcPr>
          <w:p w14:paraId="05A8D106" w14:textId="77777777" w:rsidR="001E6401" w:rsidRDefault="00000000">
            <w:pPr>
              <w:pStyle w:val="Compact"/>
            </w:pPr>
            <w:r>
              <w:t>114</w:t>
            </w:r>
          </w:p>
        </w:tc>
        <w:tc>
          <w:tcPr>
            <w:tcW w:w="720" w:type="dxa"/>
          </w:tcPr>
          <w:p w14:paraId="386784EF" w14:textId="77777777" w:rsidR="001E6401" w:rsidRDefault="00000000">
            <w:pPr>
              <w:pStyle w:val="Compact"/>
            </w:pPr>
            <w:r>
              <w:t>0.16</w:t>
            </w:r>
          </w:p>
        </w:tc>
        <w:tc>
          <w:tcPr>
            <w:tcW w:w="1440" w:type="dxa"/>
          </w:tcPr>
          <w:p w14:paraId="76638FAD" w14:textId="77777777" w:rsidR="001E6401" w:rsidRDefault="00000000">
            <w:pPr>
              <w:pStyle w:val="Compact"/>
            </w:pPr>
            <w:r>
              <w:t>[0.05, 0.27]</w:t>
            </w:r>
          </w:p>
        </w:tc>
        <w:tc>
          <w:tcPr>
            <w:tcW w:w="720" w:type="dxa"/>
          </w:tcPr>
          <w:p w14:paraId="648BCB4B" w14:textId="77777777" w:rsidR="001E6401" w:rsidRDefault="00000000">
            <w:pPr>
              <w:pStyle w:val="Compact"/>
            </w:pPr>
            <w:r>
              <w:t>8.35</w:t>
            </w:r>
          </w:p>
        </w:tc>
        <w:tc>
          <w:tcPr>
            <w:tcW w:w="964" w:type="dxa"/>
          </w:tcPr>
          <w:p w14:paraId="6202E837" w14:textId="77777777" w:rsidR="001E6401" w:rsidRDefault="00000000">
            <w:pPr>
              <w:pStyle w:val="Compact"/>
            </w:pPr>
            <w:r>
              <w:t>.006</w:t>
            </w:r>
          </w:p>
        </w:tc>
      </w:tr>
      <w:tr w:rsidR="001E6401" w14:paraId="47D73878" w14:textId="77777777" w:rsidTr="00C0698C">
        <w:tc>
          <w:tcPr>
            <w:tcW w:w="4608" w:type="dxa"/>
          </w:tcPr>
          <w:p w14:paraId="4916FBB0" w14:textId="77777777" w:rsidR="001E6401" w:rsidRDefault="00000000">
            <w:pPr>
              <w:pStyle w:val="Compact"/>
            </w:pPr>
            <w:r>
              <w:t>     nil vs. control</w:t>
            </w:r>
          </w:p>
        </w:tc>
        <w:tc>
          <w:tcPr>
            <w:tcW w:w="540" w:type="dxa"/>
          </w:tcPr>
          <w:p w14:paraId="11C26B1A" w14:textId="77777777" w:rsidR="001E6401" w:rsidRDefault="00000000">
            <w:pPr>
              <w:pStyle w:val="Compact"/>
            </w:pPr>
            <w:r>
              <w:t>4</w:t>
            </w:r>
          </w:p>
        </w:tc>
        <w:tc>
          <w:tcPr>
            <w:tcW w:w="630" w:type="dxa"/>
          </w:tcPr>
          <w:p w14:paraId="6A9387F4" w14:textId="77777777" w:rsidR="001E6401" w:rsidRDefault="00000000">
            <w:pPr>
              <w:pStyle w:val="Compact"/>
            </w:pPr>
            <w:r>
              <w:t>17</w:t>
            </w:r>
          </w:p>
        </w:tc>
        <w:tc>
          <w:tcPr>
            <w:tcW w:w="720" w:type="dxa"/>
          </w:tcPr>
          <w:p w14:paraId="38D38EBB" w14:textId="77777777" w:rsidR="001E6401" w:rsidRDefault="00000000">
            <w:pPr>
              <w:pStyle w:val="Compact"/>
            </w:pPr>
            <w:r>
              <w:t>0.23</w:t>
            </w:r>
          </w:p>
        </w:tc>
        <w:tc>
          <w:tcPr>
            <w:tcW w:w="1440" w:type="dxa"/>
          </w:tcPr>
          <w:p w14:paraId="271775C6" w14:textId="77777777" w:rsidR="001E6401" w:rsidRDefault="00000000">
            <w:pPr>
              <w:pStyle w:val="Compact"/>
            </w:pPr>
            <w:r>
              <w:t>[-0.13, 0.58]</w:t>
            </w:r>
          </w:p>
        </w:tc>
        <w:tc>
          <w:tcPr>
            <w:tcW w:w="720" w:type="dxa"/>
          </w:tcPr>
          <w:p w14:paraId="4A0DFE9A" w14:textId="77777777" w:rsidR="001E6401" w:rsidRDefault="00000000">
            <w:pPr>
              <w:pStyle w:val="Compact"/>
            </w:pPr>
            <w:r>
              <w:t>3.15</w:t>
            </w:r>
          </w:p>
        </w:tc>
        <w:tc>
          <w:tcPr>
            <w:tcW w:w="964" w:type="dxa"/>
          </w:tcPr>
          <w:p w14:paraId="15ED3356" w14:textId="77777777" w:rsidR="001E6401" w:rsidRDefault="00000000">
            <w:pPr>
              <w:pStyle w:val="Compact"/>
            </w:pPr>
            <w:r>
              <w:t>.152</w:t>
            </w:r>
          </w:p>
        </w:tc>
      </w:tr>
      <w:tr w:rsidR="001E6401" w14:paraId="33EC2AF8" w14:textId="77777777" w:rsidTr="00C0698C">
        <w:tc>
          <w:tcPr>
            <w:tcW w:w="4608" w:type="dxa"/>
          </w:tcPr>
          <w:p w14:paraId="269E1F59" w14:textId="77777777" w:rsidR="001E6401" w:rsidRDefault="00000000">
            <w:pPr>
              <w:pStyle w:val="Compact"/>
            </w:pPr>
            <w:r>
              <w:t>     negative vs. control</w:t>
            </w:r>
          </w:p>
        </w:tc>
        <w:tc>
          <w:tcPr>
            <w:tcW w:w="540" w:type="dxa"/>
          </w:tcPr>
          <w:p w14:paraId="1B256550" w14:textId="77777777" w:rsidR="001E6401" w:rsidRDefault="00000000">
            <w:pPr>
              <w:pStyle w:val="Compact"/>
            </w:pPr>
            <w:r>
              <w:t>17</w:t>
            </w:r>
          </w:p>
        </w:tc>
        <w:tc>
          <w:tcPr>
            <w:tcW w:w="630" w:type="dxa"/>
          </w:tcPr>
          <w:p w14:paraId="04AC6896" w14:textId="77777777" w:rsidR="001E6401" w:rsidRDefault="00000000">
            <w:pPr>
              <w:pStyle w:val="Compact"/>
            </w:pPr>
            <w:r>
              <w:t>43</w:t>
            </w:r>
          </w:p>
        </w:tc>
        <w:tc>
          <w:tcPr>
            <w:tcW w:w="720" w:type="dxa"/>
          </w:tcPr>
          <w:p w14:paraId="6534F0A5" w14:textId="77777777" w:rsidR="001E6401" w:rsidRDefault="00000000">
            <w:pPr>
              <w:pStyle w:val="Compact"/>
            </w:pPr>
            <w:r>
              <w:t>0.16</w:t>
            </w:r>
          </w:p>
        </w:tc>
        <w:tc>
          <w:tcPr>
            <w:tcW w:w="1440" w:type="dxa"/>
          </w:tcPr>
          <w:p w14:paraId="3B00E5F3" w14:textId="77777777" w:rsidR="001E6401" w:rsidRDefault="00000000">
            <w:pPr>
              <w:pStyle w:val="Compact"/>
            </w:pPr>
            <w:r>
              <w:t>[0.03, 0.29]</w:t>
            </w:r>
          </w:p>
        </w:tc>
        <w:tc>
          <w:tcPr>
            <w:tcW w:w="720" w:type="dxa"/>
          </w:tcPr>
          <w:p w14:paraId="2C82665B" w14:textId="77777777" w:rsidR="001E6401" w:rsidRDefault="00000000">
            <w:pPr>
              <w:pStyle w:val="Compact"/>
            </w:pPr>
            <w:r>
              <w:t>7.13</w:t>
            </w:r>
          </w:p>
        </w:tc>
        <w:tc>
          <w:tcPr>
            <w:tcW w:w="964" w:type="dxa"/>
          </w:tcPr>
          <w:p w14:paraId="219D8B0D" w14:textId="77777777" w:rsidR="001E6401" w:rsidRDefault="00000000">
            <w:pPr>
              <w:pStyle w:val="Compact"/>
            </w:pPr>
            <w:r>
              <w:t>.016</w:t>
            </w:r>
          </w:p>
        </w:tc>
      </w:tr>
      <w:tr w:rsidR="001E6401" w14:paraId="449D4FEE" w14:textId="77777777" w:rsidTr="00C0698C">
        <w:tc>
          <w:tcPr>
            <w:tcW w:w="4608" w:type="dxa"/>
          </w:tcPr>
          <w:p w14:paraId="06393D3F" w14:textId="77777777" w:rsidR="001E6401" w:rsidRDefault="00000000">
            <w:pPr>
              <w:pStyle w:val="Compact"/>
            </w:pPr>
            <w:r>
              <w:t>     positive vs. nil</w:t>
            </w:r>
          </w:p>
        </w:tc>
        <w:tc>
          <w:tcPr>
            <w:tcW w:w="540" w:type="dxa"/>
          </w:tcPr>
          <w:p w14:paraId="5CEF427F" w14:textId="77777777" w:rsidR="001E6401" w:rsidRDefault="00000000">
            <w:pPr>
              <w:pStyle w:val="Compact"/>
            </w:pPr>
            <w:r>
              <w:t>8</w:t>
            </w:r>
          </w:p>
        </w:tc>
        <w:tc>
          <w:tcPr>
            <w:tcW w:w="630" w:type="dxa"/>
          </w:tcPr>
          <w:p w14:paraId="61D6ED35" w14:textId="77777777" w:rsidR="001E6401" w:rsidRDefault="00000000">
            <w:pPr>
              <w:pStyle w:val="Compact"/>
            </w:pPr>
            <w:r>
              <w:t>34</w:t>
            </w:r>
          </w:p>
        </w:tc>
        <w:tc>
          <w:tcPr>
            <w:tcW w:w="720" w:type="dxa"/>
          </w:tcPr>
          <w:p w14:paraId="0D56F9C0" w14:textId="77777777" w:rsidR="001E6401" w:rsidRDefault="00000000">
            <w:pPr>
              <w:pStyle w:val="Compact"/>
            </w:pPr>
            <w:r>
              <w:t>0.37</w:t>
            </w:r>
          </w:p>
        </w:tc>
        <w:tc>
          <w:tcPr>
            <w:tcW w:w="1440" w:type="dxa"/>
          </w:tcPr>
          <w:p w14:paraId="5CB7F904" w14:textId="77777777" w:rsidR="001E6401" w:rsidRDefault="00000000">
            <w:pPr>
              <w:pStyle w:val="Compact"/>
            </w:pPr>
            <w:r>
              <w:t>[0.02, 0.72]</w:t>
            </w:r>
          </w:p>
        </w:tc>
        <w:tc>
          <w:tcPr>
            <w:tcW w:w="720" w:type="dxa"/>
          </w:tcPr>
          <w:p w14:paraId="18D8E61F" w14:textId="77777777" w:rsidR="001E6401" w:rsidRDefault="00000000">
            <w:pPr>
              <w:pStyle w:val="Compact"/>
            </w:pPr>
            <w:r>
              <w:t>6.39</w:t>
            </w:r>
          </w:p>
        </w:tc>
        <w:tc>
          <w:tcPr>
            <w:tcW w:w="964" w:type="dxa"/>
          </w:tcPr>
          <w:p w14:paraId="5400FAAB" w14:textId="77777777" w:rsidR="001E6401" w:rsidRDefault="00000000">
            <w:pPr>
              <w:pStyle w:val="Compact"/>
            </w:pPr>
            <w:r>
              <w:t>.040</w:t>
            </w:r>
          </w:p>
        </w:tc>
      </w:tr>
      <w:tr w:rsidR="001E6401" w14:paraId="0AD0AD6C" w14:textId="77777777" w:rsidTr="00C0698C">
        <w:tc>
          <w:tcPr>
            <w:tcW w:w="4608" w:type="dxa"/>
          </w:tcPr>
          <w:p w14:paraId="6210472F" w14:textId="77777777" w:rsidR="001E6401" w:rsidRDefault="00000000">
            <w:pPr>
              <w:pStyle w:val="Compact"/>
            </w:pPr>
            <w:r>
              <w:t>     positive vs. negative</w:t>
            </w:r>
          </w:p>
        </w:tc>
        <w:tc>
          <w:tcPr>
            <w:tcW w:w="540" w:type="dxa"/>
          </w:tcPr>
          <w:p w14:paraId="2587BB3B" w14:textId="77777777" w:rsidR="001E6401" w:rsidRDefault="00000000">
            <w:pPr>
              <w:pStyle w:val="Compact"/>
            </w:pPr>
            <w:r>
              <w:t>16</w:t>
            </w:r>
          </w:p>
        </w:tc>
        <w:tc>
          <w:tcPr>
            <w:tcW w:w="630" w:type="dxa"/>
          </w:tcPr>
          <w:p w14:paraId="63268226" w14:textId="77777777" w:rsidR="001E6401" w:rsidRDefault="00000000">
            <w:pPr>
              <w:pStyle w:val="Compact"/>
            </w:pPr>
            <w:r>
              <w:t>44</w:t>
            </w:r>
          </w:p>
        </w:tc>
        <w:tc>
          <w:tcPr>
            <w:tcW w:w="720" w:type="dxa"/>
          </w:tcPr>
          <w:p w14:paraId="575BE317" w14:textId="77777777" w:rsidR="001E6401" w:rsidRDefault="00000000">
            <w:pPr>
              <w:pStyle w:val="Compact"/>
            </w:pPr>
            <w:r>
              <w:t>0.33</w:t>
            </w:r>
          </w:p>
        </w:tc>
        <w:tc>
          <w:tcPr>
            <w:tcW w:w="1440" w:type="dxa"/>
          </w:tcPr>
          <w:p w14:paraId="7B23C9C9" w14:textId="77777777" w:rsidR="001E6401" w:rsidRDefault="00000000">
            <w:pPr>
              <w:pStyle w:val="Compact"/>
            </w:pPr>
            <w:r>
              <w:t>[0.15, 0.51]</w:t>
            </w:r>
          </w:p>
        </w:tc>
        <w:tc>
          <w:tcPr>
            <w:tcW w:w="720" w:type="dxa"/>
          </w:tcPr>
          <w:p w14:paraId="27011B75" w14:textId="77777777" w:rsidR="001E6401" w:rsidRDefault="00000000">
            <w:pPr>
              <w:pStyle w:val="Compact"/>
            </w:pPr>
            <w:r>
              <w:t>15.74</w:t>
            </w:r>
          </w:p>
        </w:tc>
        <w:tc>
          <w:tcPr>
            <w:tcW w:w="964" w:type="dxa"/>
          </w:tcPr>
          <w:p w14:paraId="70871F82" w14:textId="77777777" w:rsidR="001E6401" w:rsidRDefault="00000000">
            <w:pPr>
              <w:pStyle w:val="Compact"/>
            </w:pPr>
            <w:r>
              <w:t>.001</w:t>
            </w:r>
          </w:p>
        </w:tc>
      </w:tr>
      <w:tr w:rsidR="001E6401" w14:paraId="3ABFD9C7" w14:textId="77777777" w:rsidTr="00C0698C">
        <w:tc>
          <w:tcPr>
            <w:tcW w:w="4608" w:type="dxa"/>
          </w:tcPr>
          <w:p w14:paraId="0299D0FE" w14:textId="77777777" w:rsidR="001E6401" w:rsidRPr="00C0698C" w:rsidRDefault="00000000">
            <w:pPr>
              <w:pStyle w:val="Compact"/>
              <w:rPr>
                <w:b/>
                <w:bCs/>
              </w:rPr>
            </w:pPr>
            <w:r w:rsidRPr="00C0698C">
              <w:rPr>
                <w:b/>
                <w:bCs/>
              </w:rPr>
              <w:t>Control vs. non-control group comparison</w:t>
            </w:r>
          </w:p>
        </w:tc>
        <w:tc>
          <w:tcPr>
            <w:tcW w:w="540" w:type="dxa"/>
          </w:tcPr>
          <w:p w14:paraId="61F3620F" w14:textId="77777777" w:rsidR="001E6401" w:rsidRDefault="00000000">
            <w:pPr>
              <w:pStyle w:val="Compact"/>
            </w:pPr>
            <w:r>
              <w:t>52</w:t>
            </w:r>
          </w:p>
        </w:tc>
        <w:tc>
          <w:tcPr>
            <w:tcW w:w="630" w:type="dxa"/>
          </w:tcPr>
          <w:p w14:paraId="5105C5B9" w14:textId="77777777" w:rsidR="001E6401" w:rsidRDefault="00000000">
            <w:pPr>
              <w:pStyle w:val="Compact"/>
            </w:pPr>
            <w:r>
              <w:t>252</w:t>
            </w:r>
          </w:p>
        </w:tc>
        <w:tc>
          <w:tcPr>
            <w:tcW w:w="720" w:type="dxa"/>
          </w:tcPr>
          <w:p w14:paraId="657F26BE" w14:textId="77777777" w:rsidR="001E6401" w:rsidRDefault="00000000">
            <w:pPr>
              <w:pStyle w:val="Compact"/>
            </w:pPr>
            <w:r>
              <w:t>–</w:t>
            </w:r>
          </w:p>
        </w:tc>
        <w:tc>
          <w:tcPr>
            <w:tcW w:w="1440" w:type="dxa"/>
          </w:tcPr>
          <w:p w14:paraId="59FE2D60" w14:textId="77777777" w:rsidR="001E6401" w:rsidRDefault="00000000">
            <w:pPr>
              <w:pStyle w:val="Compact"/>
            </w:pPr>
            <w:r>
              <w:t>–</w:t>
            </w:r>
          </w:p>
        </w:tc>
        <w:tc>
          <w:tcPr>
            <w:tcW w:w="720" w:type="dxa"/>
          </w:tcPr>
          <w:p w14:paraId="071F9A5D" w14:textId="77777777" w:rsidR="001E6401" w:rsidRDefault="00000000">
            <w:pPr>
              <w:pStyle w:val="Compact"/>
            </w:pPr>
            <w:r>
              <w:t>10.55</w:t>
            </w:r>
          </w:p>
        </w:tc>
        <w:tc>
          <w:tcPr>
            <w:tcW w:w="964" w:type="dxa"/>
          </w:tcPr>
          <w:p w14:paraId="62719722" w14:textId="77777777" w:rsidR="001E6401" w:rsidRDefault="00000000">
            <w:pPr>
              <w:pStyle w:val="Compact"/>
            </w:pPr>
            <w:r>
              <w:t>.008</w:t>
            </w:r>
          </w:p>
        </w:tc>
      </w:tr>
      <w:tr w:rsidR="001E6401" w14:paraId="46D5F06C" w14:textId="77777777" w:rsidTr="00C0698C">
        <w:tc>
          <w:tcPr>
            <w:tcW w:w="4608" w:type="dxa"/>
          </w:tcPr>
          <w:p w14:paraId="6D128CBE" w14:textId="77777777" w:rsidR="001E6401" w:rsidRDefault="00000000">
            <w:pPr>
              <w:pStyle w:val="Compact"/>
            </w:pPr>
            <w:r>
              <w:t>     control</w:t>
            </w:r>
          </w:p>
        </w:tc>
        <w:tc>
          <w:tcPr>
            <w:tcW w:w="540" w:type="dxa"/>
          </w:tcPr>
          <w:p w14:paraId="7BAE52F9" w14:textId="77777777" w:rsidR="001E6401" w:rsidRDefault="00000000">
            <w:pPr>
              <w:pStyle w:val="Compact"/>
            </w:pPr>
            <w:r>
              <w:t>44</w:t>
            </w:r>
          </w:p>
        </w:tc>
        <w:tc>
          <w:tcPr>
            <w:tcW w:w="630" w:type="dxa"/>
          </w:tcPr>
          <w:p w14:paraId="69B227B2" w14:textId="77777777" w:rsidR="001E6401" w:rsidRDefault="00000000">
            <w:pPr>
              <w:pStyle w:val="Compact"/>
            </w:pPr>
            <w:r>
              <w:t>174</w:t>
            </w:r>
          </w:p>
        </w:tc>
        <w:tc>
          <w:tcPr>
            <w:tcW w:w="720" w:type="dxa"/>
          </w:tcPr>
          <w:p w14:paraId="72A9C0A3" w14:textId="77777777" w:rsidR="001E6401" w:rsidRDefault="00000000">
            <w:pPr>
              <w:pStyle w:val="Compact"/>
            </w:pPr>
            <w:r>
              <w:t>0.16</w:t>
            </w:r>
          </w:p>
        </w:tc>
        <w:tc>
          <w:tcPr>
            <w:tcW w:w="1440" w:type="dxa"/>
          </w:tcPr>
          <w:p w14:paraId="75501969" w14:textId="77777777" w:rsidR="001E6401" w:rsidRDefault="00000000">
            <w:pPr>
              <w:pStyle w:val="Compact"/>
            </w:pPr>
            <w:r>
              <w:t>[0.08, 0.25]</w:t>
            </w:r>
          </w:p>
        </w:tc>
        <w:tc>
          <w:tcPr>
            <w:tcW w:w="720" w:type="dxa"/>
          </w:tcPr>
          <w:p w14:paraId="1CEBB613" w14:textId="77777777" w:rsidR="001E6401" w:rsidRDefault="00000000">
            <w:pPr>
              <w:pStyle w:val="Compact"/>
            </w:pPr>
            <w:r>
              <w:t>14.15</w:t>
            </w:r>
          </w:p>
        </w:tc>
        <w:tc>
          <w:tcPr>
            <w:tcW w:w="964" w:type="dxa"/>
          </w:tcPr>
          <w:p w14:paraId="19B4C428" w14:textId="77777777" w:rsidR="001E6401" w:rsidRDefault="00000000">
            <w:pPr>
              <w:pStyle w:val="Compact"/>
            </w:pPr>
            <w:r>
              <w:t>&lt; .001</w:t>
            </w:r>
          </w:p>
        </w:tc>
      </w:tr>
      <w:tr w:rsidR="001E6401" w14:paraId="63C4E194" w14:textId="77777777" w:rsidTr="00C0698C">
        <w:tc>
          <w:tcPr>
            <w:tcW w:w="4608" w:type="dxa"/>
          </w:tcPr>
          <w:p w14:paraId="18753A6D" w14:textId="77777777" w:rsidR="001E6401" w:rsidRDefault="00000000">
            <w:pPr>
              <w:pStyle w:val="Compact"/>
            </w:pPr>
            <w:r>
              <w:t>     non-control</w:t>
            </w:r>
          </w:p>
        </w:tc>
        <w:tc>
          <w:tcPr>
            <w:tcW w:w="540" w:type="dxa"/>
          </w:tcPr>
          <w:p w14:paraId="644F1D3F" w14:textId="77777777" w:rsidR="001E6401" w:rsidRDefault="00000000">
            <w:pPr>
              <w:pStyle w:val="Compact"/>
            </w:pPr>
            <w:r>
              <w:t>24</w:t>
            </w:r>
          </w:p>
        </w:tc>
        <w:tc>
          <w:tcPr>
            <w:tcW w:w="630" w:type="dxa"/>
          </w:tcPr>
          <w:p w14:paraId="4A21D5D3" w14:textId="77777777" w:rsidR="001E6401" w:rsidRDefault="00000000">
            <w:pPr>
              <w:pStyle w:val="Compact"/>
            </w:pPr>
            <w:r>
              <w:t>78</w:t>
            </w:r>
          </w:p>
        </w:tc>
        <w:tc>
          <w:tcPr>
            <w:tcW w:w="720" w:type="dxa"/>
          </w:tcPr>
          <w:p w14:paraId="0F14D4A0" w14:textId="77777777" w:rsidR="001E6401" w:rsidRDefault="00000000">
            <w:pPr>
              <w:pStyle w:val="Compact"/>
            </w:pPr>
            <w:r>
              <w:t>0.34</w:t>
            </w:r>
          </w:p>
        </w:tc>
        <w:tc>
          <w:tcPr>
            <w:tcW w:w="1440" w:type="dxa"/>
          </w:tcPr>
          <w:p w14:paraId="2D2DB0DA" w14:textId="77777777" w:rsidR="001E6401" w:rsidRDefault="00000000">
            <w:pPr>
              <w:pStyle w:val="Compact"/>
            </w:pPr>
            <w:r>
              <w:t>[0.19, 0.49]</w:t>
            </w:r>
          </w:p>
        </w:tc>
        <w:tc>
          <w:tcPr>
            <w:tcW w:w="720" w:type="dxa"/>
          </w:tcPr>
          <w:p w14:paraId="4CE673E9" w14:textId="77777777" w:rsidR="001E6401" w:rsidRDefault="00000000">
            <w:pPr>
              <w:pStyle w:val="Compact"/>
            </w:pPr>
            <w:r>
              <w:t>22.02</w:t>
            </w:r>
          </w:p>
        </w:tc>
        <w:tc>
          <w:tcPr>
            <w:tcW w:w="964" w:type="dxa"/>
          </w:tcPr>
          <w:p w14:paraId="3FF98DE2" w14:textId="77777777" w:rsidR="001E6401" w:rsidRDefault="00000000">
            <w:pPr>
              <w:pStyle w:val="Compact"/>
            </w:pPr>
            <w:r>
              <w:t>&lt; .001</w:t>
            </w:r>
          </w:p>
        </w:tc>
      </w:tr>
      <w:tr w:rsidR="001E6401" w14:paraId="48969F70" w14:textId="77777777" w:rsidTr="00C0698C">
        <w:tc>
          <w:tcPr>
            <w:tcW w:w="4608" w:type="dxa"/>
          </w:tcPr>
          <w:p w14:paraId="130ED9BD" w14:textId="77777777" w:rsidR="001E6401" w:rsidRPr="00C0698C" w:rsidRDefault="00000000">
            <w:pPr>
              <w:pStyle w:val="Compact"/>
              <w:rPr>
                <w:b/>
                <w:bCs/>
              </w:rPr>
            </w:pPr>
            <w:r w:rsidRPr="00C0698C">
              <w:rPr>
                <w:b/>
                <w:bCs/>
              </w:rPr>
              <w:t>Control group comparison (see levels above)</w:t>
            </w:r>
          </w:p>
        </w:tc>
        <w:tc>
          <w:tcPr>
            <w:tcW w:w="540" w:type="dxa"/>
          </w:tcPr>
          <w:p w14:paraId="3BC3DB83" w14:textId="77777777" w:rsidR="001E6401" w:rsidRDefault="00000000">
            <w:pPr>
              <w:pStyle w:val="Compact"/>
            </w:pPr>
            <w:r>
              <w:t>44</w:t>
            </w:r>
          </w:p>
        </w:tc>
        <w:tc>
          <w:tcPr>
            <w:tcW w:w="630" w:type="dxa"/>
          </w:tcPr>
          <w:p w14:paraId="63C8FEBD" w14:textId="77777777" w:rsidR="001E6401" w:rsidRDefault="00000000">
            <w:pPr>
              <w:pStyle w:val="Compact"/>
            </w:pPr>
            <w:r>
              <w:t>174</w:t>
            </w:r>
          </w:p>
        </w:tc>
        <w:tc>
          <w:tcPr>
            <w:tcW w:w="720" w:type="dxa"/>
          </w:tcPr>
          <w:p w14:paraId="30E183CF" w14:textId="77777777" w:rsidR="001E6401" w:rsidRDefault="00000000">
            <w:pPr>
              <w:pStyle w:val="Compact"/>
            </w:pPr>
            <w:r>
              <w:t>–</w:t>
            </w:r>
          </w:p>
        </w:tc>
        <w:tc>
          <w:tcPr>
            <w:tcW w:w="1440" w:type="dxa"/>
          </w:tcPr>
          <w:p w14:paraId="568A6C4C" w14:textId="77777777" w:rsidR="001E6401" w:rsidRDefault="00000000">
            <w:pPr>
              <w:pStyle w:val="Compact"/>
            </w:pPr>
            <w:r>
              <w:t>–</w:t>
            </w:r>
          </w:p>
        </w:tc>
        <w:tc>
          <w:tcPr>
            <w:tcW w:w="720" w:type="dxa"/>
          </w:tcPr>
          <w:p w14:paraId="1769801F" w14:textId="77777777" w:rsidR="001E6401" w:rsidRDefault="00000000">
            <w:pPr>
              <w:pStyle w:val="Compact"/>
            </w:pPr>
            <w:r>
              <w:t>0.18</w:t>
            </w:r>
          </w:p>
        </w:tc>
        <w:tc>
          <w:tcPr>
            <w:tcW w:w="964" w:type="dxa"/>
          </w:tcPr>
          <w:p w14:paraId="4564D6F0" w14:textId="77777777" w:rsidR="001E6401" w:rsidRDefault="00000000">
            <w:pPr>
              <w:pStyle w:val="Compact"/>
            </w:pPr>
            <w:r>
              <w:t>.842</w:t>
            </w:r>
          </w:p>
        </w:tc>
      </w:tr>
      <w:tr w:rsidR="001E6401" w14:paraId="0750358E" w14:textId="77777777" w:rsidTr="00C0698C">
        <w:tc>
          <w:tcPr>
            <w:tcW w:w="4608" w:type="dxa"/>
          </w:tcPr>
          <w:p w14:paraId="556F54E4" w14:textId="77777777" w:rsidR="001E6401" w:rsidRPr="00C0698C" w:rsidRDefault="00000000">
            <w:pPr>
              <w:pStyle w:val="Compact"/>
              <w:rPr>
                <w:b/>
                <w:bCs/>
              </w:rPr>
            </w:pPr>
            <w:r w:rsidRPr="00C0698C">
              <w:rPr>
                <w:b/>
                <w:bCs/>
              </w:rPr>
              <w:t>Design of demand characteristics manipulation</w:t>
            </w:r>
          </w:p>
        </w:tc>
        <w:tc>
          <w:tcPr>
            <w:tcW w:w="540" w:type="dxa"/>
          </w:tcPr>
          <w:p w14:paraId="2B189A6D" w14:textId="77777777" w:rsidR="001E6401" w:rsidRDefault="00000000">
            <w:pPr>
              <w:pStyle w:val="Compact"/>
            </w:pPr>
            <w:r>
              <w:t>52</w:t>
            </w:r>
          </w:p>
        </w:tc>
        <w:tc>
          <w:tcPr>
            <w:tcW w:w="630" w:type="dxa"/>
          </w:tcPr>
          <w:p w14:paraId="69E91B24" w14:textId="77777777" w:rsidR="001E6401" w:rsidRDefault="00000000">
            <w:pPr>
              <w:pStyle w:val="Compact"/>
            </w:pPr>
            <w:r>
              <w:t>252</w:t>
            </w:r>
          </w:p>
        </w:tc>
        <w:tc>
          <w:tcPr>
            <w:tcW w:w="720" w:type="dxa"/>
          </w:tcPr>
          <w:p w14:paraId="2EC32239" w14:textId="77777777" w:rsidR="001E6401" w:rsidRDefault="00000000">
            <w:pPr>
              <w:pStyle w:val="Compact"/>
            </w:pPr>
            <w:r>
              <w:t>–</w:t>
            </w:r>
          </w:p>
        </w:tc>
        <w:tc>
          <w:tcPr>
            <w:tcW w:w="1440" w:type="dxa"/>
          </w:tcPr>
          <w:p w14:paraId="0F04BF00" w14:textId="77777777" w:rsidR="001E6401" w:rsidRDefault="00000000">
            <w:pPr>
              <w:pStyle w:val="Compact"/>
            </w:pPr>
            <w:r>
              <w:t>–</w:t>
            </w:r>
          </w:p>
        </w:tc>
        <w:tc>
          <w:tcPr>
            <w:tcW w:w="720" w:type="dxa"/>
          </w:tcPr>
          <w:p w14:paraId="442011C1" w14:textId="77777777" w:rsidR="001E6401" w:rsidRDefault="00000000">
            <w:pPr>
              <w:pStyle w:val="Compact"/>
            </w:pPr>
            <w:r>
              <w:t>1.76</w:t>
            </w:r>
          </w:p>
        </w:tc>
        <w:tc>
          <w:tcPr>
            <w:tcW w:w="964" w:type="dxa"/>
          </w:tcPr>
          <w:p w14:paraId="1D560024" w14:textId="77777777" w:rsidR="001E6401" w:rsidRDefault="00000000">
            <w:pPr>
              <w:pStyle w:val="Compact"/>
            </w:pPr>
            <w:r>
              <w:t>.213</w:t>
            </w:r>
          </w:p>
        </w:tc>
      </w:tr>
      <w:tr w:rsidR="001E6401" w14:paraId="1EE083A6" w14:textId="77777777" w:rsidTr="00C0698C">
        <w:tc>
          <w:tcPr>
            <w:tcW w:w="4608" w:type="dxa"/>
          </w:tcPr>
          <w:p w14:paraId="2B233F36" w14:textId="77777777" w:rsidR="001E6401" w:rsidRDefault="00000000">
            <w:pPr>
              <w:pStyle w:val="Compact"/>
            </w:pPr>
            <w:r>
              <w:t>     within-subjects</w:t>
            </w:r>
          </w:p>
        </w:tc>
        <w:tc>
          <w:tcPr>
            <w:tcW w:w="540" w:type="dxa"/>
          </w:tcPr>
          <w:p w14:paraId="023CBE0F" w14:textId="77777777" w:rsidR="001E6401" w:rsidRDefault="00000000">
            <w:pPr>
              <w:pStyle w:val="Compact"/>
            </w:pPr>
            <w:r>
              <w:t>14</w:t>
            </w:r>
          </w:p>
        </w:tc>
        <w:tc>
          <w:tcPr>
            <w:tcW w:w="630" w:type="dxa"/>
          </w:tcPr>
          <w:p w14:paraId="6F53E4D7" w14:textId="77777777" w:rsidR="001E6401" w:rsidRDefault="00000000">
            <w:pPr>
              <w:pStyle w:val="Compact"/>
            </w:pPr>
            <w:r>
              <w:t>44</w:t>
            </w:r>
          </w:p>
        </w:tc>
        <w:tc>
          <w:tcPr>
            <w:tcW w:w="720" w:type="dxa"/>
          </w:tcPr>
          <w:p w14:paraId="007F106F" w14:textId="77777777" w:rsidR="001E6401" w:rsidRDefault="00000000">
            <w:pPr>
              <w:pStyle w:val="Compact"/>
            </w:pPr>
            <w:r>
              <w:t>0.14</w:t>
            </w:r>
          </w:p>
        </w:tc>
        <w:tc>
          <w:tcPr>
            <w:tcW w:w="1440" w:type="dxa"/>
          </w:tcPr>
          <w:p w14:paraId="25A63430" w14:textId="77777777" w:rsidR="001E6401" w:rsidRDefault="00000000">
            <w:pPr>
              <w:pStyle w:val="Compact"/>
            </w:pPr>
            <w:r>
              <w:t>[0.03, 0.25]</w:t>
            </w:r>
          </w:p>
        </w:tc>
        <w:tc>
          <w:tcPr>
            <w:tcW w:w="720" w:type="dxa"/>
          </w:tcPr>
          <w:p w14:paraId="742CE250" w14:textId="77777777" w:rsidR="001E6401" w:rsidRDefault="00000000">
            <w:pPr>
              <w:pStyle w:val="Compact"/>
            </w:pPr>
            <w:r>
              <w:t>7.84</w:t>
            </w:r>
          </w:p>
        </w:tc>
        <w:tc>
          <w:tcPr>
            <w:tcW w:w="964" w:type="dxa"/>
          </w:tcPr>
          <w:p w14:paraId="78F30A56" w14:textId="77777777" w:rsidR="001E6401" w:rsidRDefault="00000000">
            <w:pPr>
              <w:pStyle w:val="Compact"/>
            </w:pPr>
            <w:r>
              <w:t>.016</w:t>
            </w:r>
          </w:p>
        </w:tc>
      </w:tr>
      <w:tr w:rsidR="001E6401" w14:paraId="7ED302E4" w14:textId="77777777" w:rsidTr="00C0698C">
        <w:tc>
          <w:tcPr>
            <w:tcW w:w="4608" w:type="dxa"/>
          </w:tcPr>
          <w:p w14:paraId="26273B44" w14:textId="77777777" w:rsidR="001E6401" w:rsidRDefault="00000000">
            <w:pPr>
              <w:pStyle w:val="Compact"/>
            </w:pPr>
            <w:r>
              <w:t>     between-subjects</w:t>
            </w:r>
          </w:p>
        </w:tc>
        <w:tc>
          <w:tcPr>
            <w:tcW w:w="540" w:type="dxa"/>
          </w:tcPr>
          <w:p w14:paraId="4A196FE0" w14:textId="77777777" w:rsidR="001E6401" w:rsidRDefault="00000000">
            <w:pPr>
              <w:pStyle w:val="Compact"/>
            </w:pPr>
            <w:r>
              <w:t>44</w:t>
            </w:r>
          </w:p>
        </w:tc>
        <w:tc>
          <w:tcPr>
            <w:tcW w:w="630" w:type="dxa"/>
          </w:tcPr>
          <w:p w14:paraId="4CE5CBDA" w14:textId="77777777" w:rsidR="001E6401" w:rsidRDefault="00000000">
            <w:pPr>
              <w:pStyle w:val="Compact"/>
            </w:pPr>
            <w:r>
              <w:t>208</w:t>
            </w:r>
          </w:p>
        </w:tc>
        <w:tc>
          <w:tcPr>
            <w:tcW w:w="720" w:type="dxa"/>
          </w:tcPr>
          <w:p w14:paraId="26CA3E1E" w14:textId="77777777" w:rsidR="001E6401" w:rsidRDefault="00000000">
            <w:pPr>
              <w:pStyle w:val="Compact"/>
            </w:pPr>
            <w:r>
              <w:t>0.23</w:t>
            </w:r>
          </w:p>
        </w:tc>
        <w:tc>
          <w:tcPr>
            <w:tcW w:w="1440" w:type="dxa"/>
          </w:tcPr>
          <w:p w14:paraId="37BDC929" w14:textId="77777777" w:rsidR="001E6401" w:rsidRDefault="00000000">
            <w:pPr>
              <w:pStyle w:val="Compact"/>
            </w:pPr>
            <w:r>
              <w:t>[0.12, 0.35]</w:t>
            </w:r>
          </w:p>
        </w:tc>
        <w:tc>
          <w:tcPr>
            <w:tcW w:w="720" w:type="dxa"/>
          </w:tcPr>
          <w:p w14:paraId="06DAEF95" w14:textId="77777777" w:rsidR="001E6401" w:rsidRDefault="00000000">
            <w:pPr>
              <w:pStyle w:val="Compact"/>
            </w:pPr>
            <w:r>
              <w:t>16.48</w:t>
            </w:r>
          </w:p>
        </w:tc>
        <w:tc>
          <w:tcPr>
            <w:tcW w:w="964" w:type="dxa"/>
          </w:tcPr>
          <w:p w14:paraId="1825D7C3" w14:textId="77777777" w:rsidR="001E6401" w:rsidRDefault="00000000">
            <w:pPr>
              <w:pStyle w:val="Compact"/>
            </w:pPr>
            <w:r>
              <w:t>&lt; .001</w:t>
            </w:r>
          </w:p>
        </w:tc>
      </w:tr>
      <w:tr w:rsidR="001E6401" w14:paraId="6F65074B" w14:textId="77777777" w:rsidTr="00C0698C">
        <w:tc>
          <w:tcPr>
            <w:tcW w:w="4608" w:type="dxa"/>
          </w:tcPr>
          <w:p w14:paraId="0022E7BB" w14:textId="77777777" w:rsidR="001E6401" w:rsidRPr="00C0698C" w:rsidRDefault="00000000">
            <w:pPr>
              <w:pStyle w:val="Compact"/>
              <w:rPr>
                <w:b/>
                <w:bCs/>
              </w:rPr>
            </w:pPr>
            <w:r w:rsidRPr="00C0698C">
              <w:rPr>
                <w:b/>
                <w:bCs/>
              </w:rPr>
              <w:t>Participant pool</w:t>
            </w:r>
          </w:p>
        </w:tc>
        <w:tc>
          <w:tcPr>
            <w:tcW w:w="540" w:type="dxa"/>
          </w:tcPr>
          <w:p w14:paraId="5620B0FF" w14:textId="77777777" w:rsidR="001E6401" w:rsidRDefault="00000000">
            <w:pPr>
              <w:pStyle w:val="Compact"/>
            </w:pPr>
            <w:r>
              <w:t>48</w:t>
            </w:r>
          </w:p>
        </w:tc>
        <w:tc>
          <w:tcPr>
            <w:tcW w:w="630" w:type="dxa"/>
          </w:tcPr>
          <w:p w14:paraId="3F330C17" w14:textId="77777777" w:rsidR="001E6401" w:rsidRDefault="00000000">
            <w:pPr>
              <w:pStyle w:val="Compact"/>
            </w:pPr>
            <w:r>
              <w:t>204</w:t>
            </w:r>
          </w:p>
        </w:tc>
        <w:tc>
          <w:tcPr>
            <w:tcW w:w="720" w:type="dxa"/>
          </w:tcPr>
          <w:p w14:paraId="2463B456" w14:textId="77777777" w:rsidR="001E6401" w:rsidRDefault="00000000">
            <w:pPr>
              <w:pStyle w:val="Compact"/>
            </w:pPr>
            <w:r>
              <w:t>–</w:t>
            </w:r>
          </w:p>
        </w:tc>
        <w:tc>
          <w:tcPr>
            <w:tcW w:w="1440" w:type="dxa"/>
          </w:tcPr>
          <w:p w14:paraId="200A02E3" w14:textId="77777777" w:rsidR="001E6401" w:rsidRDefault="00000000">
            <w:pPr>
              <w:pStyle w:val="Compact"/>
            </w:pPr>
            <w:r>
              <w:t>–</w:t>
            </w:r>
          </w:p>
        </w:tc>
        <w:tc>
          <w:tcPr>
            <w:tcW w:w="720" w:type="dxa"/>
          </w:tcPr>
          <w:p w14:paraId="3B1D886B" w14:textId="77777777" w:rsidR="001E6401" w:rsidRDefault="00000000">
            <w:pPr>
              <w:pStyle w:val="Compact"/>
            </w:pPr>
            <w:r>
              <w:t>2.2</w:t>
            </w:r>
          </w:p>
        </w:tc>
        <w:tc>
          <w:tcPr>
            <w:tcW w:w="964" w:type="dxa"/>
          </w:tcPr>
          <w:p w14:paraId="7707556C" w14:textId="77777777" w:rsidR="001E6401" w:rsidRDefault="00000000">
            <w:pPr>
              <w:pStyle w:val="Compact"/>
            </w:pPr>
            <w:r>
              <w:t>.304</w:t>
            </w:r>
          </w:p>
        </w:tc>
      </w:tr>
      <w:tr w:rsidR="001E6401" w14:paraId="3347849B" w14:textId="77777777" w:rsidTr="00C0698C">
        <w:tc>
          <w:tcPr>
            <w:tcW w:w="4608" w:type="dxa"/>
          </w:tcPr>
          <w:p w14:paraId="11D5BA37" w14:textId="77777777" w:rsidR="001E6401" w:rsidRDefault="00000000">
            <w:pPr>
              <w:pStyle w:val="Compact"/>
            </w:pPr>
            <w:r>
              <w:t>     students</w:t>
            </w:r>
          </w:p>
        </w:tc>
        <w:tc>
          <w:tcPr>
            <w:tcW w:w="540" w:type="dxa"/>
          </w:tcPr>
          <w:p w14:paraId="4F558E18" w14:textId="77777777" w:rsidR="001E6401" w:rsidRDefault="00000000">
            <w:pPr>
              <w:pStyle w:val="Compact"/>
            </w:pPr>
            <w:r>
              <w:t>36</w:t>
            </w:r>
          </w:p>
        </w:tc>
        <w:tc>
          <w:tcPr>
            <w:tcW w:w="630" w:type="dxa"/>
          </w:tcPr>
          <w:p w14:paraId="20391ED0" w14:textId="77777777" w:rsidR="001E6401" w:rsidRDefault="00000000">
            <w:pPr>
              <w:pStyle w:val="Compact"/>
            </w:pPr>
            <w:r>
              <w:t>160</w:t>
            </w:r>
          </w:p>
        </w:tc>
        <w:tc>
          <w:tcPr>
            <w:tcW w:w="720" w:type="dxa"/>
          </w:tcPr>
          <w:p w14:paraId="4A5FE136" w14:textId="77777777" w:rsidR="001E6401" w:rsidRDefault="00000000">
            <w:pPr>
              <w:pStyle w:val="Compact"/>
            </w:pPr>
            <w:r>
              <w:t>0.27</w:t>
            </w:r>
          </w:p>
        </w:tc>
        <w:tc>
          <w:tcPr>
            <w:tcW w:w="1440" w:type="dxa"/>
          </w:tcPr>
          <w:p w14:paraId="5B4FB1AD" w14:textId="77777777" w:rsidR="001E6401" w:rsidRDefault="00000000">
            <w:pPr>
              <w:pStyle w:val="Compact"/>
            </w:pPr>
            <w:r>
              <w:t>[0.13, 0.4]</w:t>
            </w:r>
          </w:p>
        </w:tc>
        <w:tc>
          <w:tcPr>
            <w:tcW w:w="720" w:type="dxa"/>
          </w:tcPr>
          <w:p w14:paraId="1B602A9E" w14:textId="77777777" w:rsidR="001E6401" w:rsidRDefault="00000000">
            <w:pPr>
              <w:pStyle w:val="Compact"/>
            </w:pPr>
            <w:r>
              <w:t>16.16</w:t>
            </w:r>
          </w:p>
        </w:tc>
        <w:tc>
          <w:tcPr>
            <w:tcW w:w="964" w:type="dxa"/>
          </w:tcPr>
          <w:p w14:paraId="534FB109" w14:textId="77777777" w:rsidR="001E6401" w:rsidRDefault="00000000">
            <w:pPr>
              <w:pStyle w:val="Compact"/>
            </w:pPr>
            <w:r>
              <w:t>&lt; .001</w:t>
            </w:r>
          </w:p>
        </w:tc>
      </w:tr>
      <w:tr w:rsidR="001E6401" w14:paraId="27539E31" w14:textId="77777777" w:rsidTr="00C0698C">
        <w:tc>
          <w:tcPr>
            <w:tcW w:w="4608" w:type="dxa"/>
          </w:tcPr>
          <w:p w14:paraId="59B6FC15" w14:textId="77777777" w:rsidR="001E6401" w:rsidRDefault="00000000">
            <w:pPr>
              <w:pStyle w:val="Compact"/>
            </w:pPr>
            <w:r>
              <w:lastRenderedPageBreak/>
              <w:t>     non-students</w:t>
            </w:r>
          </w:p>
        </w:tc>
        <w:tc>
          <w:tcPr>
            <w:tcW w:w="540" w:type="dxa"/>
          </w:tcPr>
          <w:p w14:paraId="5BF1A04C" w14:textId="77777777" w:rsidR="001E6401" w:rsidRDefault="00000000">
            <w:pPr>
              <w:pStyle w:val="Compact"/>
            </w:pPr>
            <w:r>
              <w:t>11</w:t>
            </w:r>
          </w:p>
        </w:tc>
        <w:tc>
          <w:tcPr>
            <w:tcW w:w="630" w:type="dxa"/>
          </w:tcPr>
          <w:p w14:paraId="5F9F6850" w14:textId="77777777" w:rsidR="001E6401" w:rsidRDefault="00000000">
            <w:pPr>
              <w:pStyle w:val="Compact"/>
            </w:pPr>
            <w:r>
              <w:t>25</w:t>
            </w:r>
          </w:p>
        </w:tc>
        <w:tc>
          <w:tcPr>
            <w:tcW w:w="720" w:type="dxa"/>
          </w:tcPr>
          <w:p w14:paraId="0171A3B3" w14:textId="77777777" w:rsidR="001E6401" w:rsidRDefault="00000000">
            <w:pPr>
              <w:pStyle w:val="Compact"/>
            </w:pPr>
            <w:r>
              <w:t>0.08</w:t>
            </w:r>
          </w:p>
        </w:tc>
        <w:tc>
          <w:tcPr>
            <w:tcW w:w="1440" w:type="dxa"/>
          </w:tcPr>
          <w:p w14:paraId="7FA1CD4F" w14:textId="77777777" w:rsidR="001E6401" w:rsidRDefault="00000000">
            <w:pPr>
              <w:pStyle w:val="Compact"/>
            </w:pPr>
            <w:r>
              <w:t>[-0.01, 0.17]</w:t>
            </w:r>
          </w:p>
        </w:tc>
        <w:tc>
          <w:tcPr>
            <w:tcW w:w="720" w:type="dxa"/>
          </w:tcPr>
          <w:p w14:paraId="7D4E543F" w14:textId="77777777" w:rsidR="001E6401" w:rsidRDefault="00000000">
            <w:pPr>
              <w:pStyle w:val="Compact"/>
            </w:pPr>
            <w:r>
              <w:t>3.96</w:t>
            </w:r>
          </w:p>
        </w:tc>
        <w:tc>
          <w:tcPr>
            <w:tcW w:w="964" w:type="dxa"/>
          </w:tcPr>
          <w:p w14:paraId="4102E68E" w14:textId="77777777" w:rsidR="001E6401" w:rsidRDefault="00000000">
            <w:pPr>
              <w:pStyle w:val="Compact"/>
            </w:pPr>
            <w:r>
              <w:t>.076</w:t>
            </w:r>
          </w:p>
        </w:tc>
      </w:tr>
      <w:tr w:rsidR="001E6401" w14:paraId="121E9A7A" w14:textId="77777777" w:rsidTr="00C0698C">
        <w:tc>
          <w:tcPr>
            <w:tcW w:w="4608" w:type="dxa"/>
          </w:tcPr>
          <w:p w14:paraId="4DE89804" w14:textId="77777777" w:rsidR="001E6401" w:rsidRDefault="00000000">
            <w:pPr>
              <w:pStyle w:val="Compact"/>
            </w:pPr>
            <w:r>
              <w:t>     mix</w:t>
            </w:r>
          </w:p>
        </w:tc>
        <w:tc>
          <w:tcPr>
            <w:tcW w:w="540" w:type="dxa"/>
          </w:tcPr>
          <w:p w14:paraId="6F1C9F9A" w14:textId="77777777" w:rsidR="001E6401" w:rsidRDefault="00000000">
            <w:pPr>
              <w:pStyle w:val="Compact"/>
            </w:pPr>
            <w:r>
              <w:t>2</w:t>
            </w:r>
          </w:p>
        </w:tc>
        <w:tc>
          <w:tcPr>
            <w:tcW w:w="630" w:type="dxa"/>
          </w:tcPr>
          <w:p w14:paraId="3823C218" w14:textId="77777777" w:rsidR="001E6401" w:rsidRDefault="00000000">
            <w:pPr>
              <w:pStyle w:val="Compact"/>
            </w:pPr>
            <w:r>
              <w:t>19</w:t>
            </w:r>
          </w:p>
        </w:tc>
        <w:tc>
          <w:tcPr>
            <w:tcW w:w="720" w:type="dxa"/>
          </w:tcPr>
          <w:p w14:paraId="4ED9E2D1" w14:textId="77777777" w:rsidR="001E6401" w:rsidRDefault="00000000">
            <w:pPr>
              <w:pStyle w:val="Compact"/>
            </w:pPr>
            <w:r>
              <w:t>0.05</w:t>
            </w:r>
          </w:p>
        </w:tc>
        <w:tc>
          <w:tcPr>
            <w:tcW w:w="1440" w:type="dxa"/>
          </w:tcPr>
          <w:p w14:paraId="17DF4C70" w14:textId="77777777" w:rsidR="001E6401" w:rsidRDefault="00000000">
            <w:pPr>
              <w:pStyle w:val="Compact"/>
            </w:pPr>
            <w:r>
              <w:t>[-1, 1.09]</w:t>
            </w:r>
          </w:p>
        </w:tc>
        <w:tc>
          <w:tcPr>
            <w:tcW w:w="720" w:type="dxa"/>
          </w:tcPr>
          <w:p w14:paraId="6C84165D" w14:textId="77777777" w:rsidR="001E6401" w:rsidRDefault="00000000">
            <w:pPr>
              <w:pStyle w:val="Compact"/>
            </w:pPr>
            <w:r>
              <w:t>0.3</w:t>
            </w:r>
          </w:p>
        </w:tc>
        <w:tc>
          <w:tcPr>
            <w:tcW w:w="964" w:type="dxa"/>
          </w:tcPr>
          <w:p w14:paraId="225AD809" w14:textId="77777777" w:rsidR="001E6401" w:rsidRDefault="00000000">
            <w:pPr>
              <w:pStyle w:val="Compact"/>
            </w:pPr>
            <w:r>
              <w:t>.680</w:t>
            </w:r>
          </w:p>
        </w:tc>
      </w:tr>
      <w:tr w:rsidR="001E6401" w14:paraId="73E0B9EA" w14:textId="77777777" w:rsidTr="00C0698C">
        <w:tc>
          <w:tcPr>
            <w:tcW w:w="4608" w:type="dxa"/>
          </w:tcPr>
          <w:p w14:paraId="3B18FF8E" w14:textId="77777777" w:rsidR="001E6401" w:rsidRPr="00C0698C" w:rsidRDefault="00000000">
            <w:pPr>
              <w:pStyle w:val="Compact"/>
              <w:rPr>
                <w:b/>
                <w:bCs/>
              </w:rPr>
            </w:pPr>
            <w:r w:rsidRPr="00C0698C">
              <w:rPr>
                <w:b/>
                <w:bCs/>
              </w:rPr>
              <w:t>Setting</w:t>
            </w:r>
          </w:p>
        </w:tc>
        <w:tc>
          <w:tcPr>
            <w:tcW w:w="540" w:type="dxa"/>
          </w:tcPr>
          <w:p w14:paraId="4910BE21" w14:textId="77777777" w:rsidR="001E6401" w:rsidRDefault="00000000">
            <w:pPr>
              <w:pStyle w:val="Compact"/>
            </w:pPr>
            <w:r>
              <w:t>49</w:t>
            </w:r>
          </w:p>
        </w:tc>
        <w:tc>
          <w:tcPr>
            <w:tcW w:w="630" w:type="dxa"/>
          </w:tcPr>
          <w:p w14:paraId="225AE623" w14:textId="77777777" w:rsidR="001E6401" w:rsidRDefault="00000000">
            <w:pPr>
              <w:pStyle w:val="Compact"/>
            </w:pPr>
            <w:r>
              <w:t>239</w:t>
            </w:r>
          </w:p>
        </w:tc>
        <w:tc>
          <w:tcPr>
            <w:tcW w:w="720" w:type="dxa"/>
          </w:tcPr>
          <w:p w14:paraId="143B80A5" w14:textId="77777777" w:rsidR="001E6401" w:rsidRDefault="00000000">
            <w:pPr>
              <w:pStyle w:val="Compact"/>
            </w:pPr>
            <w:r>
              <w:t>–</w:t>
            </w:r>
          </w:p>
        </w:tc>
        <w:tc>
          <w:tcPr>
            <w:tcW w:w="1440" w:type="dxa"/>
          </w:tcPr>
          <w:p w14:paraId="49C2E8B2" w14:textId="77777777" w:rsidR="001E6401" w:rsidRDefault="00000000">
            <w:pPr>
              <w:pStyle w:val="Compact"/>
            </w:pPr>
            <w:r>
              <w:t>–</w:t>
            </w:r>
          </w:p>
        </w:tc>
        <w:tc>
          <w:tcPr>
            <w:tcW w:w="720" w:type="dxa"/>
          </w:tcPr>
          <w:p w14:paraId="5565DBB1" w14:textId="77777777" w:rsidR="001E6401" w:rsidRDefault="00000000">
            <w:pPr>
              <w:pStyle w:val="Compact"/>
            </w:pPr>
            <w:r>
              <w:t>5.92</w:t>
            </w:r>
          </w:p>
        </w:tc>
        <w:tc>
          <w:tcPr>
            <w:tcW w:w="964" w:type="dxa"/>
          </w:tcPr>
          <w:p w14:paraId="3FA9E5C6" w14:textId="77777777" w:rsidR="001E6401" w:rsidRDefault="00000000">
            <w:pPr>
              <w:pStyle w:val="Compact"/>
            </w:pPr>
            <w:r>
              <w:t>.021</w:t>
            </w:r>
          </w:p>
        </w:tc>
      </w:tr>
      <w:tr w:rsidR="001E6401" w14:paraId="4D4EA1D4" w14:textId="77777777" w:rsidTr="00C0698C">
        <w:tc>
          <w:tcPr>
            <w:tcW w:w="4608" w:type="dxa"/>
          </w:tcPr>
          <w:p w14:paraId="0F492FCF" w14:textId="77777777" w:rsidR="001E6401" w:rsidRDefault="00000000">
            <w:pPr>
              <w:pStyle w:val="Compact"/>
            </w:pPr>
            <w:r>
              <w:t>     online</w:t>
            </w:r>
          </w:p>
        </w:tc>
        <w:tc>
          <w:tcPr>
            <w:tcW w:w="540" w:type="dxa"/>
          </w:tcPr>
          <w:p w14:paraId="05BBDDF6" w14:textId="77777777" w:rsidR="001E6401" w:rsidRDefault="00000000">
            <w:pPr>
              <w:pStyle w:val="Compact"/>
            </w:pPr>
            <w:r>
              <w:t>18</w:t>
            </w:r>
          </w:p>
        </w:tc>
        <w:tc>
          <w:tcPr>
            <w:tcW w:w="630" w:type="dxa"/>
          </w:tcPr>
          <w:p w14:paraId="133EDDF8" w14:textId="77777777" w:rsidR="001E6401" w:rsidRDefault="00000000">
            <w:pPr>
              <w:pStyle w:val="Compact"/>
            </w:pPr>
            <w:r>
              <w:t>52</w:t>
            </w:r>
          </w:p>
        </w:tc>
        <w:tc>
          <w:tcPr>
            <w:tcW w:w="720" w:type="dxa"/>
          </w:tcPr>
          <w:p w14:paraId="6DD61E06" w14:textId="77777777" w:rsidR="001E6401" w:rsidRDefault="00000000">
            <w:pPr>
              <w:pStyle w:val="Compact"/>
            </w:pPr>
            <w:r>
              <w:t>0.1</w:t>
            </w:r>
          </w:p>
        </w:tc>
        <w:tc>
          <w:tcPr>
            <w:tcW w:w="1440" w:type="dxa"/>
          </w:tcPr>
          <w:p w14:paraId="4A4ACF74" w14:textId="77777777" w:rsidR="001E6401" w:rsidRDefault="00000000">
            <w:pPr>
              <w:pStyle w:val="Compact"/>
            </w:pPr>
            <w:r>
              <w:t>[0.01, 0.19]</w:t>
            </w:r>
          </w:p>
        </w:tc>
        <w:tc>
          <w:tcPr>
            <w:tcW w:w="720" w:type="dxa"/>
          </w:tcPr>
          <w:p w14:paraId="330577F9" w14:textId="77777777" w:rsidR="001E6401" w:rsidRDefault="00000000">
            <w:pPr>
              <w:pStyle w:val="Compact"/>
            </w:pPr>
            <w:r>
              <w:t>5.75</w:t>
            </w:r>
          </w:p>
        </w:tc>
        <w:tc>
          <w:tcPr>
            <w:tcW w:w="964" w:type="dxa"/>
          </w:tcPr>
          <w:p w14:paraId="73D85555" w14:textId="77777777" w:rsidR="001E6401" w:rsidRDefault="00000000">
            <w:pPr>
              <w:pStyle w:val="Compact"/>
            </w:pPr>
            <w:r>
              <w:t>.029</w:t>
            </w:r>
          </w:p>
        </w:tc>
      </w:tr>
      <w:tr w:rsidR="001E6401" w14:paraId="76004DD0" w14:textId="77777777" w:rsidTr="00C0698C">
        <w:tc>
          <w:tcPr>
            <w:tcW w:w="4608" w:type="dxa"/>
          </w:tcPr>
          <w:p w14:paraId="5CA316E8" w14:textId="77777777" w:rsidR="001E6401" w:rsidRDefault="00000000">
            <w:pPr>
              <w:pStyle w:val="Compact"/>
            </w:pPr>
            <w:r>
              <w:t>     in-person</w:t>
            </w:r>
          </w:p>
        </w:tc>
        <w:tc>
          <w:tcPr>
            <w:tcW w:w="540" w:type="dxa"/>
          </w:tcPr>
          <w:p w14:paraId="77B2BAC3" w14:textId="77777777" w:rsidR="001E6401" w:rsidRDefault="00000000">
            <w:pPr>
              <w:pStyle w:val="Compact"/>
            </w:pPr>
            <w:r>
              <w:t>32</w:t>
            </w:r>
          </w:p>
        </w:tc>
        <w:tc>
          <w:tcPr>
            <w:tcW w:w="630" w:type="dxa"/>
          </w:tcPr>
          <w:p w14:paraId="1EB3CE0B" w14:textId="77777777" w:rsidR="001E6401" w:rsidRDefault="00000000">
            <w:pPr>
              <w:pStyle w:val="Compact"/>
            </w:pPr>
            <w:r>
              <w:t>187</w:t>
            </w:r>
          </w:p>
        </w:tc>
        <w:tc>
          <w:tcPr>
            <w:tcW w:w="720" w:type="dxa"/>
          </w:tcPr>
          <w:p w14:paraId="72F43191" w14:textId="77777777" w:rsidR="001E6401" w:rsidRDefault="00000000">
            <w:pPr>
              <w:pStyle w:val="Compact"/>
            </w:pPr>
            <w:r>
              <w:t>0.31</w:t>
            </w:r>
          </w:p>
        </w:tc>
        <w:tc>
          <w:tcPr>
            <w:tcW w:w="1440" w:type="dxa"/>
          </w:tcPr>
          <w:p w14:paraId="1D1E8303" w14:textId="77777777" w:rsidR="001E6401" w:rsidRDefault="00000000">
            <w:pPr>
              <w:pStyle w:val="Compact"/>
            </w:pPr>
            <w:r>
              <w:t>[0.16, 0.46]</w:t>
            </w:r>
          </w:p>
        </w:tc>
        <w:tc>
          <w:tcPr>
            <w:tcW w:w="720" w:type="dxa"/>
          </w:tcPr>
          <w:p w14:paraId="3694BCD1" w14:textId="77777777" w:rsidR="001E6401" w:rsidRDefault="00000000">
            <w:pPr>
              <w:pStyle w:val="Compact"/>
            </w:pPr>
            <w:r>
              <w:t>18.03</w:t>
            </w:r>
          </w:p>
        </w:tc>
        <w:tc>
          <w:tcPr>
            <w:tcW w:w="964" w:type="dxa"/>
          </w:tcPr>
          <w:p w14:paraId="031C76A5" w14:textId="77777777" w:rsidR="001E6401" w:rsidRDefault="00000000">
            <w:pPr>
              <w:pStyle w:val="Compact"/>
            </w:pPr>
            <w:r>
              <w:t>&lt; .001</w:t>
            </w:r>
          </w:p>
        </w:tc>
      </w:tr>
      <w:tr w:rsidR="001E6401" w14:paraId="3EC633B7" w14:textId="77777777" w:rsidTr="00C0698C">
        <w:tc>
          <w:tcPr>
            <w:tcW w:w="4608" w:type="dxa"/>
          </w:tcPr>
          <w:p w14:paraId="04B61569" w14:textId="77777777" w:rsidR="001E6401" w:rsidRPr="00C0698C" w:rsidRDefault="00000000">
            <w:pPr>
              <w:pStyle w:val="Compact"/>
              <w:rPr>
                <w:b/>
                <w:bCs/>
              </w:rPr>
            </w:pPr>
            <w:r w:rsidRPr="00C0698C">
              <w:rPr>
                <w:b/>
                <w:bCs/>
              </w:rPr>
              <w:t>Payment</w:t>
            </w:r>
          </w:p>
        </w:tc>
        <w:tc>
          <w:tcPr>
            <w:tcW w:w="540" w:type="dxa"/>
          </w:tcPr>
          <w:p w14:paraId="58601650" w14:textId="77777777" w:rsidR="001E6401" w:rsidRDefault="00000000">
            <w:pPr>
              <w:pStyle w:val="Compact"/>
            </w:pPr>
            <w:r>
              <w:t>48</w:t>
            </w:r>
          </w:p>
        </w:tc>
        <w:tc>
          <w:tcPr>
            <w:tcW w:w="630" w:type="dxa"/>
          </w:tcPr>
          <w:p w14:paraId="7944EB9A" w14:textId="77777777" w:rsidR="001E6401" w:rsidRDefault="00000000">
            <w:pPr>
              <w:pStyle w:val="Compact"/>
            </w:pPr>
            <w:r>
              <w:t>212</w:t>
            </w:r>
          </w:p>
        </w:tc>
        <w:tc>
          <w:tcPr>
            <w:tcW w:w="720" w:type="dxa"/>
          </w:tcPr>
          <w:p w14:paraId="640F6C67" w14:textId="77777777" w:rsidR="001E6401" w:rsidRDefault="00000000">
            <w:pPr>
              <w:pStyle w:val="Compact"/>
            </w:pPr>
            <w:r>
              <w:t>–</w:t>
            </w:r>
          </w:p>
        </w:tc>
        <w:tc>
          <w:tcPr>
            <w:tcW w:w="1440" w:type="dxa"/>
          </w:tcPr>
          <w:p w14:paraId="3EBE9631" w14:textId="77777777" w:rsidR="001E6401" w:rsidRDefault="00000000">
            <w:pPr>
              <w:pStyle w:val="Compact"/>
            </w:pPr>
            <w:r>
              <w:t>–</w:t>
            </w:r>
          </w:p>
        </w:tc>
        <w:tc>
          <w:tcPr>
            <w:tcW w:w="720" w:type="dxa"/>
          </w:tcPr>
          <w:p w14:paraId="3094A96C" w14:textId="77777777" w:rsidR="001E6401" w:rsidRDefault="00000000">
            <w:pPr>
              <w:pStyle w:val="Compact"/>
            </w:pPr>
            <w:r>
              <w:t>0.84</w:t>
            </w:r>
          </w:p>
        </w:tc>
        <w:tc>
          <w:tcPr>
            <w:tcW w:w="964" w:type="dxa"/>
          </w:tcPr>
          <w:p w14:paraId="523462FC" w14:textId="77777777" w:rsidR="001E6401" w:rsidRDefault="00000000">
            <w:pPr>
              <w:pStyle w:val="Compact"/>
            </w:pPr>
            <w:r>
              <w:t>.371</w:t>
            </w:r>
          </w:p>
        </w:tc>
      </w:tr>
      <w:tr w:rsidR="001E6401" w14:paraId="3C1225AB" w14:textId="77777777" w:rsidTr="00C0698C">
        <w:tc>
          <w:tcPr>
            <w:tcW w:w="4608" w:type="dxa"/>
          </w:tcPr>
          <w:p w14:paraId="54BAC8F9" w14:textId="77777777" w:rsidR="001E6401" w:rsidRDefault="00000000">
            <w:pPr>
              <w:pStyle w:val="Compact"/>
            </w:pPr>
            <w:r>
              <w:t>     yes</w:t>
            </w:r>
          </w:p>
        </w:tc>
        <w:tc>
          <w:tcPr>
            <w:tcW w:w="540" w:type="dxa"/>
          </w:tcPr>
          <w:p w14:paraId="1CBCDBF7" w14:textId="77777777" w:rsidR="001E6401" w:rsidRDefault="00000000">
            <w:pPr>
              <w:pStyle w:val="Compact"/>
            </w:pPr>
            <w:r>
              <w:t>13</w:t>
            </w:r>
          </w:p>
        </w:tc>
        <w:tc>
          <w:tcPr>
            <w:tcW w:w="630" w:type="dxa"/>
          </w:tcPr>
          <w:p w14:paraId="144F4E9A" w14:textId="77777777" w:rsidR="001E6401" w:rsidRDefault="00000000">
            <w:pPr>
              <w:pStyle w:val="Compact"/>
            </w:pPr>
            <w:r>
              <w:t>50</w:t>
            </w:r>
          </w:p>
        </w:tc>
        <w:tc>
          <w:tcPr>
            <w:tcW w:w="720" w:type="dxa"/>
          </w:tcPr>
          <w:p w14:paraId="41872271" w14:textId="77777777" w:rsidR="001E6401" w:rsidRDefault="00000000">
            <w:pPr>
              <w:pStyle w:val="Compact"/>
            </w:pPr>
            <w:r>
              <w:t>0.13</w:t>
            </w:r>
          </w:p>
        </w:tc>
        <w:tc>
          <w:tcPr>
            <w:tcW w:w="1440" w:type="dxa"/>
          </w:tcPr>
          <w:p w14:paraId="7841213D" w14:textId="77777777" w:rsidR="001E6401" w:rsidRDefault="00000000">
            <w:pPr>
              <w:pStyle w:val="Compact"/>
            </w:pPr>
            <w:r>
              <w:t>[0, 0.26]</w:t>
            </w:r>
          </w:p>
        </w:tc>
        <w:tc>
          <w:tcPr>
            <w:tcW w:w="720" w:type="dxa"/>
          </w:tcPr>
          <w:p w14:paraId="75A51958" w14:textId="77777777" w:rsidR="001E6401" w:rsidRDefault="00000000">
            <w:pPr>
              <w:pStyle w:val="Compact"/>
            </w:pPr>
            <w:r>
              <w:t>4.91</w:t>
            </w:r>
          </w:p>
        </w:tc>
        <w:tc>
          <w:tcPr>
            <w:tcW w:w="964" w:type="dxa"/>
          </w:tcPr>
          <w:p w14:paraId="59CA2C4B" w14:textId="77777777" w:rsidR="001E6401" w:rsidRDefault="00000000">
            <w:pPr>
              <w:pStyle w:val="Compact"/>
            </w:pPr>
            <w:r>
              <w:t>.048</w:t>
            </w:r>
          </w:p>
        </w:tc>
      </w:tr>
      <w:tr w:rsidR="001E6401" w14:paraId="5C2AD2FE" w14:textId="77777777" w:rsidTr="00C0698C">
        <w:tc>
          <w:tcPr>
            <w:tcW w:w="4608" w:type="dxa"/>
          </w:tcPr>
          <w:p w14:paraId="1F3BE498" w14:textId="77777777" w:rsidR="001E6401" w:rsidRDefault="00000000">
            <w:pPr>
              <w:pStyle w:val="Compact"/>
            </w:pPr>
            <w:r>
              <w:t>     no</w:t>
            </w:r>
          </w:p>
        </w:tc>
        <w:tc>
          <w:tcPr>
            <w:tcW w:w="540" w:type="dxa"/>
          </w:tcPr>
          <w:p w14:paraId="57BD5C08" w14:textId="77777777" w:rsidR="001E6401" w:rsidRDefault="00000000">
            <w:pPr>
              <w:pStyle w:val="Compact"/>
            </w:pPr>
            <w:r>
              <w:t>36</w:t>
            </w:r>
          </w:p>
        </w:tc>
        <w:tc>
          <w:tcPr>
            <w:tcW w:w="630" w:type="dxa"/>
          </w:tcPr>
          <w:p w14:paraId="16807D52" w14:textId="77777777" w:rsidR="001E6401" w:rsidRDefault="00000000">
            <w:pPr>
              <w:pStyle w:val="Compact"/>
            </w:pPr>
            <w:r>
              <w:t>162</w:t>
            </w:r>
          </w:p>
        </w:tc>
        <w:tc>
          <w:tcPr>
            <w:tcW w:w="720" w:type="dxa"/>
          </w:tcPr>
          <w:p w14:paraId="5A54612B" w14:textId="77777777" w:rsidR="001E6401" w:rsidRDefault="00000000">
            <w:pPr>
              <w:pStyle w:val="Compact"/>
            </w:pPr>
            <w:r>
              <w:t>0.21</w:t>
            </w:r>
          </w:p>
        </w:tc>
        <w:tc>
          <w:tcPr>
            <w:tcW w:w="1440" w:type="dxa"/>
          </w:tcPr>
          <w:p w14:paraId="7220992B" w14:textId="77777777" w:rsidR="001E6401" w:rsidRDefault="00000000">
            <w:pPr>
              <w:pStyle w:val="Compact"/>
            </w:pPr>
            <w:r>
              <w:t>[0.09, 0.32]</w:t>
            </w:r>
          </w:p>
        </w:tc>
        <w:tc>
          <w:tcPr>
            <w:tcW w:w="720" w:type="dxa"/>
          </w:tcPr>
          <w:p w14:paraId="67A0EBB3" w14:textId="77777777" w:rsidR="001E6401" w:rsidRDefault="00000000">
            <w:pPr>
              <w:pStyle w:val="Compact"/>
            </w:pPr>
            <w:r>
              <w:t>13.75</w:t>
            </w:r>
          </w:p>
        </w:tc>
        <w:tc>
          <w:tcPr>
            <w:tcW w:w="964" w:type="dxa"/>
          </w:tcPr>
          <w:p w14:paraId="237F0D38" w14:textId="77777777" w:rsidR="001E6401" w:rsidRDefault="00000000">
            <w:pPr>
              <w:pStyle w:val="Compact"/>
            </w:pPr>
            <w:r>
              <w:t>&lt; .001</w:t>
            </w:r>
          </w:p>
        </w:tc>
      </w:tr>
      <w:tr w:rsidR="001E6401" w14:paraId="4EB150A2" w14:textId="77777777" w:rsidTr="00C0698C">
        <w:tc>
          <w:tcPr>
            <w:tcW w:w="4608" w:type="dxa"/>
          </w:tcPr>
          <w:p w14:paraId="71ED3635" w14:textId="77777777" w:rsidR="001E6401" w:rsidRPr="00C0698C" w:rsidRDefault="00000000">
            <w:pPr>
              <w:pStyle w:val="Compact"/>
              <w:rPr>
                <w:b/>
                <w:bCs/>
              </w:rPr>
            </w:pPr>
            <w:r w:rsidRPr="00C0698C">
              <w:rPr>
                <w:b/>
                <w:bCs/>
              </w:rPr>
              <w:t>Publication status</w:t>
            </w:r>
          </w:p>
        </w:tc>
        <w:tc>
          <w:tcPr>
            <w:tcW w:w="540" w:type="dxa"/>
          </w:tcPr>
          <w:p w14:paraId="34458A96" w14:textId="77777777" w:rsidR="001E6401" w:rsidRDefault="00000000">
            <w:pPr>
              <w:pStyle w:val="Compact"/>
            </w:pPr>
            <w:r>
              <w:t>52</w:t>
            </w:r>
          </w:p>
        </w:tc>
        <w:tc>
          <w:tcPr>
            <w:tcW w:w="630" w:type="dxa"/>
          </w:tcPr>
          <w:p w14:paraId="6AE27594" w14:textId="77777777" w:rsidR="001E6401" w:rsidRDefault="00000000">
            <w:pPr>
              <w:pStyle w:val="Compact"/>
            </w:pPr>
            <w:r>
              <w:t>252</w:t>
            </w:r>
          </w:p>
        </w:tc>
        <w:tc>
          <w:tcPr>
            <w:tcW w:w="720" w:type="dxa"/>
          </w:tcPr>
          <w:p w14:paraId="0CC5ADD9" w14:textId="77777777" w:rsidR="001E6401" w:rsidRDefault="00000000">
            <w:pPr>
              <w:pStyle w:val="Compact"/>
            </w:pPr>
            <w:r>
              <w:t>–</w:t>
            </w:r>
          </w:p>
        </w:tc>
        <w:tc>
          <w:tcPr>
            <w:tcW w:w="1440" w:type="dxa"/>
          </w:tcPr>
          <w:p w14:paraId="16AB13B5" w14:textId="77777777" w:rsidR="001E6401" w:rsidRDefault="00000000">
            <w:pPr>
              <w:pStyle w:val="Compact"/>
            </w:pPr>
            <w:r>
              <w:t>–</w:t>
            </w:r>
          </w:p>
        </w:tc>
        <w:tc>
          <w:tcPr>
            <w:tcW w:w="720" w:type="dxa"/>
          </w:tcPr>
          <w:p w14:paraId="3C1FD13C" w14:textId="77777777" w:rsidR="001E6401" w:rsidRDefault="00000000">
            <w:pPr>
              <w:pStyle w:val="Compact"/>
            </w:pPr>
            <w:r>
              <w:t>0.11</w:t>
            </w:r>
          </w:p>
        </w:tc>
        <w:tc>
          <w:tcPr>
            <w:tcW w:w="964" w:type="dxa"/>
          </w:tcPr>
          <w:p w14:paraId="2BAAB367" w14:textId="77777777" w:rsidR="001E6401" w:rsidRDefault="00000000">
            <w:pPr>
              <w:pStyle w:val="Compact"/>
            </w:pPr>
            <w:r>
              <w:t>.748</w:t>
            </w:r>
          </w:p>
        </w:tc>
      </w:tr>
      <w:tr w:rsidR="001E6401" w14:paraId="66086AEB" w14:textId="77777777" w:rsidTr="00C0698C">
        <w:tc>
          <w:tcPr>
            <w:tcW w:w="4608" w:type="dxa"/>
          </w:tcPr>
          <w:p w14:paraId="036F2501" w14:textId="77777777" w:rsidR="001E6401" w:rsidRDefault="00000000">
            <w:pPr>
              <w:pStyle w:val="Compact"/>
            </w:pPr>
            <w:r>
              <w:t>     published</w:t>
            </w:r>
          </w:p>
        </w:tc>
        <w:tc>
          <w:tcPr>
            <w:tcW w:w="540" w:type="dxa"/>
          </w:tcPr>
          <w:p w14:paraId="59EB5C25" w14:textId="77777777" w:rsidR="001E6401" w:rsidRDefault="00000000">
            <w:pPr>
              <w:pStyle w:val="Compact"/>
            </w:pPr>
            <w:r>
              <w:t>41</w:t>
            </w:r>
          </w:p>
        </w:tc>
        <w:tc>
          <w:tcPr>
            <w:tcW w:w="630" w:type="dxa"/>
          </w:tcPr>
          <w:p w14:paraId="353AEDE7" w14:textId="77777777" w:rsidR="001E6401" w:rsidRDefault="00000000">
            <w:pPr>
              <w:pStyle w:val="Compact"/>
            </w:pPr>
            <w:r>
              <w:t>239</w:t>
            </w:r>
          </w:p>
        </w:tc>
        <w:tc>
          <w:tcPr>
            <w:tcW w:w="720" w:type="dxa"/>
          </w:tcPr>
          <w:p w14:paraId="30C5976D" w14:textId="77777777" w:rsidR="001E6401" w:rsidRDefault="00000000">
            <w:pPr>
              <w:pStyle w:val="Compact"/>
            </w:pPr>
            <w:r>
              <w:t>0.22</w:t>
            </w:r>
          </w:p>
        </w:tc>
        <w:tc>
          <w:tcPr>
            <w:tcW w:w="1440" w:type="dxa"/>
          </w:tcPr>
          <w:p w14:paraId="274F08A4" w14:textId="77777777" w:rsidR="001E6401" w:rsidRDefault="00000000">
            <w:pPr>
              <w:pStyle w:val="Compact"/>
            </w:pPr>
            <w:r>
              <w:t>[0.13, 0.32]</w:t>
            </w:r>
          </w:p>
        </w:tc>
        <w:tc>
          <w:tcPr>
            <w:tcW w:w="720" w:type="dxa"/>
          </w:tcPr>
          <w:p w14:paraId="1E0B3F77" w14:textId="77777777" w:rsidR="001E6401" w:rsidRDefault="00000000">
            <w:pPr>
              <w:pStyle w:val="Compact"/>
            </w:pPr>
            <w:r>
              <w:t>21.9</w:t>
            </w:r>
          </w:p>
        </w:tc>
        <w:tc>
          <w:tcPr>
            <w:tcW w:w="964" w:type="dxa"/>
          </w:tcPr>
          <w:p w14:paraId="308E8170" w14:textId="77777777" w:rsidR="001E6401" w:rsidRDefault="00000000">
            <w:pPr>
              <w:pStyle w:val="Compact"/>
            </w:pPr>
            <w:r>
              <w:t>&lt; .001</w:t>
            </w:r>
          </w:p>
        </w:tc>
      </w:tr>
      <w:tr w:rsidR="001E6401" w14:paraId="482105EC" w14:textId="77777777" w:rsidTr="00C0698C">
        <w:tc>
          <w:tcPr>
            <w:tcW w:w="4608" w:type="dxa"/>
          </w:tcPr>
          <w:p w14:paraId="6BFAB347" w14:textId="77777777" w:rsidR="001E6401" w:rsidRDefault="00000000">
            <w:pPr>
              <w:pStyle w:val="Compact"/>
            </w:pPr>
            <w:r>
              <w:t>     unpublished</w:t>
            </w:r>
          </w:p>
        </w:tc>
        <w:tc>
          <w:tcPr>
            <w:tcW w:w="540" w:type="dxa"/>
          </w:tcPr>
          <w:p w14:paraId="0BBC98F1" w14:textId="77777777" w:rsidR="001E6401" w:rsidRDefault="00000000">
            <w:pPr>
              <w:pStyle w:val="Compact"/>
            </w:pPr>
            <w:r>
              <w:t>11</w:t>
            </w:r>
          </w:p>
        </w:tc>
        <w:tc>
          <w:tcPr>
            <w:tcW w:w="630" w:type="dxa"/>
          </w:tcPr>
          <w:p w14:paraId="5D44097A" w14:textId="77777777" w:rsidR="001E6401" w:rsidRDefault="00000000">
            <w:pPr>
              <w:pStyle w:val="Compact"/>
            </w:pPr>
            <w:r>
              <w:t>13</w:t>
            </w:r>
          </w:p>
        </w:tc>
        <w:tc>
          <w:tcPr>
            <w:tcW w:w="720" w:type="dxa"/>
          </w:tcPr>
          <w:p w14:paraId="162C6271" w14:textId="77777777" w:rsidR="001E6401" w:rsidRDefault="00000000">
            <w:pPr>
              <w:pStyle w:val="Compact"/>
            </w:pPr>
            <w:r>
              <w:t>0.17</w:t>
            </w:r>
          </w:p>
        </w:tc>
        <w:tc>
          <w:tcPr>
            <w:tcW w:w="1440" w:type="dxa"/>
          </w:tcPr>
          <w:p w14:paraId="3FC949B7" w14:textId="77777777" w:rsidR="001E6401" w:rsidRDefault="00000000">
            <w:pPr>
              <w:pStyle w:val="Compact"/>
            </w:pPr>
            <w:r>
              <w:t>[-0.17, 0.51]</w:t>
            </w:r>
          </w:p>
        </w:tc>
        <w:tc>
          <w:tcPr>
            <w:tcW w:w="720" w:type="dxa"/>
          </w:tcPr>
          <w:p w14:paraId="281DC1F5" w14:textId="77777777" w:rsidR="001E6401" w:rsidRDefault="00000000">
            <w:pPr>
              <w:pStyle w:val="Compact"/>
            </w:pPr>
            <w:r>
              <w:t>1.27</w:t>
            </w:r>
          </w:p>
        </w:tc>
        <w:tc>
          <w:tcPr>
            <w:tcW w:w="964" w:type="dxa"/>
          </w:tcPr>
          <w:p w14:paraId="18A68AA1" w14:textId="77777777" w:rsidR="001E6401" w:rsidRDefault="00000000">
            <w:pPr>
              <w:pStyle w:val="Compact"/>
            </w:pPr>
            <w:r>
              <w:t>.287</w:t>
            </w:r>
          </w:p>
        </w:tc>
      </w:tr>
    </w:tbl>
    <w:p w14:paraId="35ED1ADB" w14:textId="77777777"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Pr="00BA47C3">
        <w:rPr>
          <w:i/>
          <w:iCs/>
        </w:rPr>
        <w:t>g</w:t>
      </w:r>
      <w:r>
        <w:t xml:space="preserve"> = Hedge’s </w:t>
      </w:r>
      <w:r w:rsidRPr="00BA47C3">
        <w:rPr>
          <w:i/>
          <w:iCs/>
        </w:rPr>
        <w:t>g</w:t>
      </w:r>
      <w:r>
        <w:t xml:space="preserve">; 95% CI corresponds to the estimated value of Hedge’s </w:t>
      </w:r>
      <w:r w:rsidRPr="00BA47C3">
        <w:rPr>
          <w:i/>
          <w:iCs/>
        </w:rPr>
        <w:t>g</w:t>
      </w:r>
      <w:r>
        <w:t xml:space="preserve">; </w:t>
      </w:r>
      <w:r w:rsidRPr="00BA47C3">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642C2184" w14:textId="14E397DC" w:rsidR="00BA47C3" w:rsidRDefault="00000000">
      <w:pPr>
        <w:pStyle w:val="BodyText"/>
      </w:pPr>
      <w:r>
        <w:t> </w:t>
      </w:r>
      <w:r w:rsidR="00BA47C3">
        <w:br/>
      </w:r>
    </w:p>
    <w:p w14:paraId="7A458366" w14:textId="77777777" w:rsidR="00BA47C3" w:rsidRDefault="00BA47C3">
      <w:pPr>
        <w:spacing w:before="0" w:after="200" w:line="240" w:lineRule="auto"/>
      </w:pPr>
      <w:r>
        <w:br w:type="page"/>
      </w:r>
    </w:p>
    <w:p w14:paraId="0C0EBC9E" w14:textId="77777777" w:rsidR="001E6401" w:rsidRDefault="00000000">
      <w:pPr>
        <w:pStyle w:val="Heading5"/>
        <w:framePr w:wrap="around"/>
      </w:pPr>
      <w:bookmarkStart w:id="64" w:name="residual-variability"/>
      <w:r>
        <w:lastRenderedPageBreak/>
        <w:t>Residual variability.</w:t>
      </w:r>
    </w:p>
    <w:p w14:paraId="2C66AFF3" w14:textId="77777777" w:rsidR="001E6401" w:rsidRDefault="00000000">
      <w:pPr>
        <w:pStyle w:val="FirstParagraph"/>
      </w:pPr>
      <w:r>
        <w:t>To evaluate how much in-sample variability in demand effects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the significant moderators accounted for approximately 15.52% of in-sample variability in demand effects.</w:t>
      </w:r>
    </w:p>
    <w:p w14:paraId="7A78B9BE" w14:textId="30FB31E3" w:rsidR="001E6401" w:rsidRDefault="00000000">
      <w:pPr>
        <w:pStyle w:val="Heading4"/>
        <w:framePr w:wrap="around"/>
      </w:pPr>
      <w:bookmarkStart w:id="65" w:name="X644b31017b5320026d77df6b129e2f86e0cabcc"/>
      <w:bookmarkEnd w:id="36"/>
      <w:bookmarkEnd w:id="64"/>
      <w:r>
        <w:t>Can participants help us understand demand effects?</w:t>
      </w:r>
    </w:p>
    <w:p w14:paraId="047A9E45" w14:textId="77777777" w:rsidR="001E6401" w:rsidRDefault="00000000">
      <w:pPr>
        <w:pStyle w:val="FirstParagraph"/>
      </w:pPr>
      <w:r>
        <w:t>Participants correctly identified the described hypothesis 83% of the time Participants did not generally report having strong beliefs about whether such hypothesized effects would occur (</w:t>
      </w:r>
      <w:r>
        <w:rPr>
          <w:i/>
          <w:iCs/>
        </w:rPr>
        <w:t>M</w:t>
      </w:r>
      <w:r>
        <w:t xml:space="preserve"> = 0.50, </w:t>
      </w:r>
      <w:r>
        <w:rPr>
          <w:i/>
          <w:iCs/>
        </w:rPr>
        <w:t>SD</w:t>
      </w:r>
      <w:r>
        <w:t xml:space="preserve"> = 0.72). Participants reported that they would be highly capable of adjusting their responses (</w:t>
      </w:r>
      <w:r>
        <w:rPr>
          <w:i/>
          <w:iCs/>
        </w:rPr>
        <w:t>M</w:t>
      </w:r>
      <w:r>
        <w:t xml:space="preserve"> = 2.24, </w:t>
      </w:r>
      <w:r>
        <w:rPr>
          <w:i/>
          <w:iCs/>
        </w:rPr>
        <w:t>SD</w:t>
      </w:r>
      <w:r>
        <w:t xml:space="preserve"> = 0.44), but not very motivated to do so (</w:t>
      </w:r>
      <w:r>
        <w:rPr>
          <w:i/>
          <w:iCs/>
        </w:rPr>
        <w:t>M</w:t>
      </w:r>
      <w:r>
        <w:t xml:space="preserve"> = 0.33, </w:t>
      </w:r>
      <w:r>
        <w:rPr>
          <w:i/>
          <w:iCs/>
        </w:rPr>
        <w:t>SD</w:t>
      </w:r>
      <w:r>
        <w:t xml:space="preserve"> = 0.37). Participants also predicted that other subjects would be generally unlikely to adjust their responses to fit the experimenter’s hypothesis (</w:t>
      </w:r>
      <w:r>
        <w:rPr>
          <w:i/>
          <w:iCs/>
        </w:rPr>
        <w:t>M</w:t>
      </w:r>
      <w:r>
        <w:t xml:space="preserve"> = 0.74, </w:t>
      </w:r>
      <w:r>
        <w:rPr>
          <w:i/>
          <w:iCs/>
        </w:rPr>
        <w:t>SD</w:t>
      </w:r>
      <w:r>
        <w:t xml:space="preserve"> = 0.41).</w:t>
      </w:r>
    </w:p>
    <w:p w14:paraId="6F167449" w14:textId="77777777" w:rsidR="001E6401" w:rsidRDefault="00000000">
      <w:pPr>
        <w:pStyle w:val="BodyText"/>
      </w:pPr>
      <w:r>
        <w:t xml:space="preserve">The above results suggest that participants generally report being receptive to demand characteristics, agnostic about hypothesized effects, capable of adjusting their responses, but not motivated to do so. That being said, we remind the reader that these ratings exhibited low reliability (motivation ICC = 0.23; opportunity to adjust responses ICC = 0.23; belief ICC = 0.16). This may be indicative of strong individual differences, but we also later describe the possibility of measurement difficulties (see </w:t>
      </w:r>
      <w:r>
        <w:rPr>
          <w:i/>
          <w:iCs/>
        </w:rPr>
        <w:t>Limitations</w:t>
      </w:r>
      <w:r>
        <w:t>).</w:t>
      </w:r>
    </w:p>
    <w:p w14:paraId="4B780FB4" w14:textId="77777777" w:rsidR="001E6401" w:rsidRDefault="00000000">
      <w:pPr>
        <w:pStyle w:val="BodyText"/>
      </w:pPr>
      <w:r>
        <w:t xml:space="preserve">As shown in Table 2, we did not uncover a significant association between observed demand effects and (a) the extent to which participants correctly identified the hypothesis </w:t>
      </w:r>
      <w:r>
        <w:lastRenderedPageBreak/>
        <w:t>described in the vignettes, (</w:t>
      </w:r>
      <m:oMath>
        <m:r>
          <w:rPr>
            <w:rFonts w:ascii="Cambria Math" w:hAnsi="Cambria Math"/>
          </w:rPr>
          <m:t>β</m:t>
        </m:r>
      </m:oMath>
      <w:r>
        <w:t xml:space="preserve"> = 0.14, 95% CI [-0.02, 0.31], </w:t>
      </w:r>
      <m:oMath>
        <m:r>
          <w:rPr>
            <w:rFonts w:ascii="Cambria Math" w:hAnsi="Cambria Math"/>
          </w:rPr>
          <m:t>t</m:t>
        </m:r>
      </m:oMath>
      <w:r>
        <w:t xml:space="preserve">(8.23) = 1.99, </w:t>
      </w:r>
      <m:oMath>
        <m:r>
          <w:rPr>
            <w:rFonts w:ascii="Cambria Math" w:hAnsi="Cambria Math"/>
          </w:rPr>
          <m:t>p</m:t>
        </m:r>
      </m:oMath>
      <w:r>
        <w:t xml:space="preserve"> = .081), (b) ratings of motivation to adjust responses (</w:t>
      </w:r>
      <m:oMath>
        <m:r>
          <w:rPr>
            <w:rFonts w:ascii="Cambria Math" w:hAnsi="Cambria Math"/>
          </w:rPr>
          <m:t>β</m:t>
        </m:r>
      </m:oMath>
      <w:r>
        <w:t xml:space="preserve"> = 0.01, 95% CI [-0.21, 0.22], </w:t>
      </w:r>
      <m:oMath>
        <m:r>
          <w:rPr>
            <w:rFonts w:ascii="Cambria Math" w:hAnsi="Cambria Math"/>
          </w:rPr>
          <m:t>t</m:t>
        </m:r>
      </m:oMath>
      <w:r>
        <w:t xml:space="preserve">(11.18) = 0.09, </w:t>
      </w:r>
      <m:oMath>
        <m:r>
          <w:rPr>
            <w:rFonts w:ascii="Cambria Math" w:hAnsi="Cambria Math"/>
          </w:rPr>
          <m:t>p</m:t>
        </m:r>
      </m:oMath>
      <w:r>
        <w:t xml:space="preserve"> = .932), (c) ratings of opportunity to adjust responses (</w:t>
      </w:r>
      <m:oMath>
        <m:r>
          <w:rPr>
            <w:rFonts w:ascii="Cambria Math" w:hAnsi="Cambria Math"/>
          </w:rPr>
          <m:t>β</m:t>
        </m:r>
      </m:oMath>
      <w:r>
        <w:t xml:space="preserve"> = 0.04, 95% CI [-0.02, 0.10], </w:t>
      </w:r>
      <m:oMath>
        <m:r>
          <w:rPr>
            <w:rFonts w:ascii="Cambria Math" w:hAnsi="Cambria Math"/>
          </w:rPr>
          <m:t>t</m:t>
        </m:r>
      </m:oMath>
      <w:r>
        <w:t xml:space="preserve">(8.66) = 1.56, </w:t>
      </w:r>
      <m:oMath>
        <m:r>
          <w:rPr>
            <w:rFonts w:ascii="Cambria Math" w:hAnsi="Cambria Math"/>
          </w:rPr>
          <m:t>p</m:t>
        </m:r>
      </m:oMath>
      <w:r>
        <w:t xml:space="preserve"> = .155), and (d) rated belief in the hypothesized effect (</w:t>
      </w:r>
      <m:oMath>
        <m:r>
          <w:rPr>
            <w:rFonts w:ascii="Cambria Math" w:hAnsi="Cambria Math"/>
          </w:rPr>
          <m:t>β</m:t>
        </m:r>
      </m:oMath>
      <w:r>
        <w:t xml:space="preserve"> = 0.06, 95% CI [-0.05, 0.18], </w:t>
      </w:r>
      <m:oMath>
        <m:r>
          <w:rPr>
            <w:rFonts w:ascii="Cambria Math" w:hAnsi="Cambria Math"/>
          </w:rPr>
          <m:t>t</m:t>
        </m:r>
      </m:oMath>
      <w:r>
        <w:t xml:space="preserve">(11.11) = 1.21, </w:t>
      </w:r>
      <m:oMath>
        <m:r>
          <w:rPr>
            <w:rFonts w:ascii="Cambria Math" w:hAnsi="Cambria Math"/>
          </w:rPr>
          <m:t>p</m:t>
        </m:r>
      </m:oMath>
      <w:r>
        <w:t xml:space="preserve"> = .252). Of course, Rosnow and colleagues posited that receptivity, motivation, and opportunity </w:t>
      </w:r>
      <w:r>
        <w:rPr>
          <w:i/>
          <w:iCs/>
        </w:rPr>
        <w:t>interact</w:t>
      </w:r>
      <w:r>
        <w:t xml:space="preserve"> to shape demand effects. However, when we explored this question, we did not find robust evidence that including all possible higher order interactions significantly improved model fit, </w:t>
      </w:r>
      <w:r>
        <w:rPr>
          <w:i/>
          <w:iCs/>
        </w:rPr>
        <w:t>F</w:t>
      </w:r>
      <w:r>
        <w:t xml:space="preserve">(7, 2.43) = 1.36, </w:t>
      </w:r>
      <w:r>
        <w:rPr>
          <w:i/>
          <w:iCs/>
        </w:rPr>
        <w:t>p</w:t>
      </w:r>
      <w:r>
        <w:t xml:space="preserve"> = .463.</w:t>
      </w:r>
    </w:p>
    <w:p w14:paraId="57FF378B" w14:textId="77777777" w:rsidR="001E6401" w:rsidRDefault="00000000">
      <w:pPr>
        <w:pStyle w:val="BodyText"/>
      </w:pPr>
      <w:r>
        <w:t xml:space="preserve">Even after averaging across a large number of noisy forecasts (ICC = 0.22, </w:t>
      </w:r>
      <w:r>
        <w:rPr>
          <w:i/>
          <w:iCs/>
        </w:rPr>
        <w:t>M</w:t>
      </w:r>
      <w:r>
        <w:t xml:space="preserve"> = 0.74, </w:t>
      </w:r>
      <w:r>
        <w:rPr>
          <w:i/>
          <w:iCs/>
        </w:rPr>
        <w:t>SD</w:t>
      </w:r>
      <w:r>
        <w:t xml:space="preserve"> = 0.41), we also failed to find that participants were able to predict the magnitude of demand effects, </w:t>
      </w:r>
      <m:oMath>
        <m:r>
          <w:rPr>
            <w:rFonts w:ascii="Cambria Math" w:hAnsi="Cambria Math"/>
          </w:rPr>
          <m:t>β</m:t>
        </m:r>
      </m:oMath>
      <w:r>
        <w:t xml:space="preserve"> = 0.07, 95% CI [-0.06, 0.21], </w:t>
      </w:r>
      <m:oMath>
        <m:r>
          <w:rPr>
            <w:rFonts w:ascii="Cambria Math" w:hAnsi="Cambria Math"/>
          </w:rPr>
          <m:t>t</m:t>
        </m:r>
      </m:oMath>
      <w:r>
        <w:t xml:space="preserve">(12.66) = 1.14, </w:t>
      </w:r>
      <m:oMath>
        <m:r>
          <w:rPr>
            <w:rFonts w:ascii="Cambria Math" w:hAnsi="Cambria Math"/>
          </w:rPr>
          <m:t>p</m:t>
        </m:r>
      </m:oMath>
      <w:r>
        <w:t xml:space="preserve"> = .274.</w:t>
      </w:r>
    </w:p>
    <w:p w14:paraId="7502B073" w14:textId="0D8B2731" w:rsidR="001E6401" w:rsidRPr="00BA47C3" w:rsidRDefault="00000000">
      <w:pPr>
        <w:pStyle w:val="TableCaption"/>
      </w:pPr>
      <w:bookmarkStart w:id="66" w:name="tab:unnamed-chunk-1"/>
      <w:bookmarkEnd w:id="66"/>
      <w:r w:rsidRPr="00BA47C3">
        <w:t xml:space="preserve">Table </w:t>
      </w:r>
      <w:r w:rsidR="00BA47C3" w:rsidRPr="00BA47C3">
        <w:t xml:space="preserve">2. </w:t>
      </w:r>
      <w:r w:rsidRPr="00BA47C3">
        <w:t>Participant rating moderator analyses</w:t>
      </w:r>
    </w:p>
    <w:tbl>
      <w:tblPr>
        <w:tblStyle w:val="Table"/>
        <w:tblW w:w="0" w:type="auto"/>
        <w:jc w:val="left"/>
        <w:tblLook w:val="0020" w:firstRow="1" w:lastRow="0" w:firstColumn="0" w:lastColumn="0" w:noHBand="0" w:noVBand="0"/>
      </w:tblPr>
      <w:tblGrid>
        <w:gridCol w:w="3569"/>
        <w:gridCol w:w="456"/>
        <w:gridCol w:w="576"/>
        <w:gridCol w:w="636"/>
        <w:gridCol w:w="1416"/>
        <w:gridCol w:w="636"/>
        <w:gridCol w:w="636"/>
      </w:tblGrid>
      <w:tr w:rsidR="001E6401" w14:paraId="04EE20BE" w14:textId="77777777" w:rsidTr="00BA47C3">
        <w:trPr>
          <w:cnfStyle w:val="100000000000" w:firstRow="1" w:lastRow="0" w:firstColumn="0" w:lastColumn="0" w:oddVBand="0" w:evenVBand="0" w:oddHBand="0" w:evenHBand="0" w:firstRowFirstColumn="0" w:firstRowLastColumn="0" w:lastRowFirstColumn="0" w:lastRowLastColumn="0"/>
          <w:tblHeader/>
          <w:jc w:val="left"/>
        </w:trPr>
        <w:tc>
          <w:tcPr>
            <w:tcW w:w="0" w:type="auto"/>
          </w:tcPr>
          <w:p w14:paraId="03382DA2" w14:textId="19095CF7" w:rsidR="001E6401" w:rsidRDefault="00000000">
            <w:pPr>
              <w:pStyle w:val="Compact"/>
            </w:pPr>
            <w:r>
              <w:t>Moderator</w:t>
            </w:r>
          </w:p>
        </w:tc>
        <w:tc>
          <w:tcPr>
            <w:tcW w:w="0" w:type="auto"/>
          </w:tcPr>
          <w:p w14:paraId="1D3B4B16" w14:textId="77777777" w:rsidR="001E6401" w:rsidRPr="00BA47C3" w:rsidRDefault="00000000">
            <w:pPr>
              <w:pStyle w:val="Compact"/>
              <w:rPr>
                <w:i/>
                <w:iCs/>
              </w:rPr>
            </w:pPr>
            <w:r w:rsidRPr="00BA47C3">
              <w:rPr>
                <w:i/>
                <w:iCs/>
              </w:rPr>
              <w:t>s</w:t>
            </w:r>
          </w:p>
        </w:tc>
        <w:tc>
          <w:tcPr>
            <w:tcW w:w="0" w:type="auto"/>
          </w:tcPr>
          <w:p w14:paraId="06BC5D6B" w14:textId="77777777" w:rsidR="001E6401" w:rsidRPr="00BA47C3" w:rsidRDefault="00000000">
            <w:pPr>
              <w:pStyle w:val="Compact"/>
              <w:rPr>
                <w:i/>
                <w:iCs/>
              </w:rPr>
            </w:pPr>
            <w:r w:rsidRPr="00BA47C3">
              <w:rPr>
                <w:i/>
                <w:iCs/>
              </w:rPr>
              <w:t>k</w:t>
            </w:r>
          </w:p>
        </w:tc>
        <w:tc>
          <w:tcPr>
            <w:tcW w:w="0" w:type="auto"/>
          </w:tcPr>
          <w:p w14:paraId="035894DC" w14:textId="3524A0A0" w:rsidR="001E6401" w:rsidRPr="00BA47C3" w:rsidRDefault="00BA47C3">
            <w:pPr>
              <w:pStyle w:val="Compact"/>
              <w:rPr>
                <w:i/>
                <w:iCs/>
              </w:rPr>
            </w:pPr>
            <w:r w:rsidRPr="00BA47C3">
              <w:rPr>
                <w:i/>
                <w:iCs/>
              </w:rPr>
              <w:t>β</w:t>
            </w:r>
          </w:p>
        </w:tc>
        <w:tc>
          <w:tcPr>
            <w:tcW w:w="0" w:type="auto"/>
          </w:tcPr>
          <w:p w14:paraId="78537E3B" w14:textId="77777777" w:rsidR="001E6401" w:rsidRDefault="00000000">
            <w:pPr>
              <w:pStyle w:val="Compact"/>
            </w:pPr>
            <w:r>
              <w:t>95% CI</w:t>
            </w:r>
          </w:p>
        </w:tc>
        <w:tc>
          <w:tcPr>
            <w:tcW w:w="0" w:type="auto"/>
          </w:tcPr>
          <w:p w14:paraId="361E941F" w14:textId="77777777" w:rsidR="001E6401" w:rsidRPr="00BA47C3" w:rsidRDefault="00000000">
            <w:pPr>
              <w:pStyle w:val="Compact"/>
              <w:rPr>
                <w:i/>
                <w:iCs/>
              </w:rPr>
            </w:pPr>
            <w:r w:rsidRPr="00BA47C3">
              <w:rPr>
                <w:i/>
                <w:iCs/>
              </w:rPr>
              <w:t>F</w:t>
            </w:r>
          </w:p>
        </w:tc>
        <w:tc>
          <w:tcPr>
            <w:tcW w:w="0" w:type="auto"/>
          </w:tcPr>
          <w:p w14:paraId="4E25384F" w14:textId="77777777" w:rsidR="001E6401" w:rsidRPr="00BA47C3" w:rsidRDefault="00000000">
            <w:pPr>
              <w:pStyle w:val="Compact"/>
              <w:rPr>
                <w:i/>
                <w:iCs/>
              </w:rPr>
            </w:pPr>
            <w:r w:rsidRPr="00BA47C3">
              <w:rPr>
                <w:i/>
                <w:iCs/>
              </w:rPr>
              <w:t>p</w:t>
            </w:r>
          </w:p>
        </w:tc>
      </w:tr>
      <w:tr w:rsidR="001E6401" w14:paraId="4A2283E9" w14:textId="77777777" w:rsidTr="00BA47C3">
        <w:trPr>
          <w:jc w:val="left"/>
        </w:trPr>
        <w:tc>
          <w:tcPr>
            <w:tcW w:w="0" w:type="auto"/>
          </w:tcPr>
          <w:p w14:paraId="3E6ADE08" w14:textId="77777777" w:rsidR="001E6401" w:rsidRDefault="00000000">
            <w:pPr>
              <w:pStyle w:val="Compact"/>
            </w:pPr>
            <w:r>
              <w:t>predicted demand effects</w:t>
            </w:r>
          </w:p>
        </w:tc>
        <w:tc>
          <w:tcPr>
            <w:tcW w:w="0" w:type="auto"/>
          </w:tcPr>
          <w:p w14:paraId="24D4BDE9" w14:textId="77777777" w:rsidR="001E6401" w:rsidRDefault="00000000">
            <w:pPr>
              <w:pStyle w:val="Compact"/>
            </w:pPr>
            <w:r>
              <w:t>36</w:t>
            </w:r>
          </w:p>
        </w:tc>
        <w:tc>
          <w:tcPr>
            <w:tcW w:w="0" w:type="auto"/>
          </w:tcPr>
          <w:p w14:paraId="108667CB" w14:textId="77777777" w:rsidR="001E6401" w:rsidRDefault="00000000">
            <w:pPr>
              <w:pStyle w:val="Compact"/>
            </w:pPr>
            <w:r>
              <w:t>151</w:t>
            </w:r>
          </w:p>
        </w:tc>
        <w:tc>
          <w:tcPr>
            <w:tcW w:w="0" w:type="auto"/>
          </w:tcPr>
          <w:p w14:paraId="0F48898D" w14:textId="77777777" w:rsidR="001E6401" w:rsidRDefault="00000000">
            <w:pPr>
              <w:pStyle w:val="Compact"/>
            </w:pPr>
            <w:r>
              <w:t>0.07</w:t>
            </w:r>
          </w:p>
        </w:tc>
        <w:tc>
          <w:tcPr>
            <w:tcW w:w="0" w:type="auto"/>
          </w:tcPr>
          <w:p w14:paraId="6CD19F8A" w14:textId="77777777" w:rsidR="001E6401" w:rsidRDefault="00000000">
            <w:pPr>
              <w:pStyle w:val="Compact"/>
            </w:pPr>
            <w:r>
              <w:t>[-0.06, 0.21]</w:t>
            </w:r>
          </w:p>
        </w:tc>
        <w:tc>
          <w:tcPr>
            <w:tcW w:w="0" w:type="auto"/>
          </w:tcPr>
          <w:p w14:paraId="40E26F9D" w14:textId="77777777" w:rsidR="001E6401" w:rsidRDefault="00000000">
            <w:pPr>
              <w:pStyle w:val="Compact"/>
            </w:pPr>
            <w:r>
              <w:t>1.31</w:t>
            </w:r>
          </w:p>
        </w:tc>
        <w:tc>
          <w:tcPr>
            <w:tcW w:w="0" w:type="auto"/>
          </w:tcPr>
          <w:p w14:paraId="49E0A4E3" w14:textId="77777777" w:rsidR="001E6401" w:rsidRDefault="00000000">
            <w:pPr>
              <w:pStyle w:val="Compact"/>
            </w:pPr>
            <w:r>
              <w:t>.274</w:t>
            </w:r>
          </w:p>
        </w:tc>
      </w:tr>
      <w:tr w:rsidR="001E6401" w14:paraId="1F0F9838" w14:textId="77777777" w:rsidTr="00BA47C3">
        <w:trPr>
          <w:jc w:val="left"/>
        </w:trPr>
        <w:tc>
          <w:tcPr>
            <w:tcW w:w="0" w:type="auto"/>
          </w:tcPr>
          <w:p w14:paraId="292B6D9E" w14:textId="77777777" w:rsidR="001E6401" w:rsidRDefault="00000000">
            <w:pPr>
              <w:pStyle w:val="Compact"/>
            </w:pPr>
            <w:r>
              <w:t>understanding of study hypothesis</w:t>
            </w:r>
          </w:p>
        </w:tc>
        <w:tc>
          <w:tcPr>
            <w:tcW w:w="0" w:type="auto"/>
          </w:tcPr>
          <w:p w14:paraId="0219166D" w14:textId="77777777" w:rsidR="001E6401" w:rsidRDefault="00000000">
            <w:pPr>
              <w:pStyle w:val="Compact"/>
            </w:pPr>
            <w:r>
              <w:t>36</w:t>
            </w:r>
          </w:p>
        </w:tc>
        <w:tc>
          <w:tcPr>
            <w:tcW w:w="0" w:type="auto"/>
          </w:tcPr>
          <w:p w14:paraId="177E06C7" w14:textId="77777777" w:rsidR="001E6401" w:rsidRDefault="00000000">
            <w:pPr>
              <w:pStyle w:val="Compact"/>
            </w:pPr>
            <w:r>
              <w:t>151</w:t>
            </w:r>
          </w:p>
        </w:tc>
        <w:tc>
          <w:tcPr>
            <w:tcW w:w="0" w:type="auto"/>
          </w:tcPr>
          <w:p w14:paraId="58D6B618" w14:textId="77777777" w:rsidR="001E6401" w:rsidRDefault="00000000">
            <w:pPr>
              <w:pStyle w:val="Compact"/>
            </w:pPr>
            <w:r>
              <w:t>0.14</w:t>
            </w:r>
          </w:p>
        </w:tc>
        <w:tc>
          <w:tcPr>
            <w:tcW w:w="0" w:type="auto"/>
          </w:tcPr>
          <w:p w14:paraId="4014913C" w14:textId="77777777" w:rsidR="001E6401" w:rsidRDefault="00000000">
            <w:pPr>
              <w:pStyle w:val="Compact"/>
            </w:pPr>
            <w:r>
              <w:t>[-0.02, 0.31]</w:t>
            </w:r>
          </w:p>
        </w:tc>
        <w:tc>
          <w:tcPr>
            <w:tcW w:w="0" w:type="auto"/>
          </w:tcPr>
          <w:p w14:paraId="70146E74" w14:textId="77777777" w:rsidR="001E6401" w:rsidRDefault="00000000">
            <w:pPr>
              <w:pStyle w:val="Compact"/>
            </w:pPr>
            <w:r>
              <w:t>3.96</w:t>
            </w:r>
          </w:p>
        </w:tc>
        <w:tc>
          <w:tcPr>
            <w:tcW w:w="0" w:type="auto"/>
          </w:tcPr>
          <w:p w14:paraId="5ADE592A" w14:textId="77777777" w:rsidR="001E6401" w:rsidRDefault="00000000">
            <w:pPr>
              <w:pStyle w:val="Compact"/>
            </w:pPr>
            <w:r>
              <w:t>.081</w:t>
            </w:r>
          </w:p>
        </w:tc>
      </w:tr>
      <w:tr w:rsidR="001E6401" w14:paraId="415D97E1" w14:textId="77777777" w:rsidTr="00BA47C3">
        <w:trPr>
          <w:jc w:val="left"/>
        </w:trPr>
        <w:tc>
          <w:tcPr>
            <w:tcW w:w="0" w:type="auto"/>
          </w:tcPr>
          <w:p w14:paraId="344F6EC4" w14:textId="77777777" w:rsidR="001E6401" w:rsidRDefault="00000000">
            <w:pPr>
              <w:pStyle w:val="Compact"/>
            </w:pPr>
            <w:r>
              <w:t>motivation to adjust responses</w:t>
            </w:r>
          </w:p>
        </w:tc>
        <w:tc>
          <w:tcPr>
            <w:tcW w:w="0" w:type="auto"/>
          </w:tcPr>
          <w:p w14:paraId="6659278C" w14:textId="77777777" w:rsidR="001E6401" w:rsidRDefault="00000000">
            <w:pPr>
              <w:pStyle w:val="Compact"/>
            </w:pPr>
            <w:r>
              <w:t>36</w:t>
            </w:r>
          </w:p>
        </w:tc>
        <w:tc>
          <w:tcPr>
            <w:tcW w:w="0" w:type="auto"/>
          </w:tcPr>
          <w:p w14:paraId="054F179B" w14:textId="77777777" w:rsidR="001E6401" w:rsidRDefault="00000000">
            <w:pPr>
              <w:pStyle w:val="Compact"/>
            </w:pPr>
            <w:r>
              <w:t>151</w:t>
            </w:r>
          </w:p>
        </w:tc>
        <w:tc>
          <w:tcPr>
            <w:tcW w:w="0" w:type="auto"/>
          </w:tcPr>
          <w:p w14:paraId="46493E72" w14:textId="77777777" w:rsidR="001E6401" w:rsidRDefault="00000000">
            <w:pPr>
              <w:pStyle w:val="Compact"/>
            </w:pPr>
            <w:r>
              <w:t>0.01</w:t>
            </w:r>
          </w:p>
        </w:tc>
        <w:tc>
          <w:tcPr>
            <w:tcW w:w="0" w:type="auto"/>
          </w:tcPr>
          <w:p w14:paraId="02ED6A8B" w14:textId="77777777" w:rsidR="001E6401" w:rsidRDefault="00000000">
            <w:pPr>
              <w:pStyle w:val="Compact"/>
            </w:pPr>
            <w:r>
              <w:t>[-0.21, 0.22]</w:t>
            </w:r>
          </w:p>
        </w:tc>
        <w:tc>
          <w:tcPr>
            <w:tcW w:w="0" w:type="auto"/>
          </w:tcPr>
          <w:p w14:paraId="691D02C7" w14:textId="77777777" w:rsidR="001E6401" w:rsidRDefault="00000000">
            <w:pPr>
              <w:pStyle w:val="Compact"/>
            </w:pPr>
            <w:r>
              <w:t>0.01</w:t>
            </w:r>
          </w:p>
        </w:tc>
        <w:tc>
          <w:tcPr>
            <w:tcW w:w="0" w:type="auto"/>
          </w:tcPr>
          <w:p w14:paraId="1900738D" w14:textId="77777777" w:rsidR="001E6401" w:rsidRDefault="00000000">
            <w:pPr>
              <w:pStyle w:val="Compact"/>
            </w:pPr>
            <w:r>
              <w:t>.932</w:t>
            </w:r>
          </w:p>
        </w:tc>
      </w:tr>
      <w:tr w:rsidR="001E6401" w14:paraId="7FA5A78C" w14:textId="77777777" w:rsidTr="00BA47C3">
        <w:trPr>
          <w:jc w:val="left"/>
        </w:trPr>
        <w:tc>
          <w:tcPr>
            <w:tcW w:w="0" w:type="auto"/>
          </w:tcPr>
          <w:p w14:paraId="3E985A4C" w14:textId="77777777" w:rsidR="001E6401" w:rsidRDefault="00000000">
            <w:pPr>
              <w:pStyle w:val="Compact"/>
            </w:pPr>
            <w:r>
              <w:t>opportunity to adjust responses</w:t>
            </w:r>
          </w:p>
        </w:tc>
        <w:tc>
          <w:tcPr>
            <w:tcW w:w="0" w:type="auto"/>
          </w:tcPr>
          <w:p w14:paraId="75CCDAFD" w14:textId="77777777" w:rsidR="001E6401" w:rsidRDefault="00000000">
            <w:pPr>
              <w:pStyle w:val="Compact"/>
            </w:pPr>
            <w:r>
              <w:t>36</w:t>
            </w:r>
          </w:p>
        </w:tc>
        <w:tc>
          <w:tcPr>
            <w:tcW w:w="0" w:type="auto"/>
          </w:tcPr>
          <w:p w14:paraId="4EFA23C1" w14:textId="77777777" w:rsidR="001E6401" w:rsidRDefault="00000000">
            <w:pPr>
              <w:pStyle w:val="Compact"/>
            </w:pPr>
            <w:r>
              <w:t>151</w:t>
            </w:r>
          </w:p>
        </w:tc>
        <w:tc>
          <w:tcPr>
            <w:tcW w:w="0" w:type="auto"/>
          </w:tcPr>
          <w:p w14:paraId="6D3A8917" w14:textId="77777777" w:rsidR="001E6401" w:rsidRDefault="00000000">
            <w:pPr>
              <w:pStyle w:val="Compact"/>
            </w:pPr>
            <w:r>
              <w:t>0.04</w:t>
            </w:r>
          </w:p>
        </w:tc>
        <w:tc>
          <w:tcPr>
            <w:tcW w:w="0" w:type="auto"/>
          </w:tcPr>
          <w:p w14:paraId="79AA195C" w14:textId="77777777" w:rsidR="001E6401" w:rsidRDefault="00000000">
            <w:pPr>
              <w:pStyle w:val="Compact"/>
            </w:pPr>
            <w:r>
              <w:t>[-0.02, 0.1]</w:t>
            </w:r>
          </w:p>
        </w:tc>
        <w:tc>
          <w:tcPr>
            <w:tcW w:w="0" w:type="auto"/>
          </w:tcPr>
          <w:p w14:paraId="0D9BCEBE" w14:textId="77777777" w:rsidR="001E6401" w:rsidRDefault="00000000">
            <w:pPr>
              <w:pStyle w:val="Compact"/>
            </w:pPr>
            <w:r>
              <w:t>2.43</w:t>
            </w:r>
          </w:p>
        </w:tc>
        <w:tc>
          <w:tcPr>
            <w:tcW w:w="0" w:type="auto"/>
          </w:tcPr>
          <w:p w14:paraId="2D570D4A" w14:textId="77777777" w:rsidR="001E6401" w:rsidRDefault="00000000">
            <w:pPr>
              <w:pStyle w:val="Compact"/>
            </w:pPr>
            <w:r>
              <w:t>.155</w:t>
            </w:r>
          </w:p>
        </w:tc>
      </w:tr>
      <w:tr w:rsidR="001E6401" w14:paraId="209AA212" w14:textId="77777777" w:rsidTr="00BA47C3">
        <w:trPr>
          <w:jc w:val="left"/>
        </w:trPr>
        <w:tc>
          <w:tcPr>
            <w:tcW w:w="0" w:type="auto"/>
          </w:tcPr>
          <w:p w14:paraId="111993A2" w14:textId="77777777" w:rsidR="001E6401" w:rsidRDefault="00000000">
            <w:pPr>
              <w:pStyle w:val="Compact"/>
            </w:pPr>
            <w:r>
              <w:t>belief in communicated hypothesis</w:t>
            </w:r>
          </w:p>
        </w:tc>
        <w:tc>
          <w:tcPr>
            <w:tcW w:w="0" w:type="auto"/>
          </w:tcPr>
          <w:p w14:paraId="1D416560" w14:textId="77777777" w:rsidR="001E6401" w:rsidRDefault="00000000">
            <w:pPr>
              <w:pStyle w:val="Compact"/>
            </w:pPr>
            <w:r>
              <w:t>36</w:t>
            </w:r>
          </w:p>
        </w:tc>
        <w:tc>
          <w:tcPr>
            <w:tcW w:w="0" w:type="auto"/>
          </w:tcPr>
          <w:p w14:paraId="70DADE34" w14:textId="77777777" w:rsidR="001E6401" w:rsidRDefault="00000000">
            <w:pPr>
              <w:pStyle w:val="Compact"/>
            </w:pPr>
            <w:r>
              <w:t>151</w:t>
            </w:r>
          </w:p>
        </w:tc>
        <w:tc>
          <w:tcPr>
            <w:tcW w:w="0" w:type="auto"/>
          </w:tcPr>
          <w:p w14:paraId="178B51ED" w14:textId="77777777" w:rsidR="001E6401" w:rsidRDefault="00000000">
            <w:pPr>
              <w:pStyle w:val="Compact"/>
            </w:pPr>
            <w:r>
              <w:t>0.06</w:t>
            </w:r>
          </w:p>
        </w:tc>
        <w:tc>
          <w:tcPr>
            <w:tcW w:w="0" w:type="auto"/>
          </w:tcPr>
          <w:p w14:paraId="56D2AD44" w14:textId="77777777" w:rsidR="001E6401" w:rsidRDefault="00000000">
            <w:pPr>
              <w:pStyle w:val="Compact"/>
            </w:pPr>
            <w:r>
              <w:t>[-0.05, 0.18]</w:t>
            </w:r>
          </w:p>
        </w:tc>
        <w:tc>
          <w:tcPr>
            <w:tcW w:w="0" w:type="auto"/>
          </w:tcPr>
          <w:p w14:paraId="6B4DDE12" w14:textId="77777777" w:rsidR="001E6401" w:rsidRDefault="00000000">
            <w:pPr>
              <w:pStyle w:val="Compact"/>
            </w:pPr>
            <w:r>
              <w:t>1.46</w:t>
            </w:r>
          </w:p>
        </w:tc>
        <w:tc>
          <w:tcPr>
            <w:tcW w:w="0" w:type="auto"/>
          </w:tcPr>
          <w:p w14:paraId="254D469C" w14:textId="77777777" w:rsidR="001E6401" w:rsidRDefault="00000000">
            <w:pPr>
              <w:pStyle w:val="Compact"/>
            </w:pPr>
            <w:r>
              <w:t>.252</w:t>
            </w:r>
          </w:p>
        </w:tc>
      </w:tr>
    </w:tbl>
    <w:p w14:paraId="67484662" w14:textId="24EC1BFC" w:rsidR="001E6401" w:rsidRDefault="00000000">
      <w:pPr>
        <w:pStyle w:val="table-note"/>
      </w:pPr>
      <w:r>
        <w:rPr>
          <w:i/>
          <w:iCs/>
        </w:rPr>
        <w:t>Note.</w:t>
      </w:r>
      <w:r>
        <w:t xml:space="preserve"> </w:t>
      </w:r>
      <w:r w:rsidRPr="00BA47C3">
        <w:rPr>
          <w:i/>
          <w:iCs/>
        </w:rPr>
        <w:t>s</w:t>
      </w:r>
      <w:r>
        <w:t xml:space="preserve"> = number of studies; </w:t>
      </w:r>
      <w:r w:rsidRPr="00BA47C3">
        <w:rPr>
          <w:i/>
          <w:iCs/>
        </w:rPr>
        <w:t>k</w:t>
      </w:r>
      <w:r>
        <w:t xml:space="preserve"> = number of effect size estimates; </w:t>
      </w:r>
      <w:r w:rsidR="00BA47C3" w:rsidRPr="00BA47C3">
        <w:rPr>
          <w:i/>
          <w:iCs/>
        </w:rPr>
        <w:t>β</w:t>
      </w:r>
      <w:r>
        <w:t xml:space="preserve"> = estimated linear relationship between participant ratings and observed Hedge’s </w:t>
      </w:r>
      <w:r w:rsidRPr="00BA47C3">
        <w:rPr>
          <w:i/>
          <w:iCs/>
        </w:rPr>
        <w:t>g</w:t>
      </w:r>
      <w:r>
        <w:t xml:space="preserve"> scores; 95% CI corresponds to the estimated value of </w:t>
      </w:r>
      <w:r w:rsidR="00BA47C3" w:rsidRPr="00BA47C3">
        <w:rPr>
          <w:i/>
          <w:iCs/>
        </w:rPr>
        <w:t>β</w:t>
      </w:r>
      <w:r>
        <w:t>.</w:t>
      </w:r>
    </w:p>
    <w:p w14:paraId="5AC10022" w14:textId="77777777" w:rsidR="001E6401" w:rsidRDefault="00000000">
      <w:pPr>
        <w:pStyle w:val="BodyText"/>
      </w:pPr>
      <w:r>
        <w:t> </w:t>
      </w:r>
    </w:p>
    <w:p w14:paraId="392EECB9" w14:textId="77777777" w:rsidR="001E6401" w:rsidRDefault="00000000">
      <w:pPr>
        <w:pStyle w:val="Heading3"/>
        <w:framePr w:wrap="around"/>
      </w:pPr>
      <w:bookmarkStart w:id="67" w:name="publication-bias-analyses-1"/>
      <w:bookmarkEnd w:id="35"/>
      <w:bookmarkEnd w:id="65"/>
      <w:r>
        <w:lastRenderedPageBreak/>
        <w:t>Publication bias analyses.</w:t>
      </w:r>
    </w:p>
    <w:p w14:paraId="583C3CEA" w14:textId="689DC58F" w:rsidR="001E6401" w:rsidRDefault="00000000">
      <w:pPr>
        <w:pStyle w:val="FirstParagraph"/>
      </w:pPr>
      <w:r>
        <w:t xml:space="preserve">Overall, publication bias analyses were inconclusive. Both </w:t>
      </w:r>
      <w:del w:id="68" w:author="Coles, Nicholas A." w:date="2025-04-30T15:02:00Z" w16du:dateUtc="2025-04-30T19:02:00Z">
        <w:r w:rsidDel="00BB54F4">
          <w:delText>precision-effect tests</w:delText>
        </w:r>
      </w:del>
      <w:ins w:id="69" w:author="Coles, Nicholas A." w:date="2025-04-30T15:02:00Z" w16du:dateUtc="2025-04-30T19:02:00Z">
        <w:r w:rsidR="00BB54F4">
          <w:t>PET</w:t>
        </w:r>
      </w:ins>
      <w:r>
        <w:t xml:space="preserve"> with 3LMA (</w:t>
      </w:r>
      <m:oMath>
        <m:r>
          <w:rPr>
            <w:rFonts w:ascii="Cambria Math" w:hAnsi="Cambria Math"/>
          </w:rPr>
          <m:t>β</m:t>
        </m:r>
      </m:oMath>
      <w:r>
        <w:t xml:space="preserve"> = 0.71, 95% CI [0.06, 1.37], </w:t>
      </w:r>
      <m:oMath>
        <m:r>
          <w:rPr>
            <w:rFonts w:ascii="Cambria Math" w:hAnsi="Cambria Math"/>
          </w:rPr>
          <m:t>p</m:t>
        </m:r>
      </m:oMath>
      <w:r>
        <w:t xml:space="preserve"> = .033) and aggregated dependencies (</w:t>
      </w:r>
      <m:oMath>
        <m:r>
          <w:rPr>
            <w:rFonts w:ascii="Cambria Math" w:hAnsi="Cambria Math"/>
          </w:rPr>
          <m:t>β</m:t>
        </m:r>
      </m:oMath>
      <w:r>
        <w:t xml:space="preserve"> = 0.31, 95% CI [-0.60, 1.21], </w:t>
      </w:r>
      <m:oMath>
        <m:r>
          <w:rPr>
            <w:rFonts w:ascii="Cambria Math" w:hAnsi="Cambria Math"/>
          </w:rPr>
          <m:t>p</m:t>
        </m:r>
      </m:oMath>
      <w:r>
        <w:t xml:space="preserve"> = .507) estimated that publication bias that favored hypothesis-consistent shifts in participants’ responses. The estimate, however, was only significant when using 3LMA. The bias-corrected overall effect size estimates with both 3LMA (</w:t>
      </w:r>
      <m:oMath>
        <m:r>
          <w:rPr>
            <w:rFonts w:ascii="Cambria Math" w:hAnsi="Cambria Math"/>
          </w:rPr>
          <m:t>g</m:t>
        </m:r>
      </m:oMath>
      <w:r>
        <w:t xml:space="preserve"> = 0.05, 95% CI [-0.12, 0.23], </w:t>
      </w:r>
      <m:oMath>
        <m:r>
          <w:rPr>
            <w:rFonts w:ascii="Cambria Math" w:hAnsi="Cambria Math"/>
          </w:rPr>
          <m:t>p</m:t>
        </m:r>
      </m:oMath>
      <w:r>
        <w:t xml:space="preserve"> = .562) and aggregated dependencies (</w:t>
      </w:r>
      <m:oMath>
        <m:r>
          <w:rPr>
            <w:rFonts w:ascii="Cambria Math" w:hAnsi="Cambria Math"/>
          </w:rPr>
          <m:t>g</m:t>
        </m:r>
      </m:oMath>
      <w:r>
        <w:t xml:space="preserve"> = 0.12, 95% CI [-0.05, 0.30], </w:t>
      </w:r>
      <m:oMath>
        <m:r>
          <w:rPr>
            <w:rFonts w:ascii="Cambria Math" w:hAnsi="Cambria Math"/>
          </w:rPr>
          <m:t>p</m:t>
        </m:r>
      </m:oMath>
      <w:r>
        <w:t xml:space="preserve"> = .175)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4).</w:t>
      </w:r>
    </w:p>
    <w:p w14:paraId="19F9B055" w14:textId="1703C12A" w:rsidR="001E6401" w:rsidRDefault="00000000">
      <w:pPr>
        <w:pStyle w:val="BodyText"/>
      </w:pPr>
      <w:r>
        <w:t xml:space="preserve">Examining aggregated effect sizes using weight-function modeling – as opposed to </w:t>
      </w:r>
      <w:del w:id="70" w:author="Coles, Nicholas A." w:date="2025-04-30T15:02:00Z" w16du:dateUtc="2025-04-30T19:02:00Z">
        <w:r w:rsidDel="00BB54F4">
          <w:delText>precision effect tests</w:delText>
        </w:r>
      </w:del>
      <w:r>
        <w:t xml:space="preserve"> – yields a different pattern: better fit is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4).</w:t>
      </w:r>
    </w:p>
    <w:p w14:paraId="1AEE5FC2" w14:textId="24481863" w:rsidR="00BA47C3" w:rsidRDefault="00000000">
      <w:pPr>
        <w:pStyle w:val="BodyText"/>
      </w:pPr>
      <w:r>
        <w:t>We did not find significant differences in the magnitude of demand effects between published (</w:t>
      </w:r>
      <m:oMath>
        <m:r>
          <w:rPr>
            <w:rFonts w:ascii="Cambria Math" w:hAnsi="Cambria Math"/>
          </w:rPr>
          <m:t>g</m:t>
        </m:r>
      </m:oMath>
      <w:r>
        <w:t xml:space="preserve"> = 0.22, 95% CI [0.13, 0.32],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.287) studies, </w:t>
      </w:r>
      <m:oMath>
        <m:r>
          <w:rPr>
            <w:rFonts w:ascii="Cambria Math" w:hAnsi="Cambria Math"/>
          </w:rPr>
          <m:t>F</m:t>
        </m:r>
      </m:oMath>
      <w:r>
        <w:t xml:space="preserve">(1, 14.38) = 0.11, </w:t>
      </w:r>
      <m:oMath>
        <m:r>
          <w:rPr>
            <w:rFonts w:ascii="Cambria Math" w:hAnsi="Cambria Math"/>
          </w:rPr>
          <m:t>p</m:t>
        </m:r>
      </m:oMath>
      <w:r>
        <w:t xml:space="preserve"> = .748. If there is a biased selection of instances where participants responses shift in a hypothesis consistent manner, sensitivity analyses indicated that it would have to be extreme selection pressure to make the effect size non-significant (Mathur &amp; VanderWeele, 2020b). Even if hypothesis-consistent shifts were 10000000 </w:t>
      </w:r>
      <w:r>
        <w:lastRenderedPageBreak/>
        <w:t xml:space="preserve">times more likely to be published, the overall effect would still be 0.07, 95% CI [0.01, 0.12], </w:t>
      </w:r>
      <w:r>
        <w:rPr>
          <w:i/>
          <w:iCs/>
        </w:rPr>
        <w:t>p</w:t>
      </w:r>
      <w:r>
        <w:t xml:space="preserve"> = .019.</w:t>
      </w:r>
    </w:p>
    <w:p w14:paraId="7CDC4509" w14:textId="77777777" w:rsidR="00BA47C3" w:rsidRDefault="00BA47C3">
      <w:pPr>
        <w:spacing w:before="0" w:after="200" w:line="240" w:lineRule="auto"/>
      </w:pPr>
      <w:r>
        <w:br w:type="page"/>
      </w:r>
    </w:p>
    <w:p w14:paraId="716AABA7" w14:textId="77777777" w:rsidR="001E6401" w:rsidRDefault="001E6401">
      <w:pPr>
        <w:pStyle w:val="BodyText"/>
      </w:pPr>
    </w:p>
    <w:p w14:paraId="45DC55C4" w14:textId="77777777" w:rsidR="001E6401" w:rsidRDefault="00000000">
      <w:pPr>
        <w:pStyle w:val="CaptionedFigure"/>
        <w:framePr w:wrap="notBeside"/>
      </w:pPr>
      <w:r>
        <w:rPr>
          <w:noProof/>
        </w:rPr>
        <w:drawing>
          <wp:inline distT="0" distB="0" distL="0" distR="0" wp14:anchorId="4941601A" wp14:editId="6C10AE45">
            <wp:extent cx="5969000" cy="3443653"/>
            <wp:effectExtent l="0" t="0" r="0" b="0"/>
            <wp:docPr id="58" name="Picture" descr="Figure 4: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59"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30D31433" w14:textId="340CD48A" w:rsidR="00BA47C3" w:rsidRDefault="00000000">
      <w:pPr>
        <w:pStyle w:val="ImageCaption"/>
      </w:pPr>
      <w:bookmarkStart w:id="71" w:name="fig:funnel"/>
      <w:bookmarkEnd w:id="71"/>
      <w:r>
        <w:rPr>
          <w:i/>
          <w:iCs/>
        </w:rPr>
        <w:t>Figure</w:t>
      </w:r>
      <w:r>
        <w:t xml:space="preserve"> 4. Raw (Panel A) or aggregated (Panel B) effect sizes plotted against their corresponding standard errors. Funnel plot is inverted to illustrate correspondence with slope estimates from precision-effect tests.</w:t>
      </w:r>
    </w:p>
    <w:p w14:paraId="6B4294A9" w14:textId="77777777" w:rsidR="00BA47C3" w:rsidRDefault="00BA47C3">
      <w:pPr>
        <w:spacing w:before="0" w:after="200" w:line="240" w:lineRule="auto"/>
      </w:pPr>
      <w:r>
        <w:br w:type="page"/>
      </w:r>
    </w:p>
    <w:p w14:paraId="2CBAB3C2" w14:textId="77777777" w:rsidR="001E6401" w:rsidRDefault="00000000">
      <w:pPr>
        <w:pStyle w:val="Heading1"/>
      </w:pPr>
      <w:bookmarkStart w:id="72" w:name="discussion"/>
      <w:bookmarkEnd w:id="2"/>
      <w:bookmarkEnd w:id="21"/>
      <w:bookmarkEnd w:id="67"/>
      <w:r>
        <w:lastRenderedPageBreak/>
        <w:t>Discussion</w:t>
      </w:r>
    </w:p>
    <w:p w14:paraId="118EDB0B" w14:textId="77777777" w:rsidR="001E6401" w:rsidRDefault="00000000">
      <w:pPr>
        <w:pStyle w:val="FirstParagraph"/>
      </w:pPr>
      <w:r>
        <w:t xml:space="preserve">In the </w:t>
      </w:r>
      <w:r>
        <w:rPr>
          <w:i/>
          <w:iCs/>
        </w:rPr>
        <w:t>Introduction</w:t>
      </w:r>
      <w:r>
        <w:t>, we described a fictitious discipline that we suspect would be met with extreme skepticism – one plagued by a methodological artifact that (a) can lead to both false positives and false negatives, (b) can create both upward bias and downward bias, (c) has unreliable effects, and (d) is difficult to explain. If one agrees that such a characterization is problematic, we argue they face an uncomfortable observation: our meta-analysis suggests that this characterization also currently applies to experimental psychology.</w:t>
      </w:r>
    </w:p>
    <w:p w14:paraId="3075E600" w14:textId="674EA84C" w:rsidR="001E6401" w:rsidRDefault="00000000">
      <w:pPr>
        <w:pStyle w:val="BodyText"/>
      </w:pPr>
      <w:r>
        <w:t>Since Orne popularized the concept in the mid</w:t>
      </w:r>
      <w:ins w:id="73" w:author="Coles, Nicholas A." w:date="2025-04-30T14:49:00Z" w16du:dateUtc="2025-04-30T18:49:00Z">
        <w:r w:rsidR="00BB54F4">
          <w:t xml:space="preserve"> 20</w:t>
        </w:r>
        <w:r w:rsidR="00BB54F4">
          <w:rPr>
            <w:vertAlign w:val="superscript"/>
          </w:rPr>
          <w:t>th</w:t>
        </w:r>
        <w:r w:rsidR="00BB54F4">
          <w:t xml:space="preserve"> century</w:t>
        </w:r>
      </w:ins>
      <w:del w:id="74" w:author="Coles, Nicholas A." w:date="2025-04-30T14:49:00Z" w16du:dateUtc="2025-04-30T18:49:00Z">
        <w:r w:rsidDel="00BB54F4">
          <w:delText>-1900’s</w:delText>
        </w:r>
      </w:del>
      <w:r>
        <w:t xml:space="preserve">, demand characteristics have become a literal textbook methodological concern in experimental psychology. We synthesized a subset of this literature, focusing on 252 effect sizes from 52 studies that provided experimental tests of demand effects by explicitly manipulating cues about the study hypothesis. Consistent with an influential framework developed by Rosnow and colleagues (Rosnow &amp; Aiken, 1973; Rosnow &amp; Rosenthal, 1997; Strohmetz, 2008), the observed and estimated true distribution of these effects suggest that demand characteristics can create false positives (Orne, 1959), false negatives (Hayes &amp; King, 1967), and upward and downward bias (Coles et al., 2022). Such heterogeneity leads to a wide prediction interval, ranging from </w:t>
      </w:r>
      <m:oMath>
        <m:r>
          <w:rPr>
            <w:rFonts w:ascii="Cambria Math" w:hAnsi="Cambria Math"/>
          </w:rPr>
          <m:t>g</m:t>
        </m:r>
      </m:oMath>
      <w:r>
        <w:t xml:space="preserve"> = 0.89 (a medium-sized decrease in hypothesis-consistent responding) to </w:t>
      </w:r>
      <m:oMath>
        <m:r>
          <w:rPr>
            <w:rFonts w:ascii="Cambria Math" w:hAnsi="Cambria Math"/>
          </w:rPr>
          <m:t>g</m:t>
        </m:r>
      </m:oMath>
      <w:r>
        <w:t xml:space="preserve"> = -0.46 (a medium-sized </w:t>
      </w:r>
      <w:r>
        <w:rPr>
          <w:i/>
          <w:iCs/>
        </w:rPr>
        <w:t>increase</w:t>
      </w:r>
      <w:r>
        <w:t xml:space="preserve"> in hypothesis-consistent responding).</w:t>
      </w:r>
    </w:p>
    <w:p w14:paraId="36055FE6" w14:textId="77777777" w:rsidR="001E6401" w:rsidRDefault="00000000">
      <w:pPr>
        <w:pStyle w:val="BodyText"/>
      </w:pPr>
      <w:r>
        <w:t xml:space="preserve">Observing demand effects that are strong, inferentially consequential, and heterogenous would be less concerning if researchers had an explanation for how such effects operate. Unfortunately, we found little explanation in our own synthesis. Coded study features failed to generate profound insights – revealing only that demand effects tend to be larger when studies are run in-person and include comparisons between two different demand characteristic conditions. </w:t>
      </w:r>
      <w:r>
        <w:lastRenderedPageBreak/>
        <w:t xml:space="preserve">Although such insights are certainly useful, they only explained an estimated 15.52% of in-sample variability in demand effects. Given that in-sample (vs. out-of-sample)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are often inflated by overfitting (De Rooij &amp; Weeda, 2020), we suspect that the true proportion of explained variability is even lower.</w:t>
      </w:r>
    </w:p>
    <w:p w14:paraId="073CC27D" w14:textId="77777777" w:rsidR="001E6401" w:rsidRDefault="00000000">
      <w:pPr>
        <w:pStyle w:val="BodyText"/>
      </w:pPr>
      <w:r>
        <w:t xml:space="preserve">We next examined a popular and influential framework developed by Rosnow and colleagues, who successfully predicted that demand effects are heterogeneous (Rosnow &amp; Aiken, 1973; Rosnow &amp; Rosenthal, 1997; Strohmetz, 2008). However, we found few attempts to test their proposed explanation for such heterogeneity: differences in the extent to which participants are (a) receptive, (b) motivated, and (c) able to respond to demand characteristics. (One exception is an </w:t>
      </w:r>
      <w:r>
        <w:rPr>
          <w:i/>
          <w:iCs/>
        </w:rPr>
        <w:t>unpublished</w:t>
      </w:r>
      <w:r>
        <w:t xml:space="preserve"> record by Coles, Wyatt, &amp; Frank, 2023)</w:t>
      </w:r>
    </w:p>
    <w:p w14:paraId="40FDF746" w14:textId="77777777" w:rsidR="001E6401" w:rsidRDefault="00000000">
      <w:pPr>
        <w:pStyle w:val="BodyText"/>
      </w:pPr>
      <w:r>
        <w:t>Contrary to early advice by Orne (1969), we did not find that much clarity emerged when consulting participants themselves. When we provided a large set of naïve participants with summaries of the studies in our meta-analysis, we found that their predictions about demand effects and their underlying mechanisms were unreliable. Indeed, participants generally indicated that they would be receptive to demand characteristics, agnostic about the communicated effects, capable of adjusting their responses, but not motivated to do so. They also generally predicted that other participants would not respond to demand characteristics. Such predictions are clearly at odds with the demand effects observed in our meta-analysis.</w:t>
      </w:r>
    </w:p>
    <w:p w14:paraId="6A04054E" w14:textId="77777777" w:rsidR="001E6401" w:rsidRDefault="00000000">
      <w:pPr>
        <w:pStyle w:val="BodyText"/>
      </w:pPr>
      <w:r>
        <w:t xml:space="preserve">Even when averaging across a large number of participant judgments, we failed to find that they were able to predict or explain the mechanisms underlying demand effects. Demand effects were not significantly predicted by the extent to which they (a) correctly identified the communicated hypothesis, (b) reported they would be motivated to adjust responses, (c) reported </w:t>
      </w:r>
      <w:r>
        <w:lastRenderedPageBreak/>
        <w:t>they would be able to adjust responses, and (d) reported they would expect the hypothesized effect to emerge.</w:t>
      </w:r>
    </w:p>
    <w:p w14:paraId="374C691D" w14:textId="77777777" w:rsidR="001E6401" w:rsidRDefault="00000000">
      <w:pPr>
        <w:pStyle w:val="BodyText"/>
      </w:pPr>
      <w:r>
        <w:t xml:space="preserve">We currently lack a satisfying explanation for our results. One possibility is that demand characteristics are not driven by receptivity, motivation, opportunity, and/or belief in the experimenter’s hypothesis. However, we find this explanation unlikely given the face validity of those proposed mechanisms. Indeed, Rosnow and Rosenthal (1997) argued that opportunity was the least important mechanism because “…not many experimenters would design a study so that a participant would be </w:t>
      </w:r>
      <w:r>
        <w:rPr>
          <w:i/>
          <w:iCs/>
        </w:rPr>
        <w:t>incapable</w:t>
      </w:r>
      <w:r>
        <w:t xml:space="preserve"> of responding to cues closely tied to the experimenter’s own expectation.” A second possibility is that these mechanisms are not as essential as Rosnow and colleagues expected. For example, Coles et al. (2022) argued that demand characteristics may activate mechanisms that do not require motivation or direct ability to adjust responses (e.g., conditioned responses). If demand effects are multiply determined, the effect of any single moderator may be weaker than previously expected. A third possibility is that participants are not able to accurately reflect on these mechanisms. For example, Corneille and Lush (2023) suggested that participants may occasionally be unaware that they were motivated to adjust their responses – e.g., in cases of phenomenological control. A fourth possibility, of course, is that our own methodological limitations inhibited our ability to detect the effects of these moderators. We discuss these limitations next.</w:t>
      </w:r>
    </w:p>
    <w:p w14:paraId="096946F8" w14:textId="77777777" w:rsidR="001E6401" w:rsidRDefault="00000000">
      <w:pPr>
        <w:pStyle w:val="Heading2"/>
      </w:pPr>
      <w:bookmarkStart w:id="75" w:name="limitations"/>
      <w:r>
        <w:t>Limitations</w:t>
      </w:r>
    </w:p>
    <w:p w14:paraId="26D44BDF" w14:textId="77777777" w:rsidR="001E6401" w:rsidRDefault="00000000">
      <w:pPr>
        <w:pStyle w:val="FirstParagraph"/>
      </w:pPr>
      <w:r>
        <w:t xml:space="preserve">Our meta-analysis is, of course, not without limitations. It still remains unclear why participants were generally unable to predict and explain demand effects. It is unclear if our inclusion criteria were too narrow – or not narrow enough. And we suspect that there are many </w:t>
      </w:r>
      <w:r>
        <w:lastRenderedPageBreak/>
        <w:t>supplemental analyses that can be performed on our openly-available data to further probe the nature of demand effects.</w:t>
      </w:r>
    </w:p>
    <w:p w14:paraId="396F7132" w14:textId="77777777" w:rsidR="001E6401" w:rsidRDefault="00000000">
      <w:pPr>
        <w:pStyle w:val="BodyText"/>
      </w:pPr>
      <w:r>
        <w:t>Orne (1969) suggested that participants themselves may help researchers understand demand effects. At first glance, this assumption seems reasonable. Participants are capable of predicting a variety of effects in psychology when exposed to information about the study procedures (Corneille &amp; Béna, 2023) – and this very procedure is often used to raise concerns about demand characteristics (Bartels, 2019). We, however, failed to find that similar procedures could be used to predict or explain demand effects at the meta-analytic level. Yet, it is unclear whether this is a valid and important insight in itself – or indicative of our own methodological shortcomings. For example, perhaps participants are too different than the original participants (Gergen, 1973), perhaps they need to experience the study context first-hand (Orne, 1969), and perhaps they need better measures of the psychological mechanisms that may underlie demand effects (Flake &amp; Fried, 2020).</w:t>
      </w:r>
    </w:p>
    <w:p w14:paraId="03565413" w14:textId="77777777" w:rsidR="001E6401" w:rsidRDefault="00000000">
      <w:pPr>
        <w:pStyle w:val="BodyText"/>
      </w:pPr>
      <w:r>
        <w:t xml:space="preserve">Broad definitions of the demand characteristics construct presented us with yet another challenge. At its broadest, demand characteristics are defined as almost </w:t>
      </w:r>
      <w:r>
        <w:rPr>
          <w:i/>
          <w:iCs/>
        </w:rPr>
        <w:t>any</w:t>
      </w:r>
      <w:r>
        <w:t xml:space="preserve"> cue that may impact participants’ understanding of the purpose of the study, including instructions, rumors, and experimenter behavior (Orne, 1962). However, such a definition arguably creates a boundless conceptual space where any systematic change in a research design or setting might be considered a threat to scientific inferences. We focused our meta-analysis on a subset of the conceptual space that is more amenable to precise definition and study: explicit cues of the study hypothesis. Although we do not reject broader definitions of demand characteristics, we suspect that such broadening will only further deepen the mystery surrounding their effects.</w:t>
      </w:r>
    </w:p>
    <w:p w14:paraId="21E40644" w14:textId="77777777" w:rsidR="001E6401" w:rsidRDefault="00000000">
      <w:pPr>
        <w:pStyle w:val="BodyText"/>
      </w:pPr>
      <w:r>
        <w:lastRenderedPageBreak/>
        <w:t>Even with our relatively narrow subset of the demand characteristics literature, there are commensurability challenges. Researchers have tested the effects of explicit hypothesis cues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(e.g., Coles et al., 2022).</w:t>
      </w:r>
      <w:r>
        <w:rPr>
          <w:rStyle w:val="FootnoteReference"/>
        </w:rPr>
        <w:footnoteReference w:id="8"/>
      </w:r>
      <w:r>
        <w:t xml:space="preserve"> We generally failed to uncover evidence that such methodological differences explain a meaningful proportion of variability in demand effects. Nonetheless, it is possible that such a large number of [often unsystematic] differences between studies limits power to detect meaningful moderators in the demand characteristics literature. However, we </w:t>
      </w:r>
      <w:r>
        <w:lastRenderedPageBreak/>
        <w:t>note that high heterogeneity was also observed in a six-lab investigation of demand effects in conformity research (Coles et al., 2024)</w:t>
      </w:r>
      <w:r>
        <w:rPr>
          <w:rStyle w:val="FootnoteReference"/>
        </w:rPr>
        <w:footnoteReference w:id="9"/>
      </w:r>
      <w:r>
        <w:t>.</w:t>
      </w:r>
    </w:p>
    <w:p w14:paraId="43D11C5F" w14:textId="77777777" w:rsidR="001E6401" w:rsidRDefault="00000000">
      <w:pPr>
        <w:pStyle w:val="BodyText"/>
      </w:pPr>
      <w:r>
        <w:t>Last, although we performed a large number of robustness checks, these checks certainly were not exhaustive. Future researchers may wish to consider alternative search strategies, inclusion criteria, approaches to quantifying effects, methods for estimating participant judgments, and decisions about how to model the data.</w:t>
      </w:r>
    </w:p>
    <w:p w14:paraId="483A2ECB" w14:textId="77777777" w:rsidR="001E6401" w:rsidRDefault="00000000">
      <w:pPr>
        <w:pStyle w:val="BodyText"/>
      </w:pPr>
      <w:r>
        <w:t>We do not deny the importance of these methodological limitations. Instead, we point out that we suspect they do little to change our conclusion: demand effects can be inferentially consequential – but are unreliable, difficult to predict, and challenging to explain.</w:t>
      </w:r>
    </w:p>
    <w:p w14:paraId="7B220A1E" w14:textId="77777777" w:rsidR="001E6401" w:rsidRDefault="00000000">
      <w:pPr>
        <w:pStyle w:val="Heading2"/>
      </w:pPr>
      <w:bookmarkStart w:id="76" w:name="concluding-remarks"/>
      <w:bookmarkEnd w:id="75"/>
      <w:r>
        <w:t>Concluding Remarks</w:t>
      </w:r>
    </w:p>
    <w:p w14:paraId="63EB2213" w14:textId="77777777" w:rsidR="001E6401" w:rsidRDefault="00000000">
      <w:pPr>
        <w:pStyle w:val="FirstParagraph"/>
      </w:pPr>
      <w:r>
        <w:t>Since Orne (1962) famously described the idea over 50 years ago, demand characteristics have become a literal textbook methodological concern in experimental psychology (Sharpe &amp; Whelton, 2016). Orne (1962) further suggested that demand characteristics constituted an omnipresent threat to the validity of experimental psychology, arguing that “…all experiments will have demand characteristics, and these will always have some effects” (1962, p. 779). Consequently, it is perhaps not surprising that significant effort has been dedicated to their study.</w:t>
      </w:r>
    </w:p>
    <w:p w14:paraId="4E87126F" w14:textId="77777777" w:rsidR="001E6401" w:rsidRDefault="00000000">
      <w:pPr>
        <w:pStyle w:val="BodyText"/>
      </w:pPr>
      <w:r>
        <w:t xml:space="preserve">Unfortunately, it is not clear if much has been learned in these 50+ years since Orne warned of this “omnipresent threat”. Our review suggests that demand effects can indeed be inferentially consequential – but are also unreliable, difficult to predict, and challenging to </w:t>
      </w:r>
      <w:r>
        <w:lastRenderedPageBreak/>
        <w:t>explain. We imagine two potential responses from psychologists. One possibility is that we revive efforts to understand demand effects – i.e., investigate the individual differences, situational factors, and mechanisms driving their heterogeneity. A second possibility is that we continue business as usual: paying lip service to demand characteristics as a fundamental methodological issue, acknowledging that it threatens the validity of experimental psychology on multiple fronts, and making little progress towards a precise understanding of its effects. Based on what we have observed from the past half century, we pessimistically hypothesize that psychologists will continue to do the latter. Ironically, though, the effects of our explicitly stated hypothesis remain unclear.</w:t>
      </w:r>
    </w:p>
    <w:p w14:paraId="259DC2B2" w14:textId="77777777" w:rsidR="00BA47C3" w:rsidRDefault="00BA47C3">
      <w:pPr>
        <w:spacing w:before="0" w:after="200" w:line="240" w:lineRule="auto"/>
        <w:rPr>
          <w:rFonts w:eastAsiaTheme="majorEastAsia" w:cstheme="majorBidi"/>
          <w:b/>
          <w:bCs/>
          <w:szCs w:val="32"/>
        </w:rPr>
      </w:pPr>
      <w:bookmarkStart w:id="77" w:name="references"/>
      <w:bookmarkEnd w:id="72"/>
      <w:bookmarkEnd w:id="76"/>
      <w:r>
        <w:br w:type="page"/>
      </w:r>
    </w:p>
    <w:p w14:paraId="2EDB1CDE" w14:textId="5B1DE9C3" w:rsidR="001E6401" w:rsidRDefault="00000000">
      <w:pPr>
        <w:pStyle w:val="Heading1"/>
      </w:pPr>
      <w:r>
        <w:lastRenderedPageBreak/>
        <w:t>References</w:t>
      </w:r>
    </w:p>
    <w:p w14:paraId="26EF43BF" w14:textId="77777777" w:rsidR="001E6401" w:rsidRDefault="00000000">
      <w:pPr>
        <w:pStyle w:val="FirstParagraph"/>
      </w:pPr>
      <w:r>
        <w:t>References marked with an asterisk indicate studies included in the meta-analysis.</w:t>
      </w:r>
    </w:p>
    <w:p w14:paraId="4406BAB9" w14:textId="6369A0B9" w:rsidR="001E6401" w:rsidRDefault="00000000">
      <w:pPr>
        <w:pStyle w:val="Bibliography"/>
      </w:pPr>
      <w:bookmarkStart w:id="78" w:name="ref-allen2012demand"/>
      <w:bookmarkStart w:id="79"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r w:rsidR="00E40723">
        <w:t xml:space="preserve"> </w:t>
      </w:r>
      <w:r w:rsidR="00E40723" w:rsidRPr="00E40723">
        <w:t>https://doi.org/0.1016/j.appet.2012.05.026</w:t>
      </w:r>
    </w:p>
    <w:p w14:paraId="513617DC" w14:textId="77777777" w:rsidR="001E6401" w:rsidRDefault="00000000">
      <w:pPr>
        <w:pStyle w:val="Bibliography"/>
      </w:pPr>
      <w:bookmarkStart w:id="80" w:name="ref-R-papaja"/>
      <w:bookmarkEnd w:id="78"/>
      <w:r>
        <w:t xml:space="preserve">Aust, F., &amp; Barth, M. (2022). </w:t>
      </w:r>
      <w:r>
        <w:rPr>
          <w:i/>
          <w:iCs/>
        </w:rPr>
        <w:t>papaja: Prepare reproducible APA journal articles with R Markdown</w:t>
      </w:r>
      <w:r>
        <w:t xml:space="preserve">. Retrieved from </w:t>
      </w:r>
      <w:hyperlink r:id="rId12">
        <w:r w:rsidR="001E6401">
          <w:rPr>
            <w:rStyle w:val="Hyperlink"/>
          </w:rPr>
          <w:t>https://github.com/crsh/papaja</w:t>
        </w:r>
      </w:hyperlink>
    </w:p>
    <w:p w14:paraId="233E25CB" w14:textId="0060EA9F" w:rsidR="001E6401" w:rsidRDefault="00000000">
      <w:pPr>
        <w:pStyle w:val="Bibliography"/>
      </w:pPr>
      <w:bookmarkStart w:id="81" w:name="ref-balze1998role"/>
      <w:bookmarkEnd w:id="80"/>
      <w:r>
        <w:rPr>
          <w:vertAlign w:val="superscript"/>
        </w:rPr>
        <w:t>*</w:t>
      </w:r>
      <w:r>
        <w:t xml:space="preserve"> Balze, E. M. (1998). </w:t>
      </w:r>
      <w:r>
        <w:rPr>
          <w:i/>
          <w:iCs/>
        </w:rPr>
        <w:t>The role of expectancy in treatment efficacy: The use of a therapeutic" frame" to enhance performance</w:t>
      </w:r>
      <w:r>
        <w:t xml:space="preserve"> (PhD thesis).</w:t>
      </w:r>
      <w:r w:rsidR="00E40723">
        <w:t xml:space="preserve"> </w:t>
      </w:r>
    </w:p>
    <w:p w14:paraId="223CB28B" w14:textId="0FCC5DF0" w:rsidR="001E6401" w:rsidRDefault="00000000">
      <w:pPr>
        <w:pStyle w:val="Bibliography"/>
      </w:pPr>
      <w:bookmarkStart w:id="82" w:name="ref-barabasz1991effects"/>
      <w:bookmarkEnd w:id="81"/>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r w:rsidR="00E40723">
        <w:t xml:space="preserve"> </w:t>
      </w:r>
      <w:r w:rsidR="00E40723" w:rsidRPr="00E40723">
        <w:t>https://doi.org/0.2466/pms.1991.73.1.83</w:t>
      </w:r>
    </w:p>
    <w:p w14:paraId="0D9A3127" w14:textId="2052B8C4" w:rsidR="001E6401" w:rsidRDefault="00000000">
      <w:pPr>
        <w:pStyle w:val="Bibliography"/>
      </w:pPr>
      <w:bookmarkStart w:id="83" w:name="ref-bartels2019revisiting"/>
      <w:bookmarkEnd w:id="82"/>
      <w:r>
        <w:t xml:space="preserve">Bartels, J. (2019). Revisiting the stanford prison experiment, again: Examining demand characteristics in the guard orientation. </w:t>
      </w:r>
      <w:r>
        <w:rPr>
          <w:i/>
          <w:iCs/>
        </w:rPr>
        <w:t>The Journal of Social Psychology</w:t>
      </w:r>
      <w:r>
        <w:t xml:space="preserve">, </w:t>
      </w:r>
      <w:r>
        <w:rPr>
          <w:i/>
          <w:iCs/>
        </w:rPr>
        <w:t>159</w:t>
      </w:r>
      <w:r>
        <w:t>(6), 780–790.</w:t>
      </w:r>
      <w:r w:rsidR="00E40723">
        <w:t xml:space="preserve"> </w:t>
      </w:r>
      <w:r w:rsidR="00E40723" w:rsidRPr="00E40723">
        <w:t>https://doi.org/10.1080/00224545.2019.1596058</w:t>
      </w:r>
    </w:p>
    <w:p w14:paraId="6F5C508D" w14:textId="015CC63F" w:rsidR="001E6401" w:rsidRDefault="00000000">
      <w:pPr>
        <w:pStyle w:val="Bibliography"/>
      </w:pPr>
      <w:bookmarkStart w:id="84" w:name="ref-R-lme4"/>
      <w:bookmarkEnd w:id="83"/>
      <w:r>
        <w:t xml:space="preserve">Bates, D., Mächler, M., Bolker, B., &amp; Walker, S. (2015). Fitting linear mixed-effects models using lme4. </w:t>
      </w:r>
      <w:r>
        <w:rPr>
          <w:i/>
          <w:iCs/>
        </w:rPr>
        <w:t>Journal of Statistical Software</w:t>
      </w:r>
      <w:r>
        <w:t xml:space="preserve">, </w:t>
      </w:r>
      <w:r>
        <w:rPr>
          <w:i/>
          <w:iCs/>
        </w:rPr>
        <w:t>67</w:t>
      </w:r>
      <w:r>
        <w:t>(1), 1–48.</w:t>
      </w:r>
      <w:r w:rsidR="00E40723">
        <w:t xml:space="preserve"> </w:t>
      </w:r>
      <w:r w:rsidR="00E40723" w:rsidRPr="00E40723">
        <w:t>https://doi.org/10.18637/jss.v067.i01</w:t>
      </w:r>
    </w:p>
    <w:p w14:paraId="438B1195" w14:textId="01F9AA36" w:rsidR="001E6401" w:rsidRDefault="00000000">
      <w:pPr>
        <w:pStyle w:val="Bibliography"/>
      </w:pPr>
      <w:bookmarkStart w:id="85" w:name="ref-borenstein2009effect"/>
      <w:bookmarkEnd w:id="84"/>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492E4B3C" w14:textId="5CB54626" w:rsidR="001E6401" w:rsidRDefault="00000000">
      <w:pPr>
        <w:pStyle w:val="Bibliography"/>
      </w:pPr>
      <w:bookmarkStart w:id="86" w:name="ref-borenstein2011introduction"/>
      <w:bookmarkEnd w:id="85"/>
      <w:r>
        <w:lastRenderedPageBreak/>
        <w:t xml:space="preserve">Borenstein, M., Hedges, L. V., Higgins, J. P., &amp; Rothstein, H. R. (2011). </w:t>
      </w:r>
      <w:r>
        <w:rPr>
          <w:i/>
          <w:iCs/>
        </w:rPr>
        <w:t>Introduction to meta-analysis</w:t>
      </w:r>
      <w:r>
        <w:t>. John Wiley &amp; Sons.</w:t>
      </w:r>
      <w:r w:rsidR="00E40723">
        <w:t xml:space="preserve"> </w:t>
      </w:r>
      <w:r w:rsidR="00E40723" w:rsidRPr="00E40723">
        <w:t>https://doi.org/</w:t>
      </w:r>
      <w:r w:rsidR="00E40723">
        <w:t>1</w:t>
      </w:r>
      <w:r w:rsidR="00E40723" w:rsidRPr="00E40723">
        <w:t>0.1002/9780470743386</w:t>
      </w:r>
    </w:p>
    <w:p w14:paraId="100908ED" w14:textId="32A9AF3E" w:rsidR="001E6401" w:rsidRDefault="00000000">
      <w:pPr>
        <w:pStyle w:val="Bibliography"/>
      </w:pPr>
      <w:bookmarkStart w:id="87" w:name="ref-busch2007follow"/>
      <w:bookmarkEnd w:id="86"/>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r w:rsidR="00E40723">
        <w:t xml:space="preserve"> </w:t>
      </w:r>
      <w:r w:rsidR="00E40723" w:rsidRPr="00E40723">
        <w:t>https://doi.org/0.1007/s10608-007-9121-6</w:t>
      </w:r>
    </w:p>
    <w:p w14:paraId="45A8348E" w14:textId="77777777" w:rsidR="001E6401" w:rsidRDefault="00000000">
      <w:pPr>
        <w:pStyle w:val="Bibliography"/>
      </w:pPr>
      <w:bookmarkStart w:id="88" w:name="ref-R-weightr"/>
      <w:bookmarkEnd w:id="87"/>
      <w:r>
        <w:t xml:space="preserve">Coburn, K. M., &amp; Vevea, J. L. (2019). </w:t>
      </w:r>
      <w:r>
        <w:rPr>
          <w:i/>
          <w:iCs/>
        </w:rPr>
        <w:t>Weightr: Estimating weight-function models for publication bias</w:t>
      </w:r>
      <w:r>
        <w:t xml:space="preserve">. Retrieved from </w:t>
      </w:r>
      <w:hyperlink r:id="rId13">
        <w:r w:rsidR="001E6401">
          <w:rPr>
            <w:rStyle w:val="Hyperlink"/>
          </w:rPr>
          <w:t>https://CRAN.R-project.org/package=weightr</w:t>
        </w:r>
      </w:hyperlink>
    </w:p>
    <w:p w14:paraId="60F4F7DC" w14:textId="08EFD789" w:rsidR="001E6401" w:rsidRDefault="00000000">
      <w:pPr>
        <w:pStyle w:val="Bibliography"/>
      </w:pPr>
      <w:bookmarkStart w:id="89" w:name="ref-cohen1988statistical"/>
      <w:bookmarkEnd w:id="88"/>
      <w:r>
        <w:t xml:space="preserve">Cohen, J. (2013). </w:t>
      </w:r>
      <w:r>
        <w:rPr>
          <w:i/>
          <w:iCs/>
        </w:rPr>
        <w:t>Statistical power analysis for the behavioral sciences</w:t>
      </w:r>
      <w:r>
        <w:t xml:space="preserve"> (Vol. 2). New York, NY: Lawrence Erlbaum Associates.</w:t>
      </w:r>
      <w:r w:rsidR="00E40723">
        <w:t xml:space="preserve"> </w:t>
      </w:r>
      <w:r w:rsidR="00E40723" w:rsidRPr="00E40723">
        <w:t>https://doi.org/10.4324/9780203771587</w:t>
      </w:r>
    </w:p>
    <w:p w14:paraId="30D5AFAE" w14:textId="78C3DA64" w:rsidR="001E6401" w:rsidRDefault="00000000">
      <w:pPr>
        <w:pStyle w:val="Bibliography"/>
      </w:pPr>
      <w:bookmarkStart w:id="90" w:name="ref-coles2022fact"/>
      <w:bookmarkEnd w:id="89"/>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r w:rsidR="00E40723" w:rsidRPr="00E40723">
        <w:t xml:space="preserve"> https://doi.org/10.1037/pspa0000316</w:t>
      </w:r>
    </w:p>
    <w:p w14:paraId="10C16A40" w14:textId="191895C4" w:rsidR="001E6401" w:rsidRDefault="00000000">
      <w:pPr>
        <w:pStyle w:val="Bibliography"/>
      </w:pPr>
      <w:bookmarkStart w:id="91" w:name="ref-coles2024replication"/>
      <w:bookmarkEnd w:id="90"/>
      <w:r>
        <w:rPr>
          <w:vertAlign w:val="superscript"/>
        </w:rPr>
        <w:t>*</w:t>
      </w:r>
      <w:r>
        <w:t xml:space="preserve"> Coles, N. A., McCullough, M., Oishi, S., Dang, A., McCauley, T., Pfattheicher, S., … Sarabia, V. (2024). </w:t>
      </w:r>
      <w:r w:rsidR="00BA47C3">
        <w:rPr>
          <w:i/>
          <w:iCs/>
        </w:rPr>
        <w:t>Six u</w:t>
      </w:r>
      <w:r>
        <w:rPr>
          <w:i/>
          <w:iCs/>
        </w:rPr>
        <w:t xml:space="preserve">npublished </w:t>
      </w:r>
      <w:r w:rsidR="00BA47C3">
        <w:rPr>
          <w:i/>
          <w:iCs/>
        </w:rPr>
        <w:t>investigations of the role of demand characteristics in a conformity paradigm</w:t>
      </w:r>
      <w:r>
        <w:t>.</w:t>
      </w:r>
    </w:p>
    <w:p w14:paraId="6715CA07" w14:textId="403CC65E" w:rsidR="001E6401" w:rsidRDefault="00000000">
      <w:pPr>
        <w:pStyle w:val="Bibliography"/>
      </w:pPr>
      <w:bookmarkStart w:id="92" w:name="ref-coles2023replication"/>
      <w:bookmarkEnd w:id="91"/>
      <w:r>
        <w:rPr>
          <w:vertAlign w:val="superscript"/>
        </w:rPr>
        <w:t>*</w:t>
      </w:r>
      <w:r>
        <w:t xml:space="preserve"> Coles, N. A., Wyatt, M., &amp; Frank, M. C. (2023). </w:t>
      </w:r>
      <w:r w:rsidR="00193D92" w:rsidRPr="00193D92">
        <w:rPr>
          <w:i/>
          <w:iCs/>
        </w:rPr>
        <w:t>Coles, Wyatt, and Frank unpublished replication of Coles et al. 2022</w:t>
      </w:r>
      <w:r>
        <w:t>.</w:t>
      </w:r>
    </w:p>
    <w:p w14:paraId="49F451E6" w14:textId="4E1AC4F3" w:rsidR="001E6401" w:rsidRDefault="00000000">
      <w:pPr>
        <w:pStyle w:val="Bibliography"/>
      </w:pPr>
      <w:bookmarkStart w:id="93" w:name="ref-cook1970demand"/>
      <w:bookmarkEnd w:id="92"/>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r w:rsidR="00E40723">
        <w:t xml:space="preserve"> </w:t>
      </w:r>
      <w:r w:rsidR="00E40723" w:rsidRPr="00E40723">
        <w:t>https://doi.org/10.1037/h0028849</w:t>
      </w:r>
    </w:p>
    <w:p w14:paraId="3CF6B8D9" w14:textId="06A5B53F" w:rsidR="001E6401" w:rsidRDefault="00000000">
      <w:pPr>
        <w:pStyle w:val="Bibliography"/>
      </w:pPr>
      <w:bookmarkStart w:id="94" w:name="ref-corneille2023instruction"/>
      <w:bookmarkEnd w:id="93"/>
      <w:r>
        <w:lastRenderedPageBreak/>
        <w:t xml:space="preserve">Corneille, O., &amp; Béna, J. (2023). Instruction-based replication studies raise challenging questions for psychological science. </w:t>
      </w:r>
      <w:r>
        <w:rPr>
          <w:i/>
          <w:iCs/>
        </w:rPr>
        <w:t>Collabra: Psychology</w:t>
      </w:r>
      <w:r>
        <w:t xml:space="preserve">, </w:t>
      </w:r>
      <w:r>
        <w:rPr>
          <w:i/>
          <w:iCs/>
        </w:rPr>
        <w:t>9</w:t>
      </w:r>
      <w:r>
        <w:t>(1).</w:t>
      </w:r>
      <w:r w:rsidR="00E40723">
        <w:t xml:space="preserve"> </w:t>
      </w:r>
      <w:r w:rsidR="00E40723" w:rsidRPr="00E40723">
        <w:t>https://doi.org/10.1525/collabra.82234</w:t>
      </w:r>
    </w:p>
    <w:p w14:paraId="601E43EF" w14:textId="38906864" w:rsidR="001E6401" w:rsidRDefault="00000000">
      <w:pPr>
        <w:pStyle w:val="Bibliography"/>
      </w:pPr>
      <w:bookmarkStart w:id="95" w:name="ref-corneille2022sixty"/>
      <w:bookmarkEnd w:id="94"/>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r w:rsidR="00E40723">
        <w:t xml:space="preserve"> </w:t>
      </w:r>
      <w:r w:rsidR="00E40723" w:rsidRPr="00E40723">
        <w:t>https://doi.org/10.1177/10888683221104368</w:t>
      </w:r>
    </w:p>
    <w:p w14:paraId="0420FF45" w14:textId="04DA8182" w:rsidR="001E6401" w:rsidRDefault="00000000">
      <w:pPr>
        <w:pStyle w:val="Bibliography"/>
      </w:pPr>
      <w:bookmarkStart w:id="96" w:name="ref-cramer2004effect"/>
      <w:bookmarkEnd w:id="95"/>
      <w:r>
        <w:rPr>
          <w:vertAlign w:val="superscript"/>
        </w:rPr>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r w:rsidR="00E40723">
        <w:t xml:space="preserve"> </w:t>
      </w:r>
      <w:r w:rsidR="00E40723" w:rsidRPr="00E40723">
        <w:t>https://doi.org/10.1348/147608304322874290</w:t>
      </w:r>
    </w:p>
    <w:p w14:paraId="00EDAC92" w14:textId="3B4177B8" w:rsidR="001E6401" w:rsidRDefault="00000000">
      <w:pPr>
        <w:pStyle w:val="Bibliography"/>
      </w:pPr>
      <w:bookmarkStart w:id="97" w:name="ref-cramer2005effect"/>
      <w:bookmarkEnd w:id="96"/>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r w:rsidR="00E40723">
        <w:t xml:space="preserve"> </w:t>
      </w:r>
      <w:r w:rsidR="00E40723" w:rsidRPr="00E40723">
        <w:t>https://doi.org/10.3200/JRLP.139.1.57-66</w:t>
      </w:r>
    </w:p>
    <w:p w14:paraId="390220DA" w14:textId="4C5A86FD" w:rsidR="001E6401" w:rsidRDefault="00000000">
      <w:pPr>
        <w:pStyle w:val="Bibliography"/>
      </w:pPr>
      <w:bookmarkStart w:id="98" w:name="ref-cramer1995effect"/>
      <w:bookmarkEnd w:id="97"/>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r w:rsidR="00E40723">
        <w:t xml:space="preserve"> </w:t>
      </w:r>
      <w:r w:rsidR="00E40723" w:rsidRPr="00E40723">
        <w:t>https://doi.org/10.1080/00223980.1995.9914964</w:t>
      </w:r>
    </w:p>
    <w:p w14:paraId="1A0A8F32" w14:textId="496259EE" w:rsidR="00E40723" w:rsidRPr="00E40723" w:rsidRDefault="00000000" w:rsidP="00E40723">
      <w:bookmarkStart w:id="99" w:name="ref-de2020cross"/>
      <w:bookmarkEnd w:id="98"/>
      <w:r>
        <w:t xml:space="preserve">De </w:t>
      </w:r>
      <w:proofErr w:type="spellStart"/>
      <w:r>
        <w:t>Rooij</w:t>
      </w:r>
      <w:proofErr w:type="spellEnd"/>
      <w:r>
        <w:t xml:space="preserve">, M., &amp; Weeda, W. (2020). Cross-validation: A method every psychologist should know. </w:t>
      </w:r>
      <w:r>
        <w:rPr>
          <w:i/>
          <w:iCs/>
        </w:rPr>
        <w:t>Advances in Methods and Practices in Psychological Science</w:t>
      </w:r>
      <w:r>
        <w:t xml:space="preserve">, </w:t>
      </w:r>
      <w:r>
        <w:rPr>
          <w:i/>
          <w:iCs/>
        </w:rPr>
        <w:t>3</w:t>
      </w:r>
      <w:r>
        <w:t>(2), 248–263.</w:t>
      </w:r>
      <w:r w:rsidR="00E40723">
        <w:t xml:space="preserve"> </w:t>
      </w:r>
      <w:r w:rsidR="00E40723" w:rsidRPr="00E40723">
        <w:t>https://doi.org/10.1177/2515245919898466</w:t>
      </w:r>
    </w:p>
    <w:p w14:paraId="21B30D6F" w14:textId="22243A5F" w:rsidR="001E6401" w:rsidRDefault="001E6401">
      <w:pPr>
        <w:pStyle w:val="Bibliography"/>
      </w:pPr>
    </w:p>
    <w:p w14:paraId="6D173024" w14:textId="0F0A6096" w:rsidR="001E6401" w:rsidRDefault="00000000">
      <w:pPr>
        <w:pStyle w:val="Bibliography"/>
      </w:pPr>
      <w:bookmarkStart w:id="100" w:name="ref-downs1998feasibility"/>
      <w:bookmarkEnd w:id="99"/>
      <w:r>
        <w:lastRenderedPageBreak/>
        <w:t xml:space="preserve">Downs, S. H., &amp; Black, N. (1998). The feasibility of creating a checklist for the assessment of the methodological quality both of randomised and non-randomised studies of health care interventions. </w:t>
      </w:r>
      <w:r>
        <w:rPr>
          <w:i/>
          <w:iCs/>
        </w:rPr>
        <w:t>Journal of Epidemiology &amp; Community Health</w:t>
      </w:r>
      <w:r>
        <w:t xml:space="preserve">, </w:t>
      </w:r>
      <w:r>
        <w:rPr>
          <w:i/>
          <w:iCs/>
        </w:rPr>
        <w:t>52</w:t>
      </w:r>
      <w:r>
        <w:t>(6), 377–384.</w:t>
      </w:r>
      <w:r w:rsidR="00E40723">
        <w:t xml:space="preserve"> </w:t>
      </w:r>
      <w:r w:rsidR="00E40723" w:rsidRPr="00E40723">
        <w:t>https://doi.org/10.1136/jech.52.6.377</w:t>
      </w:r>
    </w:p>
    <w:p w14:paraId="2D9EC699" w14:textId="005AB26F" w:rsidR="001E6401" w:rsidRDefault="00000000">
      <w:pPr>
        <w:pStyle w:val="Bibliography"/>
      </w:pPr>
      <w:bookmarkStart w:id="101" w:name="ref-drevon2017intercoder"/>
      <w:bookmarkEnd w:id="100"/>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r w:rsidR="00E40723">
        <w:t xml:space="preserve"> </w:t>
      </w:r>
      <w:r w:rsidR="00E40723" w:rsidRPr="00E40723">
        <w:t>https://doi.org/10.1177/0145445516673998</w:t>
      </w:r>
    </w:p>
    <w:p w14:paraId="3F359640" w14:textId="35501A89" w:rsidR="001E6401" w:rsidRDefault="00000000">
      <w:pPr>
        <w:pStyle w:val="Bibliography"/>
      </w:pPr>
      <w:bookmarkStart w:id="102" w:name="ref-durgin2012social"/>
      <w:bookmarkEnd w:id="101"/>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r w:rsidR="00E40723">
        <w:t>-1595</w:t>
      </w:r>
      <w:r>
        <w:t>.</w:t>
      </w:r>
      <w:r w:rsidR="00E40723">
        <w:t xml:space="preserve"> </w:t>
      </w:r>
      <w:r w:rsidR="00E40723" w:rsidRPr="00E40723">
        <w:t>https://doi.org/10.1037/a0027805</w:t>
      </w:r>
    </w:p>
    <w:p w14:paraId="05D1F7B6" w14:textId="3E55749E" w:rsidR="001E6401" w:rsidRDefault="00000000">
      <w:pPr>
        <w:pStyle w:val="Bibliography"/>
      </w:pPr>
      <w:bookmarkStart w:id="103" w:name="ref-earn1979experimental"/>
      <w:bookmarkEnd w:id="102"/>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r w:rsidR="00E40723">
        <w:t xml:space="preserve"> </w:t>
      </w:r>
    </w:p>
    <w:p w14:paraId="6318A827" w14:textId="20A6F802" w:rsidR="001E6401" w:rsidRDefault="00000000">
      <w:pPr>
        <w:pStyle w:val="Bibliography"/>
      </w:pPr>
      <w:bookmarkStart w:id="104" w:name="ref-fillenbaun1970more"/>
      <w:bookmarkEnd w:id="103"/>
      <w:r>
        <w:t xml:space="preserve">Fillenbaun, S., &amp; Frey, R. (1970). More on the" faithful" behavior of suspicious subjects. </w:t>
      </w:r>
      <w:r>
        <w:rPr>
          <w:i/>
          <w:iCs/>
        </w:rPr>
        <w:t>Journal of Personality</w:t>
      </w:r>
      <w:r>
        <w:t xml:space="preserve">, </w:t>
      </w:r>
      <w:r>
        <w:rPr>
          <w:i/>
          <w:iCs/>
        </w:rPr>
        <w:t>38</w:t>
      </w:r>
      <w:r>
        <w:t>(1), 43–51.</w:t>
      </w:r>
      <w:r w:rsidR="00E40723" w:rsidRPr="00E40723">
        <w:t xml:space="preserve"> https://doi.org/10.1111/j.1467-6494.1970.tb00636.x</w:t>
      </w:r>
    </w:p>
    <w:p w14:paraId="43F7D25C" w14:textId="138066C0" w:rsidR="001E6401" w:rsidRDefault="00000000" w:rsidP="0092086F">
      <w:bookmarkStart w:id="105" w:name="ref-flake2020measurement"/>
      <w:bookmarkEnd w:id="104"/>
      <w:r>
        <w:t xml:space="preserve">Flake, J. K., &amp; Fried, E. I. (2020). Measurement schmeasurement: Questionable measurement practices and how to avoid them. </w:t>
      </w:r>
      <w:r>
        <w:rPr>
          <w:i/>
          <w:iCs/>
        </w:rPr>
        <w:t>Advances in Methods and Practices in Psychological Science</w:t>
      </w:r>
      <w:r>
        <w:t xml:space="preserve">, </w:t>
      </w:r>
      <w:r>
        <w:rPr>
          <w:i/>
          <w:iCs/>
        </w:rPr>
        <w:t>3</w:t>
      </w:r>
      <w:r>
        <w:t>(4), 456–465.</w:t>
      </w:r>
      <w:r w:rsidR="00E40723" w:rsidRPr="00E40723">
        <w:t xml:space="preserve"> https://doi.org/</w:t>
      </w:r>
      <w:r w:rsidR="0092086F" w:rsidRPr="0092086F">
        <w:t>10.1177/2515245920952393</w:t>
      </w:r>
    </w:p>
    <w:p w14:paraId="154DE65F" w14:textId="6666C36C" w:rsidR="001E6401" w:rsidRDefault="00000000">
      <w:pPr>
        <w:pStyle w:val="Bibliography"/>
      </w:pPr>
      <w:bookmarkStart w:id="106" w:name="ref-franco2014publication"/>
      <w:bookmarkEnd w:id="105"/>
      <w:r>
        <w:t xml:space="preserve">Franco, A., Malhotra, N., &amp; Simonovits, G. (2014). Publication bias in the social sciences: Unlocking the file drawer. </w:t>
      </w:r>
      <w:r>
        <w:rPr>
          <w:i/>
          <w:iCs/>
        </w:rPr>
        <w:t>Science</w:t>
      </w:r>
      <w:r>
        <w:t xml:space="preserve">, </w:t>
      </w:r>
      <w:r>
        <w:rPr>
          <w:i/>
          <w:iCs/>
        </w:rPr>
        <w:t>345</w:t>
      </w:r>
      <w:r>
        <w:t>(6203), 1502–1505.</w:t>
      </w:r>
      <w:r w:rsidR="0092086F">
        <w:t xml:space="preserve"> </w:t>
      </w:r>
      <w:r w:rsidR="0092086F" w:rsidRPr="00E40723">
        <w:t>https://doi.org/</w:t>
      </w:r>
      <w:r w:rsidR="0092086F" w:rsidRPr="0092086F">
        <w:t>10.1126/science.1255484</w:t>
      </w:r>
    </w:p>
    <w:p w14:paraId="688B80E8" w14:textId="51BFDFA5" w:rsidR="001E6401" w:rsidRDefault="00000000">
      <w:pPr>
        <w:pStyle w:val="Bibliography"/>
      </w:pPr>
      <w:bookmarkStart w:id="107" w:name="ref-frank2023experimentology"/>
      <w:bookmarkEnd w:id="106"/>
      <w:r>
        <w:lastRenderedPageBreak/>
        <w:t xml:space="preserve">Frank, M. C., Braginsky, M., Cachia, J., Coles, N., Hardwicke, T., Hawkins, R., … Williams, R. (2023). </w:t>
      </w:r>
      <w:r>
        <w:rPr>
          <w:i/>
          <w:iCs/>
        </w:rPr>
        <w:t>Experimentology: An open science approach to experimental psychology methods</w:t>
      </w:r>
      <w:r>
        <w:t>. Boston, MA: MIT Press.</w:t>
      </w:r>
      <w:r w:rsidR="0092086F">
        <w:t xml:space="preserve"> </w:t>
      </w:r>
      <w:r w:rsidR="0092086F" w:rsidRPr="00E40723">
        <w:t>https://doi.org/</w:t>
      </w:r>
      <w:r w:rsidR="0092086F" w:rsidRPr="0092086F">
        <w:t>10.25936/3JP6-5M50</w:t>
      </w:r>
    </w:p>
    <w:p w14:paraId="4ADD3F8A" w14:textId="5EAA2C7E" w:rsidR="001E6401" w:rsidRDefault="00000000">
      <w:pPr>
        <w:pStyle w:val="Bibliography"/>
      </w:pPr>
      <w:bookmarkStart w:id="108" w:name="ref-fresson2017role"/>
      <w:bookmarkEnd w:id="107"/>
      <w:r>
        <w:rPr>
          <w:vertAlign w:val="superscript"/>
        </w:rPr>
        <w:t>*</w:t>
      </w:r>
      <w:r>
        <w:t xml:space="preserve"> Fresson, M., Dardenne, B., Geurten, M., Anzaldi, L., &amp; Meulemans, T. (2017). The role of self-transcendence and cognitive processes in the response expectancy effect. </w:t>
      </w:r>
      <w:proofErr w:type="spellStart"/>
      <w:r>
        <w:rPr>
          <w:i/>
          <w:iCs/>
        </w:rPr>
        <w:t>Psychologica</w:t>
      </w:r>
      <w:proofErr w:type="spellEnd"/>
      <w:r>
        <w:rPr>
          <w:i/>
          <w:iCs/>
        </w:rPr>
        <w:t xml:space="preserve"> Belgica</w:t>
      </w:r>
      <w:r>
        <w:t xml:space="preserve">, </w:t>
      </w:r>
      <w:r>
        <w:rPr>
          <w:i/>
          <w:iCs/>
        </w:rPr>
        <w:t>57</w:t>
      </w:r>
      <w:r>
        <w:t>(2), 77–92.</w:t>
      </w:r>
      <w:r w:rsidR="0092086F">
        <w:t xml:space="preserve"> </w:t>
      </w:r>
      <w:r w:rsidR="0092086F" w:rsidRPr="00E40723">
        <w:t>https://doi.org/</w:t>
      </w:r>
      <w:r w:rsidR="0092086F" w:rsidRPr="0092086F">
        <w:t>10.5334/pb.364</w:t>
      </w:r>
    </w:p>
    <w:p w14:paraId="24DB6342" w14:textId="55950E89" w:rsidR="001E6401" w:rsidRDefault="00000000">
      <w:pPr>
        <w:pStyle w:val="Bibliography"/>
      </w:pPr>
      <w:bookmarkStart w:id="109" w:name="ref-gergen1973social"/>
      <w:bookmarkEnd w:id="108"/>
      <w:r>
        <w:t xml:space="preserve">Gergen, K. J. (1973). Social psychology as history. </w:t>
      </w:r>
      <w:r>
        <w:rPr>
          <w:i/>
          <w:iCs/>
        </w:rPr>
        <w:t>Journal of Personality and Social Psychology</w:t>
      </w:r>
      <w:r>
        <w:t xml:space="preserve">, </w:t>
      </w:r>
      <w:r>
        <w:rPr>
          <w:i/>
          <w:iCs/>
        </w:rPr>
        <w:t>26</w:t>
      </w:r>
      <w:r>
        <w:t>(2), 309</w:t>
      </w:r>
      <w:r w:rsidR="0092086F">
        <w:t>-320</w:t>
      </w:r>
      <w:r>
        <w:t>.</w:t>
      </w:r>
      <w:r w:rsidR="0092086F">
        <w:t xml:space="preserve"> </w:t>
      </w:r>
      <w:r w:rsidR="0092086F" w:rsidRPr="00E40723">
        <w:t>https://doi.org/</w:t>
      </w:r>
      <w:r w:rsidR="0092086F" w:rsidRPr="0092086F">
        <w:t>10.1037/h0034436</w:t>
      </w:r>
    </w:p>
    <w:p w14:paraId="0F7B9174" w14:textId="645BEA19" w:rsidR="001E6401" w:rsidRDefault="00000000">
      <w:pPr>
        <w:pStyle w:val="Bibliography"/>
      </w:pPr>
      <w:bookmarkStart w:id="110" w:name="ref-hayes1967two"/>
      <w:bookmarkEnd w:id="109"/>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r w:rsidR="0092086F">
        <w:t xml:space="preserve"> </w:t>
      </w:r>
      <w:r w:rsidR="0092086F" w:rsidRPr="00E40723">
        <w:t>https://doi.org/</w:t>
      </w:r>
      <w:r w:rsidR="0092086F" w:rsidRPr="0092086F">
        <w:t>10.3758/BF03210266</w:t>
      </w:r>
    </w:p>
    <w:p w14:paraId="1287C4A4" w14:textId="696C47C6" w:rsidR="001E6401" w:rsidRDefault="00000000">
      <w:pPr>
        <w:pStyle w:val="Bibliography"/>
      </w:pPr>
      <w:bookmarkStart w:id="111" w:name="ref-hoogeveen2018did"/>
      <w:bookmarkEnd w:id="110"/>
      <w:r>
        <w:rPr>
          <w:vertAlign w:val="superscript"/>
        </w:rPr>
        <w:t>*</w:t>
      </w:r>
      <w:r>
        <w:t xml:space="preserve"> Hoogeveen, S., Schjoedt, U., &amp; Elk, M. van. (2018). Did </w:t>
      </w:r>
      <w:r w:rsidR="0092086F">
        <w:t>I</w:t>
      </w:r>
      <w:r>
        <w:t xml:space="preserve"> do that? Expectancy effects of brain stimulation on error-related negativity and sense of agency. </w:t>
      </w:r>
      <w:r>
        <w:rPr>
          <w:i/>
          <w:iCs/>
        </w:rPr>
        <w:t>Journal of Cognitive Neuroscience</w:t>
      </w:r>
      <w:r>
        <w:t xml:space="preserve">, </w:t>
      </w:r>
      <w:r>
        <w:rPr>
          <w:i/>
          <w:iCs/>
        </w:rPr>
        <w:t>30</w:t>
      </w:r>
      <w:r>
        <w:t>(11), 1720–1733.</w:t>
      </w:r>
      <w:r w:rsidR="0092086F">
        <w:t xml:space="preserve"> </w:t>
      </w:r>
      <w:r w:rsidR="0092086F" w:rsidRPr="00E40723">
        <w:t>https://doi.org/</w:t>
      </w:r>
      <w:r w:rsidR="0092086F" w:rsidRPr="0092086F">
        <w:t>10.1162/jocn_a_01297</w:t>
      </w:r>
    </w:p>
    <w:p w14:paraId="7D8F9593" w14:textId="53D0444C" w:rsidR="001E6401" w:rsidRDefault="00000000">
      <w:pPr>
        <w:pStyle w:val="Bibliography"/>
      </w:pPr>
      <w:bookmarkStart w:id="112" w:name="ref-hyman1954interviewing"/>
      <w:bookmarkEnd w:id="111"/>
      <w:r>
        <w:t xml:space="preserve">Hyman, H. H. (1954). </w:t>
      </w:r>
      <w:r>
        <w:rPr>
          <w:i/>
          <w:iCs/>
        </w:rPr>
        <w:t>Interviewing in social research</w:t>
      </w:r>
      <w:r>
        <w:t>. Chicago, IL: University of Chicago Press.</w:t>
      </w:r>
      <w:r w:rsidR="0092086F">
        <w:t xml:space="preserve"> </w:t>
      </w:r>
    </w:p>
    <w:p w14:paraId="086A2BFB" w14:textId="4A54A12D" w:rsidR="001E6401" w:rsidRDefault="00000000">
      <w:pPr>
        <w:pStyle w:val="Bibliography"/>
      </w:pPr>
      <w:bookmarkStart w:id="113" w:name="ref-isager2022student"/>
      <w:bookmarkEnd w:id="112"/>
      <w:r>
        <w:rPr>
          <w:vertAlign w:val="superscript"/>
        </w:rPr>
        <w:t>*</w:t>
      </w:r>
      <w:r>
        <w:t xml:space="preserve"> Isager, P. (2022). </w:t>
      </w:r>
      <w:r>
        <w:rPr>
          <w:i/>
          <w:iCs/>
        </w:rPr>
        <w:t xml:space="preserve">Student replication of </w:t>
      </w:r>
      <w:r w:rsidR="0092086F">
        <w:rPr>
          <w:i/>
          <w:iCs/>
        </w:rPr>
        <w:t>C</w:t>
      </w:r>
      <w:r>
        <w:rPr>
          <w:i/>
          <w:iCs/>
        </w:rPr>
        <w:t>oles et al. 2022</w:t>
      </w:r>
      <w:r>
        <w:t>.</w:t>
      </w:r>
    </w:p>
    <w:p w14:paraId="6C25EE29" w14:textId="60C8981F" w:rsidR="001E6401" w:rsidRDefault="00000000">
      <w:pPr>
        <w:pStyle w:val="Bibliography"/>
      </w:pPr>
      <w:bookmarkStart w:id="114" w:name="ref-kanter2004experimental"/>
      <w:bookmarkEnd w:id="113"/>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r w:rsidR="0092086F">
        <w:t xml:space="preserve"> </w:t>
      </w:r>
      <w:r w:rsidR="0092086F" w:rsidRPr="00E40723">
        <w:t>https://doi.org/</w:t>
      </w:r>
      <w:r w:rsidR="0092086F" w:rsidRPr="0092086F">
        <w:t>10.1023/B:COTR.0000021542.40547.15</w:t>
      </w:r>
    </w:p>
    <w:p w14:paraId="062E7AA8" w14:textId="4EA25955" w:rsidR="001E6401" w:rsidRDefault="00000000">
      <w:pPr>
        <w:pStyle w:val="Bibliography"/>
      </w:pPr>
      <w:bookmarkStart w:id="115" w:name="ref-kenealy1988validation"/>
      <w:bookmarkEnd w:id="114"/>
      <w:r>
        <w:rPr>
          <w:vertAlign w:val="superscript"/>
        </w:rPr>
        <w:lastRenderedPageBreak/>
        <w:t>*</w:t>
      </w:r>
      <w:r>
        <w:t xml:space="preserve"> Kenealy, P. (1988). Validation of a music mood induction procedure: Some preliminary findings. </w:t>
      </w:r>
      <w:r>
        <w:rPr>
          <w:i/>
          <w:iCs/>
        </w:rPr>
        <w:t>Cognition &amp; Emotion</w:t>
      </w:r>
      <w:r>
        <w:t xml:space="preserve">, </w:t>
      </w:r>
      <w:r>
        <w:rPr>
          <w:i/>
          <w:iCs/>
        </w:rPr>
        <w:t>2</w:t>
      </w:r>
      <w:r>
        <w:t>(1), 41–48.</w:t>
      </w:r>
      <w:r w:rsidR="0092086F">
        <w:t xml:space="preserve"> </w:t>
      </w:r>
      <w:r w:rsidR="0092086F" w:rsidRPr="00E40723">
        <w:t>https://doi.org/</w:t>
      </w:r>
      <w:r w:rsidR="0092086F" w:rsidRPr="0092086F">
        <w:t>10.1080/02699938808415228</w:t>
      </w:r>
    </w:p>
    <w:p w14:paraId="402437C1" w14:textId="763CA545" w:rsidR="001E6401" w:rsidRDefault="00000000">
      <w:pPr>
        <w:pStyle w:val="Bibliography"/>
      </w:pPr>
      <w:bookmarkStart w:id="116" w:name="ref-kersbergen2019hypothesis"/>
      <w:bookmarkEnd w:id="115"/>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r w:rsidR="0092086F">
        <w:t xml:space="preserve"> </w:t>
      </w:r>
      <w:r w:rsidR="0092086F" w:rsidRPr="00E40723">
        <w:t>https://doi.org/</w:t>
      </w:r>
      <w:r w:rsidR="0092086F" w:rsidRPr="0092086F">
        <w:t>10.1016/j.appet.2019.104318</w:t>
      </w:r>
    </w:p>
    <w:p w14:paraId="487BADD8" w14:textId="1B3F503B" w:rsidR="001E6401" w:rsidRDefault="00000000">
      <w:pPr>
        <w:pStyle w:val="Bibliography"/>
      </w:pPr>
      <w:bookmarkStart w:id="117" w:name="ref-lamberth1971similarity"/>
      <w:bookmarkEnd w:id="116"/>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7E5BB654" w14:textId="190A7127" w:rsidR="001E6401" w:rsidRDefault="00000000">
      <w:pPr>
        <w:pStyle w:val="Bibliography"/>
      </w:pPr>
      <w:bookmarkStart w:id="118" w:name="ref-larsen2011further"/>
      <w:bookmarkEnd w:id="117"/>
      <w:r>
        <w:rPr>
          <w:vertAlign w:val="superscript"/>
        </w:rPr>
        <w:t>*</w:t>
      </w:r>
      <w:r>
        <w:t xml:space="preserve"> Larsen, J. T., &amp; McGraw, A. P. (2011). Further evidence for mixed emotions. </w:t>
      </w:r>
      <w:r>
        <w:rPr>
          <w:i/>
          <w:iCs/>
        </w:rPr>
        <w:t>Journal of Personality and Social Psychology</w:t>
      </w:r>
      <w:r>
        <w:t xml:space="preserve">, </w:t>
      </w:r>
      <w:r>
        <w:rPr>
          <w:i/>
          <w:iCs/>
        </w:rPr>
        <w:t>100</w:t>
      </w:r>
      <w:r>
        <w:t>(6), 1095–1110.</w:t>
      </w:r>
      <w:r w:rsidR="0092086F">
        <w:t xml:space="preserve"> </w:t>
      </w:r>
      <w:r w:rsidR="0092086F" w:rsidRPr="00E40723">
        <w:t>https://doi.org/</w:t>
      </w:r>
      <w:r w:rsidR="0092086F" w:rsidRPr="0092086F">
        <w:t>10.1037/a0021846</w:t>
      </w:r>
    </w:p>
    <w:p w14:paraId="1F6EBCAA" w14:textId="77777777" w:rsidR="001E6401" w:rsidRDefault="00000000">
      <w:pPr>
        <w:pStyle w:val="Bibliography"/>
      </w:pPr>
      <w:bookmarkStart w:id="119" w:name="ref-R-performance"/>
      <w:bookmarkEnd w:id="118"/>
      <w:r>
        <w:t xml:space="preserve">Lüdecke, D., Ben-Shachar, M. S., Patil, I., Waggoner, P., &amp; Makowski, D. (2021). performance: An R package for assessment, comparison and testing of statistical models. </w:t>
      </w:r>
      <w:r>
        <w:rPr>
          <w:i/>
          <w:iCs/>
        </w:rPr>
        <w:t>Journal of Open Source Software</w:t>
      </w:r>
      <w:r>
        <w:t xml:space="preserve">, </w:t>
      </w:r>
      <w:r>
        <w:rPr>
          <w:i/>
          <w:iCs/>
        </w:rPr>
        <w:t>6</w:t>
      </w:r>
      <w:r>
        <w:t xml:space="preserve">(60), 3139. </w:t>
      </w:r>
      <w:hyperlink r:id="rId14">
        <w:r w:rsidR="001E6401">
          <w:rPr>
            <w:rStyle w:val="Hyperlink"/>
          </w:rPr>
          <w:t>https://doi.org/10.21105/joss.03139</w:t>
        </w:r>
      </w:hyperlink>
    </w:p>
    <w:p w14:paraId="76487AE1" w14:textId="692D8B62" w:rsidR="001E6401" w:rsidRDefault="00000000">
      <w:pPr>
        <w:pStyle w:val="Bibliography"/>
      </w:pPr>
      <w:bookmarkStart w:id="120" w:name="ref-martin2018attention"/>
      <w:bookmarkEnd w:id="119"/>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r w:rsidR="0092086F">
        <w:t xml:space="preserve"> </w:t>
      </w:r>
      <w:r w:rsidR="0092086F" w:rsidRPr="00E40723">
        <w:t>https://doi.org/</w:t>
      </w:r>
      <w:r w:rsidR="0092086F" w:rsidRPr="0092086F">
        <w:t>10.1007/s00426-017-0850-1</w:t>
      </w:r>
    </w:p>
    <w:p w14:paraId="559F019F" w14:textId="74FF7605" w:rsidR="001E6401" w:rsidRDefault="00000000">
      <w:pPr>
        <w:pStyle w:val="Bibliography"/>
      </w:pPr>
      <w:bookmarkStart w:id="121" w:name="ref-masling1966role"/>
      <w:bookmarkEnd w:id="12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500E2294" w14:textId="77777777" w:rsidR="001E6401" w:rsidRDefault="00000000">
      <w:pPr>
        <w:pStyle w:val="Bibliography"/>
      </w:pPr>
      <w:bookmarkStart w:id="122" w:name="ref-R-PublicationBias"/>
      <w:bookmarkEnd w:id="121"/>
      <w:r>
        <w:t xml:space="preserve">Mathur, M. B., &amp; VanderWeele, T. J. (2020a). </w:t>
      </w:r>
      <w:r>
        <w:rPr>
          <w:i/>
          <w:iCs/>
        </w:rPr>
        <w:t>PublicationBias: Sensitivity analysis for publication bias in meta-analyses</w:t>
      </w:r>
      <w:r>
        <w:t xml:space="preserve">. Retrieved from </w:t>
      </w:r>
      <w:hyperlink r:id="rId15">
        <w:r w:rsidR="001E6401">
          <w:rPr>
            <w:rStyle w:val="Hyperlink"/>
          </w:rPr>
          <w:t>https://CRAN.R-project.org/package=PublicationBias</w:t>
        </w:r>
      </w:hyperlink>
    </w:p>
    <w:p w14:paraId="49515E3C" w14:textId="24338163" w:rsidR="001E6401" w:rsidRDefault="00000000" w:rsidP="0092086F">
      <w:pPr>
        <w:pStyle w:val="Bibliography"/>
      </w:pPr>
      <w:bookmarkStart w:id="123" w:name="ref-mathur2020sensitivity"/>
      <w:bookmarkEnd w:id="122"/>
      <w:r>
        <w:lastRenderedPageBreak/>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r w:rsidR="0092086F">
        <w:t xml:space="preserve"> </w:t>
      </w:r>
      <w:r w:rsidR="0092086F" w:rsidRPr="00E40723">
        <w:t>https://doi.org/</w:t>
      </w:r>
      <w:r w:rsidR="0092086F" w:rsidRPr="0092086F">
        <w:t>10.1111/rssc.12440</w:t>
      </w:r>
    </w:p>
    <w:p w14:paraId="5198EECD" w14:textId="523B4C8B" w:rsidR="001E6401" w:rsidRDefault="00000000">
      <w:pPr>
        <w:pStyle w:val="Bibliography"/>
      </w:pPr>
      <w:bookmarkStart w:id="124" w:name="ref-mcginley1975subject"/>
      <w:bookmarkEnd w:id="123"/>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r w:rsidR="0092086F">
        <w:t xml:space="preserve"> </w:t>
      </w:r>
      <w:r w:rsidR="0092086F" w:rsidRPr="0092086F">
        <w:t>https://doi.org/10.2466/pr0.1975.36.1.267</w:t>
      </w:r>
    </w:p>
    <w:p w14:paraId="730E017E" w14:textId="226901BD" w:rsidR="001E6401" w:rsidRDefault="00000000">
      <w:pPr>
        <w:pStyle w:val="Bibliography"/>
      </w:pPr>
      <w:bookmarkStart w:id="125" w:name="ref-mcglynn1972experimental"/>
      <w:bookmarkEnd w:id="124"/>
      <w:r>
        <w:rPr>
          <w:vertAlign w:val="superscript"/>
        </w:rPr>
        <w:t>*</w:t>
      </w:r>
      <w:r>
        <w:t xml:space="preserve"> McGlynn, F. D., Gaynor, R., &amp; Puhr, J. (1972). Experimental desensitization of snake-avoidance after an instructional manipulation. </w:t>
      </w:r>
      <w:r>
        <w:rPr>
          <w:i/>
          <w:iCs/>
        </w:rPr>
        <w:t>Journal of Clinical Psychology</w:t>
      </w:r>
      <w:r>
        <w:t>.</w:t>
      </w:r>
      <w:r w:rsidR="0092086F">
        <w:t xml:space="preserve"> </w:t>
      </w:r>
      <w:r w:rsidR="008D1023" w:rsidRPr="008D1023">
        <w:rPr>
          <w:i/>
          <w:iCs/>
        </w:rPr>
        <w:t>28</w:t>
      </w:r>
      <w:r w:rsidR="008D1023">
        <w:t>(2), 224.</w:t>
      </w:r>
    </w:p>
    <w:p w14:paraId="7B5C2280" w14:textId="151C66EE" w:rsidR="001E6401" w:rsidRDefault="00000000">
      <w:pPr>
        <w:pStyle w:val="Bibliography"/>
      </w:pPr>
      <w:bookmarkStart w:id="126" w:name="ref-morris2002combining"/>
      <w:bookmarkEnd w:id="125"/>
      <w:r>
        <w:t>Morris, S</w:t>
      </w:r>
      <w:r w:rsidR="008D1023">
        <w:t>.</w:t>
      </w:r>
      <w:r>
        <w:t xml:space="preserve"> B</w:t>
      </w:r>
      <w:r w:rsidR="008D1023">
        <w:t>., &amp;</w:t>
      </w:r>
      <w:r>
        <w:t xml:space="preserve"> </w:t>
      </w:r>
      <w:proofErr w:type="spellStart"/>
      <w:r>
        <w:t>DeShon</w:t>
      </w:r>
      <w:proofErr w:type="spellEnd"/>
      <w:r w:rsidR="008D1023">
        <w:t>, R. P.</w:t>
      </w:r>
      <w:r>
        <w:t xml:space="preserve"> (2002). Combining effect size estimates in meta-analysis with repeated measures and independent-groups designs. </w:t>
      </w:r>
      <w:r>
        <w:rPr>
          <w:i/>
          <w:iCs/>
        </w:rPr>
        <w:t>Psychological Methods</w:t>
      </w:r>
      <w:r>
        <w:t xml:space="preserve">, </w:t>
      </w:r>
      <w:r>
        <w:rPr>
          <w:i/>
          <w:iCs/>
        </w:rPr>
        <w:t>7</w:t>
      </w:r>
      <w:r>
        <w:t>(1), 105–125.</w:t>
      </w:r>
      <w:r w:rsidR="008D1023">
        <w:t xml:space="preserve"> </w:t>
      </w:r>
      <w:r w:rsidR="008D1023" w:rsidRPr="008D1023">
        <w:t>https://doi.org/10.1037/1082-989x.7.1.105</w:t>
      </w:r>
    </w:p>
    <w:p w14:paraId="18A47FB7" w14:textId="01818D0B" w:rsidR="001E6401" w:rsidRDefault="00000000">
      <w:pPr>
        <w:pStyle w:val="Bibliography"/>
      </w:pPr>
      <w:bookmarkStart w:id="127" w:name="ref-mummolo2019demand"/>
      <w:bookmarkEnd w:id="126"/>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r w:rsidR="008D1023">
        <w:t xml:space="preserve"> </w:t>
      </w:r>
      <w:r w:rsidR="008D1023" w:rsidRPr="008D1023">
        <w:t>https://doi.org/10.1017/S0003055418000837</w:t>
      </w:r>
    </w:p>
    <w:p w14:paraId="79C442A7" w14:textId="5496E94F" w:rsidR="001E6401" w:rsidRDefault="00000000">
      <w:pPr>
        <w:pStyle w:val="Bibliography"/>
      </w:pPr>
      <w:bookmarkStart w:id="128" w:name="ref-orne1959nature"/>
      <w:bookmarkEnd w:id="127"/>
      <w:r>
        <w:t xml:space="preserve">Orne, M. T. (1959). The nature of hypnosis: Artifact and essence. </w:t>
      </w:r>
      <w:r>
        <w:rPr>
          <w:i/>
          <w:iCs/>
        </w:rPr>
        <w:t>The Journal of Abnormal and Social Psychology</w:t>
      </w:r>
      <w:r>
        <w:t xml:space="preserve">, </w:t>
      </w:r>
      <w:r>
        <w:rPr>
          <w:i/>
          <w:iCs/>
        </w:rPr>
        <w:t>58</w:t>
      </w:r>
      <w:r>
        <w:t>(3), 277–299.</w:t>
      </w:r>
      <w:r w:rsidR="008D1023">
        <w:t xml:space="preserve"> </w:t>
      </w:r>
      <w:r w:rsidR="008D1023" w:rsidRPr="008D1023">
        <w:t>https://doi.org/10.1037/h0046128</w:t>
      </w:r>
    </w:p>
    <w:p w14:paraId="793E0331" w14:textId="562C4774" w:rsidR="001E6401" w:rsidRDefault="00000000">
      <w:pPr>
        <w:pStyle w:val="Bibliography"/>
      </w:pPr>
      <w:bookmarkStart w:id="129" w:name="ref-orne1962social"/>
      <w:bookmarkEnd w:id="128"/>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r w:rsidR="008D1023">
        <w:t xml:space="preserve"> </w:t>
      </w:r>
      <w:r w:rsidR="008D1023" w:rsidRPr="008D1023">
        <w:t>https://doi.org/10.1037/h0043424</w:t>
      </w:r>
    </w:p>
    <w:p w14:paraId="5B0D58AC" w14:textId="45B56943" w:rsidR="001E6401" w:rsidRDefault="00000000">
      <w:pPr>
        <w:pStyle w:val="Bibliography"/>
      </w:pPr>
      <w:bookmarkStart w:id="130" w:name="ref-orne1969demand"/>
      <w:bookmarkEnd w:id="129"/>
      <w:r>
        <w:t xml:space="preserve">Orne, M. T. (1969). Demand characteristics and the concept of quasi-controls. In R. Rosenthal &amp; R. L. Rosnow (Eds.), </w:t>
      </w:r>
      <w:r>
        <w:rPr>
          <w:i/>
          <w:iCs/>
        </w:rPr>
        <w:t>Artifacts in behavioral research</w:t>
      </w:r>
      <w:r>
        <w:t xml:space="preserve"> (pp. 143–179). New York, NY: Academic Press.</w:t>
      </w:r>
      <w:r w:rsidR="008D1023">
        <w:t xml:space="preserve"> </w:t>
      </w:r>
      <w:r w:rsidR="008D1023" w:rsidRPr="008D1023">
        <w:t>https://doi.org/10.1093/acprof:oso/9780195385540.003.0005</w:t>
      </w:r>
    </w:p>
    <w:p w14:paraId="2A0FB1A7" w14:textId="2D439E8A" w:rsidR="001E6401" w:rsidRDefault="00000000">
      <w:pPr>
        <w:pStyle w:val="Bibliography"/>
      </w:pPr>
      <w:bookmarkStart w:id="131" w:name="ref-orne1964contribution"/>
      <w:bookmarkEnd w:id="130"/>
      <w:r>
        <w:rPr>
          <w:vertAlign w:val="superscript"/>
        </w:rPr>
        <w:lastRenderedPageBreak/>
        <w:t>*</w:t>
      </w:r>
      <w:r>
        <w:t xml:space="preserve"> Orne, M. T., &amp; Scheibe, K. E. (1964). The contribution of nondeprivation factors in the production of sensory deprivation effects: The psychology of the</w:t>
      </w:r>
      <w:r w:rsidR="008D1023">
        <w:t xml:space="preserve"> </w:t>
      </w:r>
      <w:r>
        <w:t xml:space="preserve">"panic button". </w:t>
      </w:r>
      <w:r>
        <w:rPr>
          <w:i/>
          <w:iCs/>
        </w:rPr>
        <w:t>The Journal of Abnormal and Social Psychology</w:t>
      </w:r>
      <w:r>
        <w:t xml:space="preserve">, </w:t>
      </w:r>
      <w:r>
        <w:rPr>
          <w:i/>
          <w:iCs/>
        </w:rPr>
        <w:t>68</w:t>
      </w:r>
      <w:r>
        <w:t>(1), 3</w:t>
      </w:r>
      <w:r w:rsidR="008D1023">
        <w:t>–12</w:t>
      </w:r>
      <w:r>
        <w:t>.</w:t>
      </w:r>
      <w:r w:rsidR="008D1023">
        <w:t xml:space="preserve"> </w:t>
      </w:r>
      <w:r w:rsidR="008D1023" w:rsidRPr="008D1023">
        <w:t>https://doi.org/10.1037/h0048803</w:t>
      </w:r>
    </w:p>
    <w:p w14:paraId="371F0E1D" w14:textId="752ACE74" w:rsidR="001E6401" w:rsidRDefault="00000000">
      <w:pPr>
        <w:pStyle w:val="Bibliography"/>
      </w:pPr>
      <w:bookmarkStart w:id="132" w:name="ref-page2021prisma"/>
      <w:bookmarkEnd w:id="131"/>
      <w:r>
        <w:t xml:space="preserve">Page, M. J., McKenzie, J. E., Bossuyt, P. M., Boutron, I., Hoffmann, T. C., Mulrow, C. D., et al. (2021). The PRISMA 2020 statement: An updated guideline for reporting systematic reviews. </w:t>
      </w:r>
      <w:r>
        <w:rPr>
          <w:i/>
          <w:iCs/>
        </w:rPr>
        <w:t>BMJ</w:t>
      </w:r>
      <w:r>
        <w:t xml:space="preserve">, </w:t>
      </w:r>
      <w:r>
        <w:rPr>
          <w:i/>
          <w:iCs/>
        </w:rPr>
        <w:t>372</w:t>
      </w:r>
      <w:r>
        <w:t>.</w:t>
      </w:r>
      <w:r w:rsidR="008D1023">
        <w:t xml:space="preserve"> </w:t>
      </w:r>
      <w:r w:rsidR="008D1023" w:rsidRPr="008D1023">
        <w:t>https://doi.org/10.1136/bmj.n71</w:t>
      </w:r>
    </w:p>
    <w:p w14:paraId="3D6D3C16" w14:textId="77777777" w:rsidR="001E6401" w:rsidRDefault="00000000">
      <w:pPr>
        <w:pStyle w:val="Bibliography"/>
      </w:pPr>
      <w:bookmarkStart w:id="133" w:name="ref-palomba1995dissociation"/>
      <w:bookmarkEnd w:id="132"/>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22A6F1C2" w14:textId="11456B5E" w:rsidR="001E6401" w:rsidRDefault="00000000">
      <w:pPr>
        <w:pStyle w:val="Bibliography"/>
      </w:pPr>
      <w:bookmarkStart w:id="134" w:name="ref-perry1978demand"/>
      <w:bookmarkEnd w:id="133"/>
      <w:r>
        <w:rPr>
          <w:vertAlign w:val="superscript"/>
        </w:rPr>
        <w:t>*</w:t>
      </w:r>
      <w:r>
        <w:t xml:space="preserve"> 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r w:rsidR="000F5A50">
        <w:t xml:space="preserve"> </w:t>
      </w:r>
      <w:r w:rsidR="000F5A50" w:rsidRPr="000F5A50">
        <w:t>https://doi.org/10.1080/00224545.1978.9924124</w:t>
      </w:r>
    </w:p>
    <w:p w14:paraId="79956A2D" w14:textId="149E0AFA" w:rsidR="001E6401" w:rsidRDefault="00000000">
      <w:pPr>
        <w:pStyle w:val="Bibliography"/>
      </w:pPr>
      <w:bookmarkStart w:id="135" w:name="ref-polivy1980laboratory"/>
      <w:bookmarkEnd w:id="134"/>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r w:rsidR="000F5A50">
        <w:t>-290</w:t>
      </w:r>
      <w:r>
        <w:t>.</w:t>
      </w:r>
      <w:r w:rsidR="000F5A50">
        <w:t xml:space="preserve"> </w:t>
      </w:r>
      <w:r w:rsidR="000F5A50" w:rsidRPr="000F5A50">
        <w:t>https://doi.org/10.1037/0021-843x.89.2.286</w:t>
      </w:r>
    </w:p>
    <w:p w14:paraId="33E57751" w14:textId="77777777" w:rsidR="000F5A50" w:rsidRDefault="00000000">
      <w:pPr>
        <w:pStyle w:val="Bibliography"/>
      </w:pPr>
      <w:bookmarkStart w:id="136" w:name="ref-pustejovsky2018small"/>
      <w:bookmarkEnd w:id="135"/>
      <w:r>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r w:rsidR="000F5A50">
        <w:t xml:space="preserve">. </w:t>
      </w:r>
      <w:bookmarkStart w:id="137" w:name="ref-R-base"/>
      <w:bookmarkEnd w:id="136"/>
      <w:r w:rsidR="000F5A50" w:rsidRPr="000F5A50">
        <w:t>https://doi.org/10.1080/07350015.2016.1247004</w:t>
      </w:r>
    </w:p>
    <w:p w14:paraId="3BA10C8F" w14:textId="64B5F784" w:rsidR="001E6401" w:rsidRDefault="00000000">
      <w:pPr>
        <w:pStyle w:val="Bibliography"/>
      </w:pPr>
      <w:r>
        <w:lastRenderedPageBreak/>
        <w:t xml:space="preserve">R Core Team. (2021). </w:t>
      </w:r>
      <w:r>
        <w:rPr>
          <w:i/>
          <w:iCs/>
        </w:rPr>
        <w:t>R: A language and environment for statistical computing</w:t>
      </w:r>
      <w:r>
        <w:t xml:space="preserve">. Vienna, Austria: R Foundation for Statistical Computing. Retrieved from </w:t>
      </w:r>
      <w:hyperlink r:id="rId16">
        <w:r w:rsidR="001E6401">
          <w:rPr>
            <w:rStyle w:val="Hyperlink"/>
          </w:rPr>
          <w:t>https://www.R-project.org/</w:t>
        </w:r>
      </w:hyperlink>
    </w:p>
    <w:p w14:paraId="2C6B994D" w14:textId="77777777" w:rsidR="001E6401" w:rsidRDefault="00000000">
      <w:pPr>
        <w:pStyle w:val="Bibliography"/>
      </w:pPr>
      <w:bookmarkStart w:id="138" w:name="ref-riecken1962program"/>
      <w:bookmarkEnd w:id="137"/>
      <w:r>
        <w:t xml:space="preserve">Riecken, H. W. (1962). A program for research on experiments in social psychology. In N. W. Washburne (Ed.), </w:t>
      </w:r>
      <w:r>
        <w:rPr>
          <w:i/>
          <w:iCs/>
        </w:rPr>
        <w:t>Decisions, values and groups</w:t>
      </w:r>
      <w:r>
        <w:t xml:space="preserve"> (Vol. 2, pp. 25–41). New York, NY: Pergamon Press.</w:t>
      </w:r>
    </w:p>
    <w:p w14:paraId="36E4E029" w14:textId="03C0EC41" w:rsidR="001E6401" w:rsidRDefault="00000000">
      <w:pPr>
        <w:pStyle w:val="Bibliography"/>
      </w:pPr>
      <w:bookmarkStart w:id="139" w:name="ref-rodgers2021evaluating"/>
      <w:bookmarkEnd w:id="138"/>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r w:rsidR="000F5A50">
        <w:t xml:space="preserve"> </w:t>
      </w:r>
      <w:r w:rsidR="000F5A50" w:rsidRPr="000F5A50">
        <w:t>https://doi.org/10.1037/met0000300</w:t>
      </w:r>
    </w:p>
    <w:p w14:paraId="05785FC9" w14:textId="5F4A4CE0" w:rsidR="001E6401" w:rsidRDefault="00000000">
      <w:pPr>
        <w:pStyle w:val="Bibliography"/>
      </w:pPr>
      <w:bookmarkStart w:id="140" w:name="ref-rose2014choice"/>
      <w:bookmarkEnd w:id="139"/>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r w:rsidR="000F5A50">
        <w:t xml:space="preserve"> </w:t>
      </w:r>
      <w:r w:rsidR="000F5A50" w:rsidRPr="000F5A50">
        <w:t>https://doi.org/10.1002/bdm.1775</w:t>
      </w:r>
    </w:p>
    <w:p w14:paraId="75FF6228" w14:textId="5269CF1A" w:rsidR="001E6401" w:rsidRDefault="00000000">
      <w:pPr>
        <w:pStyle w:val="Bibliography"/>
      </w:pPr>
      <w:bookmarkStart w:id="141" w:name="ref-rosenberg1969conditions"/>
      <w:bookmarkEnd w:id="140"/>
      <w:r>
        <w:t xml:space="preserve">Rosenberg, M. J. (1969). The conditions and consequences of evaluation apprehension. In R. Rosenthal &amp; R. L. Rosnow (Eds.), </w:t>
      </w:r>
      <w:r>
        <w:rPr>
          <w:i/>
          <w:iCs/>
        </w:rPr>
        <w:t>Artifacts in behavioral research</w:t>
      </w:r>
      <w:r>
        <w:t xml:space="preserve"> (pp. 280–350). New York, NY: Academic Press.</w:t>
      </w:r>
      <w:r w:rsidR="000F5A50">
        <w:t xml:space="preserve"> </w:t>
      </w:r>
      <w:r w:rsidR="000F5A50" w:rsidRPr="000F5A50">
        <w:t>https://doi.org/10.1093/acprof:oso/9780195385540.003.0007</w:t>
      </w:r>
    </w:p>
    <w:p w14:paraId="616584F3" w14:textId="5CA3B564" w:rsidR="001E6401" w:rsidRDefault="00000000">
      <w:pPr>
        <w:pStyle w:val="Bibliography"/>
      </w:pPr>
      <w:bookmarkStart w:id="142" w:name="ref-rosnow1973mediation"/>
      <w:bookmarkEnd w:id="141"/>
      <w:r>
        <w:t xml:space="preserve">Rosnow, R. L., &amp; Aiken, L. S. (1973). Mediation of artifacts in behavioral research. </w:t>
      </w:r>
      <w:r>
        <w:rPr>
          <w:i/>
          <w:iCs/>
        </w:rPr>
        <w:t>Journal of Experimental Social Psychology</w:t>
      </w:r>
      <w:r>
        <w:t xml:space="preserve">, </w:t>
      </w:r>
      <w:r>
        <w:rPr>
          <w:i/>
          <w:iCs/>
        </w:rPr>
        <w:t>9</w:t>
      </w:r>
      <w:r>
        <w:t>(3), 181–201.</w:t>
      </w:r>
      <w:r w:rsidR="000F5A50">
        <w:t xml:space="preserve"> </w:t>
      </w:r>
      <w:r w:rsidR="000F5A50" w:rsidRPr="000F5A50">
        <w:t>https://doi.org/10.1016/0022-1031(73)90009-7</w:t>
      </w:r>
    </w:p>
    <w:p w14:paraId="0EAA5830" w14:textId="6C1C89C0" w:rsidR="001E6401" w:rsidRDefault="00000000">
      <w:pPr>
        <w:pStyle w:val="Bibliography"/>
      </w:pPr>
      <w:bookmarkStart w:id="143" w:name="ref-rosnow1997people"/>
      <w:bookmarkEnd w:id="142"/>
      <w:r>
        <w:t xml:space="preserve">Rosnow, R. L., &amp; Rosenthal, R. (1997). </w:t>
      </w:r>
      <w:r>
        <w:rPr>
          <w:i/>
          <w:iCs/>
        </w:rPr>
        <w:t>People studying people: Artifacts and ethics in behavioral research</w:t>
      </w:r>
      <w:r>
        <w:t>. New York, NY: Freeman.</w:t>
      </w:r>
      <w:r w:rsidR="000F5A50">
        <w:t xml:space="preserve"> </w:t>
      </w:r>
      <w:r w:rsidR="000F5A50" w:rsidRPr="000F5A50">
        <w:t>http://dx.doi.org/10.34944/dspace/69</w:t>
      </w:r>
    </w:p>
    <w:p w14:paraId="3805F138" w14:textId="31195CDF" w:rsidR="001E6401" w:rsidRDefault="00000000">
      <w:pPr>
        <w:pStyle w:val="Bibliography"/>
      </w:pPr>
      <w:bookmarkStart w:id="144" w:name="ref-schardt2007utilization"/>
      <w:bookmarkEnd w:id="143"/>
      <w:r>
        <w:lastRenderedPageBreak/>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r w:rsidR="000F5A50">
        <w:t xml:space="preserve"> </w:t>
      </w:r>
      <w:r w:rsidR="000F5A50" w:rsidRPr="000F5A50">
        <w:t>https://doi.org/10.1186/1472-6947-7-16</w:t>
      </w:r>
    </w:p>
    <w:p w14:paraId="5703CBA2" w14:textId="77777777" w:rsidR="001E6401" w:rsidRDefault="00000000">
      <w:pPr>
        <w:pStyle w:val="Bibliography"/>
      </w:pPr>
      <w:bookmarkStart w:id="145" w:name="ref-schauer1969demand"/>
      <w:bookmarkEnd w:id="144"/>
      <w:r>
        <w:rPr>
          <w:vertAlign w:val="superscript"/>
        </w:rPr>
        <w:t>*</w:t>
      </w:r>
      <w:r>
        <w:t xml:space="preserve"> Schauer, E. (1969). </w:t>
      </w:r>
      <w:r>
        <w:rPr>
          <w:i/>
          <w:iCs/>
        </w:rPr>
        <w:t>Demand characteristics in a quasi-psychophysical experiment.</w:t>
      </w:r>
      <w:r>
        <w:t xml:space="preserve"> (PhD thesis).</w:t>
      </w:r>
    </w:p>
    <w:p w14:paraId="47A7DAF8" w14:textId="14EBF934" w:rsidR="001E6401" w:rsidRDefault="00000000">
      <w:pPr>
        <w:pStyle w:val="Bibliography"/>
      </w:pPr>
      <w:bookmarkStart w:id="146" w:name="ref-sharpe2016frightened"/>
      <w:bookmarkEnd w:id="145"/>
      <w:r>
        <w:t xml:space="preserve">Sharpe, D., &amp; Whelton, W. J. (2016). Frightened by an old scarecrow: The remarkable resilience of demand characteristics. </w:t>
      </w:r>
      <w:r>
        <w:rPr>
          <w:i/>
          <w:iCs/>
        </w:rPr>
        <w:t>Review of General Psychology</w:t>
      </w:r>
      <w:r>
        <w:t xml:space="preserve">, </w:t>
      </w:r>
      <w:r>
        <w:rPr>
          <w:i/>
          <w:iCs/>
        </w:rPr>
        <w:t>20</w:t>
      </w:r>
      <w:r>
        <w:t>(4), 349–368.</w:t>
      </w:r>
      <w:r w:rsidR="000F5A50">
        <w:t xml:space="preserve"> </w:t>
      </w:r>
      <w:r w:rsidR="000F5A50" w:rsidRPr="000F5A50">
        <w:t>https://doi.org/10.1037/gpr0000087</w:t>
      </w:r>
    </w:p>
    <w:p w14:paraId="0D884320" w14:textId="2921F951" w:rsidR="001E6401" w:rsidRDefault="00000000">
      <w:pPr>
        <w:pStyle w:val="Bibliography"/>
      </w:pPr>
      <w:bookmarkStart w:id="147" w:name="ref-siegel1982influence"/>
      <w:bookmarkEnd w:id="146"/>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r w:rsidR="000F5A50">
        <w:t xml:space="preserve"> </w:t>
      </w:r>
      <w:r w:rsidR="000F5A50" w:rsidRPr="000F5A50">
        <w:t>https://doi.org/10.1007/BF01321391</w:t>
      </w:r>
    </w:p>
    <w:p w14:paraId="3F83CCBC" w14:textId="6883CEDF" w:rsidR="001E6401" w:rsidRDefault="00000000">
      <w:pPr>
        <w:pStyle w:val="Bibliography"/>
      </w:pPr>
      <w:bookmarkStart w:id="148" w:name="ref-sigall1970cooperative"/>
      <w:bookmarkEnd w:id="147"/>
      <w:r>
        <w:t xml:space="preserve">Sigall, H., Aronson, E., &amp; Van Hoose, T. (1970). The cooperative subject: Myth or reality? </w:t>
      </w:r>
      <w:r>
        <w:rPr>
          <w:i/>
          <w:iCs/>
        </w:rPr>
        <w:t>Journal of Experimental Social Psychology</w:t>
      </w:r>
      <w:r>
        <w:t xml:space="preserve">, </w:t>
      </w:r>
      <w:r>
        <w:rPr>
          <w:i/>
          <w:iCs/>
        </w:rPr>
        <w:t>6</w:t>
      </w:r>
      <w:r>
        <w:t>(1), 1–10.</w:t>
      </w:r>
      <w:r w:rsidR="000F5A50">
        <w:t xml:space="preserve"> </w:t>
      </w:r>
      <w:r w:rsidR="000F5A50" w:rsidRPr="000F5A50">
        <w:t>https://doi.org/10.1016/0022-1031(70)90072-7</w:t>
      </w:r>
    </w:p>
    <w:p w14:paraId="3E522549" w14:textId="2EA4AB2D" w:rsidR="001E6401" w:rsidRDefault="00000000">
      <w:pPr>
        <w:pStyle w:val="Bibliography"/>
      </w:pPr>
      <w:bookmarkStart w:id="149" w:name="ref-silverman1965demand"/>
      <w:bookmarkEnd w:id="148"/>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r w:rsidR="000F5A50">
        <w:t>–884</w:t>
      </w:r>
      <w:r>
        <w:t>.</w:t>
      </w:r>
      <w:r w:rsidR="000F5A50">
        <w:t xml:space="preserve"> </w:t>
      </w:r>
      <w:r w:rsidR="000F5A50" w:rsidRPr="000F5A50">
        <w:t>https://doi.org/10.1037/h0022628</w:t>
      </w:r>
    </w:p>
    <w:p w14:paraId="706D24F4" w14:textId="52490F22" w:rsidR="001E6401" w:rsidRDefault="00000000">
      <w:pPr>
        <w:pStyle w:val="Bibliography"/>
      </w:pPr>
      <w:bookmarkStart w:id="150" w:name="ref-smith1986influence"/>
      <w:bookmarkEnd w:id="149"/>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r w:rsidR="000F5A50">
        <w:t xml:space="preserve"> </w:t>
      </w:r>
      <w:r w:rsidR="000F5A50" w:rsidRPr="000F5A50">
        <w:t>https://doi.org/10.1080/00221309.1986.9711040</w:t>
      </w:r>
    </w:p>
    <w:p w14:paraId="262F90C4" w14:textId="08F4FFCB" w:rsidR="001E6401" w:rsidRDefault="00000000">
      <w:pPr>
        <w:pStyle w:val="Bibliography"/>
      </w:pPr>
      <w:bookmarkStart w:id="151" w:name="ref-standing2008demonstration"/>
      <w:bookmarkEnd w:id="150"/>
      <w:r>
        <w:rPr>
          <w:vertAlign w:val="superscript"/>
        </w:rPr>
        <w:lastRenderedPageBreak/>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9D166E1" w14:textId="02C37DA0" w:rsidR="001E6401" w:rsidRDefault="00000000">
      <w:pPr>
        <w:pStyle w:val="Bibliography"/>
      </w:pPr>
      <w:bookmarkStart w:id="152" w:name="ref-stanley2014meta"/>
      <w:bookmarkEnd w:id="151"/>
      <w:r>
        <w:t xml:space="preserve">Stanley, T. D., &amp; Doucouliagos, H. (2014). Meta-regression approximations to reduce publication selection bias. </w:t>
      </w:r>
      <w:r>
        <w:rPr>
          <w:i/>
          <w:iCs/>
        </w:rPr>
        <w:t>Research Synthesis Methods</w:t>
      </w:r>
      <w:r>
        <w:t xml:space="preserve">, </w:t>
      </w:r>
      <w:r>
        <w:rPr>
          <w:i/>
          <w:iCs/>
        </w:rPr>
        <w:t>5</w:t>
      </w:r>
      <w:r>
        <w:t>(1), 60–78.</w:t>
      </w:r>
      <w:r w:rsidR="000F5A50">
        <w:t xml:space="preserve"> </w:t>
      </w:r>
      <w:r w:rsidR="000F5A50" w:rsidRPr="000F5A50">
        <w:t>https://doi.org/10.1002/jrsm.1095</w:t>
      </w:r>
    </w:p>
    <w:p w14:paraId="416477A4" w14:textId="60E5B05C" w:rsidR="001E6401" w:rsidRDefault="00000000">
      <w:pPr>
        <w:pStyle w:val="Bibliography"/>
      </w:pPr>
      <w:bookmarkStart w:id="153" w:name="ref-stewart2004placebo"/>
      <w:bookmarkEnd w:id="152"/>
      <w:r>
        <w:t xml:space="preserve">Stewart-Williams, S., &amp; Podd, J. (2004). The placebo effect: Dissolving the expectancy versus conditioning debate. </w:t>
      </w:r>
      <w:r>
        <w:rPr>
          <w:i/>
          <w:iCs/>
        </w:rPr>
        <w:t>Psychological Bulletin</w:t>
      </w:r>
      <w:r>
        <w:t xml:space="preserve">, </w:t>
      </w:r>
      <w:r>
        <w:rPr>
          <w:i/>
          <w:iCs/>
        </w:rPr>
        <w:t>130</w:t>
      </w:r>
      <w:r>
        <w:t>(2), 324–340.</w:t>
      </w:r>
      <w:r w:rsidR="000F5A50">
        <w:t xml:space="preserve"> </w:t>
      </w:r>
      <w:r w:rsidR="000F5A50" w:rsidRPr="000F5A50">
        <w:t>https://doi.org/ 10.1037/0033-2909.130.2.324</w:t>
      </w:r>
    </w:p>
    <w:p w14:paraId="464EA75E" w14:textId="03992A39" w:rsidR="001E6401" w:rsidRDefault="00000000">
      <w:pPr>
        <w:pStyle w:val="Bibliography"/>
      </w:pPr>
      <w:bookmarkStart w:id="154" w:name="ref-strohmetz2008research"/>
      <w:bookmarkEnd w:id="153"/>
      <w:r>
        <w:t xml:space="preserve">Strohmetz, D. B. (2008). Research artifacts and the social psychology of psychological experiments. </w:t>
      </w:r>
      <w:r>
        <w:rPr>
          <w:i/>
          <w:iCs/>
        </w:rPr>
        <w:t>Social and Personality Psychology Compass</w:t>
      </w:r>
      <w:r>
        <w:t xml:space="preserve">, </w:t>
      </w:r>
      <w:r>
        <w:rPr>
          <w:i/>
          <w:iCs/>
        </w:rPr>
        <w:t>2</w:t>
      </w:r>
      <w:r>
        <w:t>(2), 861–877.</w:t>
      </w:r>
      <w:r w:rsidR="000F5A50">
        <w:t xml:space="preserve"> </w:t>
      </w:r>
      <w:r w:rsidR="000F5A50" w:rsidRPr="000F5A50">
        <w:t>https://doi.org/10.1111/j.1751-9004.2007.00072.x</w:t>
      </w:r>
    </w:p>
    <w:p w14:paraId="5277A45A" w14:textId="7C4F7F41" w:rsidR="001E6401" w:rsidRDefault="00000000">
      <w:pPr>
        <w:pStyle w:val="Bibliography"/>
      </w:pPr>
      <w:bookmarkStart w:id="155" w:name="ref-terhune2006induction"/>
      <w:bookmarkEnd w:id="154"/>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r w:rsidR="000F5A50">
        <w:t xml:space="preserve"> </w:t>
      </w:r>
      <w:r w:rsidR="000F5A50" w:rsidRPr="000F5A50">
        <w:t>https://doi.org/10.1097/01.nmd.0000221318.30692.a5</w:t>
      </w:r>
    </w:p>
    <w:p w14:paraId="52E8FD6A" w14:textId="3FB75C6D" w:rsidR="001E6401" w:rsidRDefault="00000000">
      <w:pPr>
        <w:pStyle w:val="Bibliography"/>
      </w:pPr>
      <w:bookmarkStart w:id="156" w:name="ref-tsai2018great"/>
      <w:bookmarkEnd w:id="155"/>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r w:rsidR="000F5A50">
        <w:t xml:space="preserve"> </w:t>
      </w:r>
      <w:r w:rsidR="000F5A50" w:rsidRPr="000F5A50">
        <w:t>https://doi.org/10.1016/j.jarmac.2018.06.001</w:t>
      </w:r>
    </w:p>
    <w:p w14:paraId="4F4EBADA" w14:textId="306F1F6A" w:rsidR="001E6401" w:rsidRDefault="00000000">
      <w:pPr>
        <w:pStyle w:val="Bibliography"/>
      </w:pPr>
      <w:bookmarkStart w:id="157" w:name="ref-veitch1991demand"/>
      <w:bookmarkEnd w:id="156"/>
      <w:r>
        <w:rPr>
          <w:vertAlign w:val="superscript"/>
        </w:rPr>
        <w:lastRenderedPageBreak/>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r w:rsidR="00F80718">
        <w:t xml:space="preserve"> </w:t>
      </w:r>
      <w:r w:rsidR="00F80718" w:rsidRPr="00F80718">
        <w:t>https://doi.org/10.1016/S0272-4944(05)80007-6</w:t>
      </w:r>
    </w:p>
    <w:p w14:paraId="1A6313E4" w14:textId="1E2AFC91" w:rsidR="001E6401" w:rsidRDefault="00000000">
      <w:pPr>
        <w:pStyle w:val="Bibliography"/>
      </w:pPr>
      <w:bookmarkStart w:id="158" w:name="ref-verpaelst2007demand"/>
      <w:bookmarkEnd w:id="157"/>
      <w:r>
        <w:rPr>
          <w:vertAlign w:val="superscript"/>
        </w:rPr>
        <w:t>*</w:t>
      </w:r>
      <w:r>
        <w:t xml:space="preserve"> </w:t>
      </w:r>
      <w:proofErr w:type="spellStart"/>
      <w:r>
        <w:t>Verpaelst</w:t>
      </w:r>
      <w:proofErr w:type="spellEnd"/>
      <w:r>
        <w:t xml:space="preserve">, C. C., &amp; Standing, L. G. (2007). Demand characteristics of music affect performance on the wonderlic personnel test of intelligence. </w:t>
      </w:r>
      <w:r>
        <w:rPr>
          <w:i/>
          <w:iCs/>
        </w:rPr>
        <w:t>Perceptual and Motor Skills</w:t>
      </w:r>
      <w:r>
        <w:t xml:space="preserve">, </w:t>
      </w:r>
      <w:r>
        <w:rPr>
          <w:i/>
          <w:iCs/>
        </w:rPr>
        <w:t>104</w:t>
      </w:r>
      <w:r>
        <w:t>(1), 153–154.</w:t>
      </w:r>
      <w:r w:rsidR="00F80718">
        <w:t xml:space="preserve"> </w:t>
      </w:r>
      <w:r w:rsidR="00F80718" w:rsidRPr="00F80718">
        <w:t>https://doi.org/10.2466/pms.104.1.153-154</w:t>
      </w:r>
    </w:p>
    <w:p w14:paraId="65FECB5F" w14:textId="0C1C1091" w:rsidR="001E6401" w:rsidRDefault="00000000">
      <w:pPr>
        <w:pStyle w:val="Bibliography"/>
      </w:pPr>
      <w:bookmarkStart w:id="159" w:name="ref-vevea1995general"/>
      <w:bookmarkEnd w:id="158"/>
      <w:r>
        <w:t xml:space="preserve">Vevea, J. L., &amp; Hedges, L. V. (1995). A general linear model for estimating effect size in the presence of publication bias. </w:t>
      </w:r>
      <w:r>
        <w:rPr>
          <w:i/>
          <w:iCs/>
        </w:rPr>
        <w:t>Psychometrika</w:t>
      </w:r>
      <w:r>
        <w:t xml:space="preserve">, </w:t>
      </w:r>
      <w:r>
        <w:rPr>
          <w:i/>
          <w:iCs/>
        </w:rPr>
        <w:t>60</w:t>
      </w:r>
      <w:r>
        <w:t>(3), 419–435.</w:t>
      </w:r>
      <w:r w:rsidR="00F80718">
        <w:t xml:space="preserve"> </w:t>
      </w:r>
      <w:r w:rsidR="00F80718" w:rsidRPr="00F80718">
        <w:t>https://doi.org/10.1007/BF02294384</w:t>
      </w:r>
    </w:p>
    <w:p w14:paraId="7ACCE887" w14:textId="740418B8" w:rsidR="00015DCC" w:rsidRDefault="00000000">
      <w:pPr>
        <w:pStyle w:val="Bibliography"/>
      </w:pPr>
      <w:bookmarkStart w:id="160" w:name="ref-R-metafor"/>
      <w:bookmarkEnd w:id="159"/>
      <w:r>
        <w:t xml:space="preserve">Viechtbauer, W. (2010). Conducting meta-analyses in R with the </w:t>
      </w:r>
      <w:proofErr w:type="spellStart"/>
      <w:r>
        <w:t>metafor</w:t>
      </w:r>
      <w:proofErr w:type="spellEnd"/>
      <w:r>
        <w:t xml:space="preserve"> package. </w:t>
      </w:r>
      <w:r>
        <w:rPr>
          <w:i/>
          <w:iCs/>
        </w:rPr>
        <w:t>Journal of Statistical Software</w:t>
      </w:r>
      <w:r>
        <w:t xml:space="preserve">, </w:t>
      </w:r>
      <w:r>
        <w:rPr>
          <w:i/>
          <w:iCs/>
        </w:rPr>
        <w:t>36</w:t>
      </w:r>
      <w:r>
        <w:t>(3), 1–48.</w:t>
      </w:r>
      <w:bookmarkEnd w:id="77"/>
      <w:bookmarkEnd w:id="79"/>
      <w:bookmarkEnd w:id="160"/>
      <w:r w:rsidR="00F80718">
        <w:t xml:space="preserve"> </w:t>
      </w:r>
      <w:r w:rsidR="00F80718" w:rsidRPr="00F80718">
        <w:t>https://doi.org/10.18637/jss.v036.i03</w:t>
      </w:r>
    </w:p>
    <w:p w14:paraId="5E989AF8" w14:textId="77777777" w:rsidR="00015DCC" w:rsidRDefault="00015DCC">
      <w:pPr>
        <w:spacing w:before="0" w:after="200" w:line="240" w:lineRule="auto"/>
      </w:pPr>
      <w:r>
        <w:br w:type="page"/>
      </w:r>
    </w:p>
    <w:p w14:paraId="7DB4BC6F" w14:textId="74E11EE4" w:rsidR="00015DCC" w:rsidRDefault="00015DCC" w:rsidP="00015DCC">
      <w:pPr>
        <w:pStyle w:val="Heading1"/>
      </w:pPr>
      <w:r>
        <w:lastRenderedPageBreak/>
        <w:t>Contributions</w:t>
      </w:r>
    </w:p>
    <w:p w14:paraId="1F7DFFFA" w14:textId="6F7885DF" w:rsidR="00015DCC" w:rsidRDefault="00015DCC" w:rsidP="00015DCC">
      <w:pPr>
        <w:pStyle w:val="authornote"/>
        <w:framePr w:wrap="auto" w:yAlign="inlin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2B818A43" w14:textId="3397363D" w:rsidR="00015DCC" w:rsidRDefault="00015DCC" w:rsidP="00015DCC">
      <w:pPr>
        <w:pStyle w:val="Heading1"/>
      </w:pPr>
      <w:r>
        <w:t>Acknowledgments</w:t>
      </w:r>
    </w:p>
    <w:p w14:paraId="309E7781" w14:textId="77777777" w:rsidR="00015DCC" w:rsidRDefault="00015DCC" w:rsidP="00015DCC">
      <w:pPr>
        <w:pStyle w:val="authornote"/>
        <w:framePr w:wrap="auto" w:yAlign="inline"/>
      </w:pPr>
      <w:r>
        <w:t>We thank (1) (anonymous for peer review; AC) for assistance with code review, and (2) (anonymous for peer review; JB) for assistance developing the initial literature search strategy.</w:t>
      </w:r>
    </w:p>
    <w:p w14:paraId="2CA5D616" w14:textId="04C0255F" w:rsidR="00015DCC" w:rsidRDefault="00015DCC" w:rsidP="00015DCC">
      <w:pPr>
        <w:pStyle w:val="Heading1"/>
      </w:pPr>
      <w:r>
        <w:t>Funding</w:t>
      </w:r>
    </w:p>
    <w:p w14:paraId="4B21DBED" w14:textId="77777777" w:rsidR="00015DCC" w:rsidRDefault="00015DCC" w:rsidP="00015DCC">
      <w:pPr>
        <w:pStyle w:val="authornote"/>
        <w:framePr w:wrap="auto" w:yAlign="inline"/>
      </w:pPr>
      <w:r>
        <w:t xml:space="preserve">This work was supported by the John Templeton Foundation (grant # anonymous for peer review). The funder had no role in the preparation of the manuscript or decision to publish. </w:t>
      </w:r>
    </w:p>
    <w:p w14:paraId="0B729DC0" w14:textId="6295EDC6" w:rsidR="00015DCC" w:rsidRDefault="00015DCC" w:rsidP="00015DCC">
      <w:pPr>
        <w:pStyle w:val="Heading1"/>
      </w:pPr>
      <w:r>
        <w:t>Ethics statement</w:t>
      </w:r>
    </w:p>
    <w:p w14:paraId="38B68771" w14:textId="77777777" w:rsidR="00015DCC" w:rsidRDefault="00015DCC" w:rsidP="00015DCC">
      <w:pPr>
        <w:pStyle w:val="BodyText"/>
      </w:pPr>
      <w:r>
        <w:t>Ethics approval was not requested for the meta-analysis because no new data were collected. The vignette rating study was reviewed and approved by the (anonymous for peer review) IRB (protocol #: anonymous for peer review; protocol title: anonymous for peer review).</w:t>
      </w:r>
    </w:p>
    <w:p w14:paraId="673D5676" w14:textId="5FCCDAA1" w:rsidR="00015DCC" w:rsidRDefault="00015DCC" w:rsidP="00015DCC">
      <w:pPr>
        <w:pStyle w:val="Heading1"/>
      </w:pPr>
      <w:r>
        <w:lastRenderedPageBreak/>
        <w:t>Competing Interests</w:t>
      </w:r>
    </w:p>
    <w:p w14:paraId="0FACA158" w14:textId="0D8E2251" w:rsidR="00015DCC" w:rsidRDefault="00015DCC" w:rsidP="00015DCC">
      <w:pPr>
        <w:pStyle w:val="authornote"/>
        <w:framePr w:wrap="auto" w:yAlign="inline"/>
      </w:pPr>
      <w:r>
        <w:t>The authors declare no competing interests.</w:t>
      </w:r>
    </w:p>
    <w:p w14:paraId="4783C29E" w14:textId="64F33446" w:rsidR="00015DCC" w:rsidRDefault="00015DCC" w:rsidP="00015DCC">
      <w:pPr>
        <w:pStyle w:val="Heading1"/>
      </w:pPr>
      <w:r>
        <w:t>Data Accessibility</w:t>
      </w:r>
    </w:p>
    <w:p w14:paraId="7E7F1AE1" w14:textId="29C6E093" w:rsidR="001E6401" w:rsidRDefault="00015DCC" w:rsidP="00015DCC">
      <w:pPr>
        <w:pStyle w:val="BodyText"/>
      </w:pPr>
      <w:r>
        <w:t xml:space="preserve">The project pre-registration, materials, data, and code are openly available at </w:t>
      </w:r>
      <w:hyperlink r:id="rId17">
        <w:r>
          <w:rPr>
            <w:rStyle w:val="Hyperlink"/>
          </w:rPr>
          <w:t>https://osf.io/3hkre/?view_only=2dc92af53f194e5eab0d7aecafaf01c2</w:t>
        </w:r>
      </w:hyperlink>
      <w:r>
        <w:t>.</w:t>
      </w:r>
    </w:p>
    <w:sectPr w:rsidR="001E6401" w:rsidSect="00084144">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7A2A6" w14:textId="77777777" w:rsidR="00CD1520" w:rsidRDefault="00CD1520">
      <w:pPr>
        <w:spacing w:before="0" w:after="0" w:line="240" w:lineRule="auto"/>
      </w:pPr>
      <w:r>
        <w:separator/>
      </w:r>
    </w:p>
  </w:endnote>
  <w:endnote w:type="continuationSeparator" w:id="0">
    <w:p w14:paraId="0BB8B339" w14:textId="77777777" w:rsidR="00CD1520" w:rsidRDefault="00CD15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2BF26" w14:textId="77777777" w:rsidR="00CD1520" w:rsidRDefault="00CD1520">
      <w:pPr>
        <w:spacing w:before="0" w:after="0" w:line="240" w:lineRule="auto"/>
      </w:pPr>
      <w:r>
        <w:separator/>
      </w:r>
    </w:p>
  </w:footnote>
  <w:footnote w:type="continuationSeparator" w:id="0">
    <w:p w14:paraId="5C791C83" w14:textId="77777777" w:rsidR="00CD1520" w:rsidRDefault="00CD1520">
      <w:pPr>
        <w:spacing w:before="0" w:after="0" w:line="240" w:lineRule="auto"/>
      </w:pPr>
      <w:r>
        <w:continuationSeparator/>
      </w:r>
    </w:p>
  </w:footnote>
  <w:footnote w:id="1">
    <w:p w14:paraId="4AF2B345" w14:textId="77777777" w:rsidR="001E6401" w:rsidRDefault="00000000">
      <w:pPr>
        <w:pStyle w:val="FootnoteText"/>
      </w:pPr>
      <w:r>
        <w:rPr>
          <w:rStyle w:val="FootnoteReference"/>
        </w:rPr>
        <w:footnoteRef/>
      </w:r>
      <w:r>
        <w:t xml:space="preserve"> The thesis advanced in the present work is unexpected in the sense that we initially pre-registered an investigation we thought might reveal insights into the nature of demand effects. Instead, several years later, we are left with more questions than we began with.</w:t>
      </w:r>
    </w:p>
  </w:footnote>
  <w:footnote w:id="2">
    <w:p w14:paraId="5BD434FB" w14:textId="77777777" w:rsidR="001E6401"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3">
    <w:p w14:paraId="770175FE" w14:textId="77777777" w:rsidR="001E6401"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4">
    <w:p w14:paraId="0E18984C" w14:textId="77777777" w:rsidR="001E6401" w:rsidRDefault="00000000">
      <w:pPr>
        <w:pStyle w:val="FootnoteText"/>
      </w:pPr>
      <w:r>
        <w:rPr>
          <w:rStyle w:val="FootnoteReference"/>
        </w:rPr>
        <w:footnoteRef/>
      </w:r>
      <w:r>
        <w:t xml:space="preserve"> As a reminder, we performed two literature searches. The second literature search was inspired by reviewer feedback, which we received after we started collecting data using the vignette methodology.</w:t>
      </w:r>
    </w:p>
  </w:footnote>
  <w:footnote w:id="5">
    <w:p w14:paraId="60975B39" w14:textId="77777777" w:rsidR="001E6401" w:rsidRDefault="00000000">
      <w:pPr>
        <w:pStyle w:val="FootnoteText"/>
      </w:pPr>
      <w:r>
        <w:rPr>
          <w:rStyle w:val="FootnoteReference"/>
        </w:rPr>
        <w:footnoteRef/>
      </w:r>
      <w:r>
        <w:t xml:space="preserve"> For transparency, we would like to note that earlier analyses with our initial sample of participants suggested that observed demand effects were moderated by ratings of the extent to which they believed the researcher’s stated hypothesis. This finding, however, did not replicate in our full sample.</w:t>
      </w:r>
    </w:p>
  </w:footnote>
  <w:footnote w:id="6">
    <w:p w14:paraId="29937BB7" w14:textId="77777777" w:rsidR="001E6401"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 w:id="7">
    <w:p w14:paraId="19FDE570" w14:textId="77777777" w:rsidR="001E6401" w:rsidRDefault="00000000">
      <w:pPr>
        <w:pStyle w:val="FootnoteText"/>
      </w:pPr>
      <w:r>
        <w:rPr>
          <w:rStyle w:val="FootnoteReference"/>
        </w:rPr>
        <w:footnoteRef/>
      </w:r>
      <w:r>
        <w:t xml:space="preserve"> N.C. coded the quality of each record included in the meta-analysis using a modified version of the Downs and Black (1998) checklist. On a 0-1 scale, ratings of reporting quality were modest (</w:t>
      </w:r>
      <w:r>
        <w:rPr>
          <w:i/>
          <w:iCs/>
        </w:rPr>
        <w:t>M</w:t>
      </w:r>
      <w:r>
        <w:t xml:space="preserve"> </w:t>
      </w:r>
      <w:r>
        <w:rPr>
          <w:i/>
          <w:iCs/>
        </w:rPr>
        <w:t>=</w:t>
      </w:r>
      <w:r>
        <w:t xml:space="preserve"> 0.71, </w:t>
      </w:r>
      <w:r>
        <w:rPr>
          <w:i/>
          <w:iCs/>
        </w:rPr>
        <w:t>SD</w:t>
      </w:r>
      <w:r>
        <w:t xml:space="preserve"> = 0.30); ratings of internal validity were high (</w:t>
      </w:r>
      <w:r>
        <w:rPr>
          <w:i/>
          <w:iCs/>
        </w:rPr>
        <w:t>M</w:t>
      </w:r>
      <w:r>
        <w:t xml:space="preserve"> </w:t>
      </w:r>
      <w:r>
        <w:rPr>
          <w:i/>
          <w:iCs/>
        </w:rPr>
        <w:t>=</w:t>
      </w:r>
      <w:r>
        <w:t xml:space="preserve"> 0.91, </w:t>
      </w:r>
      <w:r>
        <w:rPr>
          <w:i/>
          <w:iCs/>
        </w:rPr>
        <w:t>SD</w:t>
      </w:r>
      <w:r>
        <w:t xml:space="preserve"> = 0.17); and ratings of external validity were consistently 0. The low external validity scores were driven by the reliance on non-representative sampling methods, an unfortunately common limitation in experimental psychology (Frank et al., 2023). Quality ratings were not significantly associated with observed effect sizes and are thus not discussed.</w:t>
      </w:r>
    </w:p>
  </w:footnote>
  <w:footnote w:id="8">
    <w:p w14:paraId="3C57B7E1" w14:textId="77777777" w:rsidR="001E6401" w:rsidRDefault="00000000">
      <w:pPr>
        <w:pStyle w:val="FootnoteText"/>
      </w:pPr>
      <w:r>
        <w:rPr>
          <w:rStyle w:val="FootnoteReference"/>
        </w:rPr>
        <w:footnoteRef/>
      </w:r>
      <w:r>
        <w:t xml:space="preserve"> Whether meta-analysts should combine effects from within and between-subjects design has sparked considerable debate (Morris, 2002). We felt that combining such effects was justified given that (a) effect sizes were converted into a common metric using design-specific estimates of sampling variance, (b) sensitivity analyses of assumed within-subject correlations produced virtually no change in our overall effect size estimate, and (c) we did not detect significant differences between studies that manipulated explicit hypothesis cues within- vs. between-subjects.</w:t>
      </w:r>
    </w:p>
  </w:footnote>
  <w:footnote w:id="9">
    <w:p w14:paraId="0C360371" w14:textId="77777777" w:rsidR="001E6401" w:rsidRDefault="00000000">
      <w:pPr>
        <w:pStyle w:val="FootnoteText"/>
      </w:pPr>
      <w:r>
        <w:rPr>
          <w:rStyle w:val="FootnoteReference"/>
        </w:rPr>
        <w:footnoteRef/>
      </w:r>
      <w:r>
        <w:t xml:space="preserve"> In a six-lab investigation of explicit demand effects in conformity research, (Coles et al., 2024) observed no overall effect (</w:t>
      </w:r>
      <w:r>
        <w:rPr>
          <w:i/>
          <w:iCs/>
        </w:rPr>
        <w:t>g</w:t>
      </w:r>
      <w:r>
        <w:t xml:space="preserve"> = 0.02) but high heterogeneity (</w:t>
      </w:r>
      <m:oMath>
        <m:r>
          <w:rPr>
            <w:rFonts w:ascii="Cambria Math" w:hAnsi="Cambria Math"/>
          </w:rPr>
          <m:t>τ</m:t>
        </m:r>
      </m:oMath>
      <w:r>
        <w:t xml:space="preserve"> = 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5C68C435"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C12BA" w14:textId="77777777" w:rsidR="00042382" w:rsidRDefault="0004238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013CEE13" w14:textId="77777777" w:rsidR="0004238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860C32" w14:textId="77777777" w:rsidR="0004238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69354336" w14:textId="77777777" w:rsidR="0004238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60563E" w14:textId="77777777" w:rsidR="0004238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39371757">
    <w:abstractNumId w:val="13"/>
  </w:num>
  <w:num w:numId="2" w16cid:durableId="1382481975">
    <w:abstractNumId w:val="13"/>
  </w:num>
  <w:num w:numId="3" w16cid:durableId="487789687">
    <w:abstractNumId w:val="14"/>
  </w:num>
  <w:num w:numId="4" w16cid:durableId="952829943">
    <w:abstractNumId w:val="1"/>
  </w:num>
  <w:num w:numId="5" w16cid:durableId="296573056">
    <w:abstractNumId w:val="2"/>
  </w:num>
  <w:num w:numId="6" w16cid:durableId="230577730">
    <w:abstractNumId w:val="3"/>
  </w:num>
  <w:num w:numId="7" w16cid:durableId="792209653">
    <w:abstractNumId w:val="4"/>
  </w:num>
  <w:num w:numId="8" w16cid:durableId="1589852557">
    <w:abstractNumId w:val="9"/>
  </w:num>
  <w:num w:numId="9" w16cid:durableId="537667250">
    <w:abstractNumId w:val="5"/>
  </w:num>
  <w:num w:numId="10" w16cid:durableId="1319114560">
    <w:abstractNumId w:val="6"/>
  </w:num>
  <w:num w:numId="11" w16cid:durableId="602762751">
    <w:abstractNumId w:val="7"/>
  </w:num>
  <w:num w:numId="12" w16cid:durableId="342973060">
    <w:abstractNumId w:val="8"/>
  </w:num>
  <w:num w:numId="13" w16cid:durableId="1701320141">
    <w:abstractNumId w:val="10"/>
  </w:num>
  <w:num w:numId="14" w16cid:durableId="1581255535">
    <w:abstractNumId w:val="14"/>
  </w:num>
  <w:num w:numId="15" w16cid:durableId="811295378">
    <w:abstractNumId w:val="0"/>
  </w:num>
  <w:num w:numId="16" w16cid:durableId="633290505">
    <w:abstractNumId w:val="0"/>
  </w:num>
  <w:num w:numId="17" w16cid:durableId="1384520866">
    <w:abstractNumId w:val="11"/>
  </w:num>
  <w:num w:numId="18" w16cid:durableId="1695378868">
    <w:abstractNumId w:val="12"/>
  </w:num>
  <w:num w:numId="19" w16cid:durableId="2068726710">
    <w:abstractNumId w:val="11"/>
  </w:num>
  <w:num w:numId="20" w16cid:durableId="2023429797">
    <w:abstractNumId w:val="12"/>
  </w:num>
  <w:num w:numId="21" w16cid:durableId="366225709">
    <w:abstractNumId w:val="11"/>
  </w:num>
  <w:num w:numId="22" w16cid:durableId="1298342632">
    <w:abstractNumId w:val="12"/>
  </w:num>
  <w:num w:numId="23" w16cid:durableId="2146774701">
    <w:abstractNumId w:val="11"/>
  </w:num>
  <w:num w:numId="24" w16cid:durableId="1076324648">
    <w:abstractNumId w:val="12"/>
  </w:num>
  <w:num w:numId="25" w16cid:durableId="2600708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es, Nicholas A.">
    <w15:presenceInfo w15:providerId="AD" w15:userId="S::ncoles@ufl.edu::61b9afe7-c068-4f05-8312-876ce756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15DCC"/>
    <w:rsid w:val="00021253"/>
    <w:rsid w:val="00042382"/>
    <w:rsid w:val="00084144"/>
    <w:rsid w:val="000F5A50"/>
    <w:rsid w:val="00115933"/>
    <w:rsid w:val="00135084"/>
    <w:rsid w:val="00193D92"/>
    <w:rsid w:val="001E6401"/>
    <w:rsid w:val="00313569"/>
    <w:rsid w:val="00352BA1"/>
    <w:rsid w:val="003756FC"/>
    <w:rsid w:val="003879F0"/>
    <w:rsid w:val="003D44B0"/>
    <w:rsid w:val="00435F1A"/>
    <w:rsid w:val="00472128"/>
    <w:rsid w:val="00506818"/>
    <w:rsid w:val="0057450F"/>
    <w:rsid w:val="005A55BB"/>
    <w:rsid w:val="005E4054"/>
    <w:rsid w:val="006373B0"/>
    <w:rsid w:val="00693388"/>
    <w:rsid w:val="006E6812"/>
    <w:rsid w:val="00736D4F"/>
    <w:rsid w:val="00871062"/>
    <w:rsid w:val="008D1023"/>
    <w:rsid w:val="0092086F"/>
    <w:rsid w:val="00961D9D"/>
    <w:rsid w:val="009A3A1D"/>
    <w:rsid w:val="009E05DE"/>
    <w:rsid w:val="00B72BD5"/>
    <w:rsid w:val="00BA47C3"/>
    <w:rsid w:val="00BB54F4"/>
    <w:rsid w:val="00BF4B6B"/>
    <w:rsid w:val="00C0698C"/>
    <w:rsid w:val="00CA3A01"/>
    <w:rsid w:val="00CD1520"/>
    <w:rsid w:val="00CF1051"/>
    <w:rsid w:val="00E40723"/>
    <w:rsid w:val="00E51248"/>
    <w:rsid w:val="00E634E8"/>
    <w:rsid w:val="00E753DB"/>
    <w:rsid w:val="00EB1F7E"/>
    <w:rsid w:val="00F80718"/>
    <w:rsid w:val="00F935EA"/>
    <w:rsid w:val="00FE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E1C2"/>
  <w15:docId w15:val="{DB8AF1F2-49B4-2147-B636-1EE7BAB3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UnresolvedMention">
    <w:name w:val="Unresolved Mention"/>
    <w:basedOn w:val="DefaultParagraphFont"/>
    <w:uiPriority w:val="99"/>
    <w:semiHidden/>
    <w:unhideWhenUsed/>
    <w:rsid w:val="00E40723"/>
    <w:rPr>
      <w:color w:val="605E5C"/>
      <w:shd w:val="clear" w:color="auto" w:fill="E1DFDD"/>
    </w:rPr>
  </w:style>
  <w:style w:type="paragraph" w:styleId="Revision">
    <w:name w:val="Revision"/>
    <w:hidden/>
    <w:semiHidden/>
    <w:rsid w:val="00BB54F4"/>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49243">
      <w:bodyDiv w:val="1"/>
      <w:marLeft w:val="0"/>
      <w:marRight w:val="0"/>
      <w:marTop w:val="0"/>
      <w:marBottom w:val="0"/>
      <w:divBdr>
        <w:top w:val="none" w:sz="0" w:space="0" w:color="auto"/>
        <w:left w:val="none" w:sz="0" w:space="0" w:color="auto"/>
        <w:bottom w:val="none" w:sz="0" w:space="0" w:color="auto"/>
        <w:right w:val="none" w:sz="0" w:space="0" w:color="auto"/>
      </w:divBdr>
    </w:div>
    <w:div w:id="432629944">
      <w:bodyDiv w:val="1"/>
      <w:marLeft w:val="0"/>
      <w:marRight w:val="0"/>
      <w:marTop w:val="0"/>
      <w:marBottom w:val="0"/>
      <w:divBdr>
        <w:top w:val="none" w:sz="0" w:space="0" w:color="auto"/>
        <w:left w:val="none" w:sz="0" w:space="0" w:color="auto"/>
        <w:bottom w:val="none" w:sz="0" w:space="0" w:color="auto"/>
        <w:right w:val="none" w:sz="0" w:space="0" w:color="auto"/>
      </w:divBdr>
    </w:div>
    <w:div w:id="863641306">
      <w:bodyDiv w:val="1"/>
      <w:marLeft w:val="0"/>
      <w:marRight w:val="0"/>
      <w:marTop w:val="0"/>
      <w:marBottom w:val="0"/>
      <w:divBdr>
        <w:top w:val="none" w:sz="0" w:space="0" w:color="auto"/>
        <w:left w:val="none" w:sz="0" w:space="0" w:color="auto"/>
        <w:bottom w:val="none" w:sz="0" w:space="0" w:color="auto"/>
        <w:right w:val="none" w:sz="0" w:space="0" w:color="auto"/>
      </w:divBdr>
    </w:div>
    <w:div w:id="1242716650">
      <w:bodyDiv w:val="1"/>
      <w:marLeft w:val="0"/>
      <w:marRight w:val="0"/>
      <w:marTop w:val="0"/>
      <w:marBottom w:val="0"/>
      <w:divBdr>
        <w:top w:val="none" w:sz="0" w:space="0" w:color="auto"/>
        <w:left w:val="none" w:sz="0" w:space="0" w:color="auto"/>
        <w:bottom w:val="none" w:sz="0" w:space="0" w:color="auto"/>
        <w:right w:val="none" w:sz="0" w:space="0" w:color="auto"/>
      </w:divBdr>
      <w:divsChild>
        <w:div w:id="1492985428">
          <w:marLeft w:val="0"/>
          <w:marRight w:val="0"/>
          <w:marTop w:val="0"/>
          <w:marBottom w:val="0"/>
          <w:divBdr>
            <w:top w:val="none" w:sz="0" w:space="0" w:color="auto"/>
            <w:left w:val="none" w:sz="0" w:space="0" w:color="auto"/>
            <w:bottom w:val="none" w:sz="0" w:space="0" w:color="auto"/>
            <w:right w:val="none" w:sz="0" w:space="0" w:color="auto"/>
          </w:divBdr>
          <w:divsChild>
            <w:div w:id="623148210">
              <w:marLeft w:val="0"/>
              <w:marRight w:val="0"/>
              <w:marTop w:val="0"/>
              <w:marBottom w:val="0"/>
              <w:divBdr>
                <w:top w:val="none" w:sz="0" w:space="0" w:color="auto"/>
                <w:left w:val="none" w:sz="0" w:space="0" w:color="auto"/>
                <w:bottom w:val="none" w:sz="0" w:space="0" w:color="auto"/>
                <w:right w:val="none" w:sz="0" w:space="0" w:color="auto"/>
              </w:divBdr>
              <w:divsChild>
                <w:div w:id="145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7422">
          <w:marLeft w:val="0"/>
          <w:marRight w:val="0"/>
          <w:marTop w:val="0"/>
          <w:marBottom w:val="0"/>
          <w:divBdr>
            <w:top w:val="single" w:sz="6" w:space="0" w:color="CCCCCC"/>
            <w:left w:val="none" w:sz="0" w:space="0" w:color="auto"/>
            <w:bottom w:val="single" w:sz="6" w:space="0" w:color="CCCCCC"/>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weightr"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crsh/papaja" TargetMode="External"/><Relationship Id="rId17" Type="http://schemas.openxmlformats.org/officeDocument/2006/relationships/hyperlink" Target="https://osf.io/3hkre/?view_only=2dc92af53f194e5eab0d7aecafaf01c2" TargetMode="Externa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RAN.R-project.org/package=PublicationBi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doi.org/10.21105/joss.0313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56</Pages>
  <Words>12097</Words>
  <Characters>68955</Characters>
  <Application>Microsoft Office Word</Application>
  <DocSecurity>0</DocSecurity>
  <Lines>574</Lines>
  <Paragraphs>161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Meta-analysis suggests that the effects of demand characteristics can be consequential, unreliable, and difficult to explain</vt:lpstr>
      <vt:lpstr>Distorted estimates of implicit and explicit learning in applications of the process-dissociation procedure to the SRT task</vt:lpstr>
    </vt:vector>
  </TitlesOfParts>
  <Manager/>
  <Company/>
  <LinksUpToDate>false</LinksUpToDate>
  <CharactersWithSpaces>80891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Meta-analysis suggests that the effects of demand characteristics can be consequential, unreliable, and difficult to explain</dc:title>
  <dc:creator/>
  <cp:keywords/>
  <cp:lastModifiedBy>Coles, Nicholas A.</cp:lastModifiedBy>
  <cp:revision>12</cp:revision>
  <dcterms:created xsi:type="dcterms:W3CDTF">2024-12-31T17:55:00Z</dcterms:created>
  <dcterms:modified xsi:type="dcterms:W3CDTF">2025-05-03T02:39:00Z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explicit information about the researcher’s hypothesis produce biases in participants’ responses that can be potentially large – but are still troublingly unreliable and difficult to explain. 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@lana1971subject;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