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2222C" w14:textId="77777777" w:rsidR="00C96820" w:rsidRDefault="00000000">
      <w:pPr>
        <w:pStyle w:val="Title"/>
      </w:pPr>
      <w:r>
        <w:t>A meta-analysis of the impact and heterogeneity of explicit demand characteristics</w:t>
      </w:r>
    </w:p>
    <w:p w14:paraId="5B05AF93" w14:textId="6DB21CFC" w:rsidR="00C96820" w:rsidRDefault="005403C4">
      <w:pPr>
        <w:pStyle w:val="Author"/>
      </w:pPr>
      <w:r>
        <w:t>Nicholas A. Coles</w:t>
      </w:r>
      <w:r>
        <w:rPr>
          <w:vertAlign w:val="superscript"/>
        </w:rPr>
        <w:t>1</w:t>
      </w:r>
      <w:r w:rsidR="00BB5854">
        <w:rPr>
          <w:vertAlign w:val="superscript"/>
        </w:rPr>
        <w:t>,2</w:t>
      </w:r>
      <w:r>
        <w:t>, Morgan Wyatt</w:t>
      </w:r>
      <w:r>
        <w:rPr>
          <w:vertAlign w:val="superscript"/>
        </w:rPr>
        <w:t>3</w:t>
      </w:r>
      <w:r>
        <w:t>, Michael C. Frank</w:t>
      </w:r>
      <w:r w:rsidR="00BB5854">
        <w:rPr>
          <w:vertAlign w:val="superscript"/>
        </w:rPr>
        <w:t>3</w:t>
      </w:r>
    </w:p>
    <w:p w14:paraId="042D8016" w14:textId="726ECFAD" w:rsidR="00C96820" w:rsidRDefault="00000000">
      <w:pPr>
        <w:pStyle w:val="Author"/>
      </w:pPr>
      <w:r>
        <w:rPr>
          <w:vertAlign w:val="superscript"/>
        </w:rPr>
        <w:t>1</w:t>
      </w:r>
      <w:r>
        <w:t xml:space="preserve"> </w:t>
      </w:r>
      <w:r w:rsidR="005403C4">
        <w:t>Department of Psychology, University of Florida</w:t>
      </w:r>
    </w:p>
    <w:p w14:paraId="60976BC3" w14:textId="616952A3" w:rsidR="00C96820" w:rsidRDefault="00000000">
      <w:pPr>
        <w:pStyle w:val="Author"/>
      </w:pPr>
      <w:r>
        <w:rPr>
          <w:vertAlign w:val="superscript"/>
        </w:rPr>
        <w:t>2</w:t>
      </w:r>
      <w:r>
        <w:t xml:space="preserve"> </w:t>
      </w:r>
      <w:r w:rsidR="005403C4">
        <w:t>Center for the Study of Language and Information, Stanford University</w:t>
      </w:r>
    </w:p>
    <w:p w14:paraId="2EBFA2E3" w14:textId="16E38A9E" w:rsidR="002539D1" w:rsidRDefault="00BB5854" w:rsidP="002539D1">
      <w:pPr>
        <w:pStyle w:val="Author"/>
      </w:pPr>
      <w:r>
        <w:rPr>
          <w:vertAlign w:val="superscript"/>
        </w:rPr>
        <w:t>3</w:t>
      </w:r>
      <w:r>
        <w:t xml:space="preserve"> </w:t>
      </w:r>
      <w:r w:rsidR="005403C4">
        <w:t>Department of Psychology, Stanford University</w:t>
      </w:r>
    </w:p>
    <w:tbl>
      <w:tblPr>
        <w:tblStyle w:val="TableGrid"/>
        <w:tblW w:w="0" w:type="auto"/>
        <w:tblLook w:val="04A0" w:firstRow="1" w:lastRow="0" w:firstColumn="1" w:lastColumn="0" w:noHBand="0" w:noVBand="1"/>
      </w:tblPr>
      <w:tblGrid>
        <w:gridCol w:w="9622"/>
      </w:tblGrid>
      <w:tr w:rsidR="002539D1" w14:paraId="0DE2F674" w14:textId="77777777">
        <w:tc>
          <w:tcPr>
            <w:tcW w:w="9622" w:type="dxa"/>
          </w:tcPr>
          <w:p w14:paraId="799CC29D" w14:textId="654FCE88" w:rsidR="002539D1" w:rsidRDefault="002539D1">
            <w:pPr>
              <w:pStyle w:val="BodyText"/>
              <w:ind w:firstLine="0"/>
            </w:pPr>
            <w:r w:rsidRPr="002539D1">
              <w:rPr>
                <w:b/>
                <w:bCs/>
              </w:rPr>
              <w:t>Note:</w:t>
            </w:r>
            <w:r>
              <w:t xml:space="preserve"> This is a pre-print that has not yet been peer reviewed. Please cite responsibly.</w:t>
            </w:r>
          </w:p>
        </w:tc>
      </w:tr>
    </w:tbl>
    <w:p w14:paraId="2C0DF248" w14:textId="209FD51E" w:rsidR="00C96820" w:rsidRDefault="00000000">
      <w:pPr>
        <w:pStyle w:val="BodyText"/>
      </w:pPr>
      <w:r>
        <w:t>                                                                                                                                                   </w:t>
      </w:r>
    </w:p>
    <w:p w14:paraId="2E1470D9" w14:textId="77777777" w:rsidR="00C96820" w:rsidRDefault="00000000">
      <w:pPr>
        <w:pStyle w:val="BodyText"/>
      </w:pPr>
      <w:r>
        <w:t> </w:t>
      </w:r>
    </w:p>
    <w:p w14:paraId="613A139D" w14:textId="77777777" w:rsidR="00C96820" w:rsidRDefault="00000000">
      <w:pPr>
        <w:pStyle w:val="authornote-title"/>
        <w:framePr w:wrap="notBeside"/>
      </w:pPr>
      <w:r>
        <w:lastRenderedPageBreak/>
        <w:t xml:space="preserve">Author </w:t>
      </w:r>
      <w:proofErr w:type="gramStart"/>
      <w:r>
        <w:t>note</w:t>
      </w:r>
      <w:proofErr w:type="gramEnd"/>
    </w:p>
    <w:p w14:paraId="0C0F65A0" w14:textId="77777777" w:rsidR="00C96820" w:rsidRDefault="00000000">
      <w:pPr>
        <w:pStyle w:val="authornote"/>
        <w:framePr w:wrap="notBeside"/>
      </w:pPr>
      <w:r>
        <w:t>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w:t>
      </w:r>
    </w:p>
    <w:p w14:paraId="45BA5AB4" w14:textId="75E1A350" w:rsidR="00C96820" w:rsidRDefault="00000000">
      <w:pPr>
        <w:pStyle w:val="authornote"/>
        <w:framePr w:wrap="notBeside"/>
      </w:pPr>
      <w:r>
        <w:t xml:space="preserve">All materials, data, code, and pre-registrations are openly available at </w:t>
      </w:r>
      <w:hyperlink r:id="rId7">
        <w:r w:rsidR="00C96820">
          <w:rPr>
            <w:rStyle w:val="Hyperlink"/>
          </w:rPr>
          <w:t>https://osf.io/3hkre/?view_only=2dc92af53f194e5eab0d7aecafaf01c2</w:t>
        </w:r>
      </w:hyperlink>
      <w:r>
        <w:t xml:space="preserve">. This work was supported by the John Templeton Foundation (grant # anonymous for peer review). The funder had no role in the preparation of the manuscript or decision to publish. </w:t>
      </w:r>
      <w:r w:rsidR="00420BCA">
        <w:t xml:space="preserve">Authors have no reported conflicts of interest. </w:t>
      </w:r>
      <w:r>
        <w:t>We thank (1) (anonymous for peer review; AC, GG, JK) for assistance with code review, and (2) (anonymous for peer review; JB) for assistance developing the initial literature search strategy.</w:t>
      </w:r>
    </w:p>
    <w:p w14:paraId="19369258" w14:textId="77777777" w:rsidR="00C96820" w:rsidRDefault="00000000">
      <w:pPr>
        <w:pStyle w:val="authornote"/>
        <w:framePr w:wrap="notBesid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5D990379" w14:textId="7FA6AC83" w:rsidR="00C96820" w:rsidRDefault="00000000">
      <w:pPr>
        <w:pStyle w:val="authornote"/>
        <w:framePr w:wrap="notBeside"/>
      </w:pPr>
      <w:r>
        <w:t>Correspondence be addressed to</w:t>
      </w:r>
      <w:r w:rsidR="00023C86">
        <w:t>:</w:t>
      </w:r>
      <w:r>
        <w:t xml:space="preserve"> Anonymous for peer review</w:t>
      </w:r>
      <w:r w:rsidR="00023C86">
        <w:t>.</w:t>
      </w:r>
    </w:p>
    <w:p w14:paraId="52271A10" w14:textId="77777777" w:rsidR="00C96820" w:rsidRDefault="00000000">
      <w:pPr>
        <w:pStyle w:val="h1-pagebreak"/>
      </w:pPr>
      <w:r>
        <w:lastRenderedPageBreak/>
        <w:t>Abstract</w:t>
      </w:r>
    </w:p>
    <w:p w14:paraId="411FC13D" w14:textId="77777777" w:rsidR="00C96820" w:rsidRDefault="00000000">
      <w:pPr>
        <w:pStyle w:val="BodyText"/>
      </w:pPr>
      <w:r>
        <w:t xml:space="preserve">Demand characteristics are a fundamental methodological concern in experimental psychology. Yet, little is known about the direction, magnitude, and consistency of their effects. We conducted a three-level meta-analysis of 252 effect sizes from 52 studies that manipulated explicit demand characteristics (EDCs). On average, </w:t>
      </w:r>
      <w:proofErr w:type="gramStart"/>
      <w:r>
        <w:t>EDC’s</w:t>
      </w:r>
      <w:proofErr w:type="gramEnd"/>
      <w:r>
        <w:t xml:space="preserve"> led to small overall increases in hypothesis-consistent responding (</w:t>
      </w:r>
      <w:r>
        <w:rPr>
          <w:i/>
          <w:iCs/>
        </w:rPr>
        <w:t>g</w:t>
      </w:r>
      <w:r>
        <w:t xml:space="preserve"> = 0.21, 95% CI [0.12, 0.31]). However, the effects were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Consistent with previous theorizing, the observed and estimated distribution of these effects suggest that demand characteristics can create false positives, false negatives, upward bias, and downward bias. These unpredictable inferential consequences suggest that further research is needed to test mechanisms theorized to underlie the effects of demand characteristics.</w:t>
      </w:r>
    </w:p>
    <w:p w14:paraId="7A450A70" w14:textId="77777777" w:rsidR="00C96820" w:rsidRDefault="00000000">
      <w:pPr>
        <w:pStyle w:val="BodyText"/>
      </w:pPr>
      <w:r>
        <w:rPr>
          <w:i/>
          <w:iCs/>
        </w:rPr>
        <w:t>Keywords:</w:t>
      </w:r>
      <w:r>
        <w:t xml:space="preserve"> demand characteristics, meta-analysis, methodology, causal inference, confound</w:t>
      </w:r>
    </w:p>
    <w:p w14:paraId="45AE5D41" w14:textId="77777777" w:rsidR="00C96820" w:rsidRDefault="00000000">
      <w:pPr>
        <w:pStyle w:val="h1-pagebreak"/>
      </w:pPr>
      <w:r>
        <w:lastRenderedPageBreak/>
        <w:t>A meta-analysis of the impact and heterogeneity of explicit demand characteristics</w:t>
      </w:r>
    </w:p>
    <w:p w14:paraId="4D3C561D" w14:textId="77777777" w:rsidR="00C96820" w:rsidRDefault="00000000">
      <w:pPr>
        <w:pStyle w:val="BodyText"/>
      </w:pPr>
      <w:r>
        <w:t xml:space="preserve">“All scientific inquiry is subject to error, and it is far better to be aware of this, to study the sources in an attempt to reduce it, and to estimate the magnitude of such errors in our findings, </w:t>
      </w:r>
      <w:proofErr w:type="gramStart"/>
      <w:r>
        <w:t>than</w:t>
      </w:r>
      <w:proofErr w:type="gramEnd"/>
      <w:r>
        <w:t xml:space="preserve"> to be ignorant of the errors concealed in the data” (Hyman, 1954, p. 4)</w:t>
      </w:r>
    </w:p>
    <w:p w14:paraId="1EC065A9" w14:textId="77777777" w:rsidR="00C96820" w:rsidRDefault="00000000">
      <w:pPr>
        <w:pStyle w:val="BodyText"/>
      </w:pPr>
      <w:r>
        <w:t xml:space="preserve">Imagine that one day a mysterious group of people approach you and begin telling you about a method they invented for understanding humans. They tell you that their method is useful for estimating causal </w:t>
      </w:r>
      <w:proofErr w:type="gramStart"/>
      <w:r>
        <w:t>relationships, but</w:t>
      </w:r>
      <w:proofErr w:type="gramEnd"/>
      <w:r>
        <w:t xml:space="preserve"> add that there is an issue: it can sometimes be thrown off by a </w:t>
      </w:r>
      <w:r>
        <w:rPr>
          <w:i/>
          <w:iCs/>
        </w:rPr>
        <w:t>methodological artifact</w:t>
      </w:r>
      <w:r>
        <w:t xml:space="preserve">. They explain that this artifact sometimes causes them to detect an effect that is not real, and other times miss an effect that </w:t>
      </w:r>
      <w:r>
        <w:rPr>
          <w:i/>
          <w:iCs/>
        </w:rPr>
        <w:t>is</w:t>
      </w:r>
      <w:r>
        <w:t xml:space="preserve"> real; that it sometimes makes an effect appear bigger than it </w:t>
      </w:r>
      <w:proofErr w:type="gramStart"/>
      <w:r>
        <w:t>actually is</w:t>
      </w:r>
      <w:proofErr w:type="gramEnd"/>
      <w:r>
        <w:t>, and other times smaller. And that, in general, it is unclear when, why, and to what extent this artifact impacts their conclusions.</w:t>
      </w:r>
    </w:p>
    <w:p w14:paraId="5608D70A" w14:textId="77777777" w:rsidR="00C96820" w:rsidRDefault="00000000">
      <w:pPr>
        <w:pStyle w:val="BodyText"/>
      </w:pPr>
      <w:r>
        <w:t xml:space="preserve">The above scenario, we argue, serves as an abstraction of a methodological puzzle in experimental psychology: the role of </w:t>
      </w:r>
      <w:r>
        <w:rPr>
          <w:i/>
          <w:iCs/>
        </w:rPr>
        <w:t>demand characteristics</w:t>
      </w:r>
      <w:r>
        <w:t>.</w:t>
      </w:r>
    </w:p>
    <w:p w14:paraId="2C2E81E3" w14:textId="6B6DE8B0" w:rsidR="00C96820"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However, later research helped establish that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w:t>
      </w:r>
      <w:r>
        <w:lastRenderedPageBreak/>
        <w:t xml:space="preserve">on self-reported emotion can be exaggerated </w:t>
      </w:r>
      <w:r>
        <w:rPr>
          <w:i/>
          <w:iCs/>
        </w:rPr>
        <w:t>or</w:t>
      </w:r>
      <w:r>
        <w:t xml:space="preserve"> underestimated depending on whether the experimenter communicates expectations of positive or nil effects (Coles</w:t>
      </w:r>
      <w:r w:rsidR="0048097B">
        <w:t xml:space="preserve"> et al.,</w:t>
      </w:r>
      <w:r>
        <w:t xml:space="preserve"> 2022). Puzzlingly, though, demand characteristics do not always seem to matter. For example, in a set of large replications of classic studies in behavioral economics, explicit manipulations of demand characteristics consistently failed to produce </w:t>
      </w:r>
      <w:r w:rsidR="0063595A">
        <w:t xml:space="preserve">statistically </w:t>
      </w:r>
      <w:r>
        <w:t>significant changes in participants’ responses (</w:t>
      </w:r>
      <w:proofErr w:type="spellStart"/>
      <w:r>
        <w:t>Mummolo</w:t>
      </w:r>
      <w:proofErr w:type="spellEnd"/>
      <w:r>
        <w:t xml:space="preserve"> &amp; Peterson, 2019).</w:t>
      </w:r>
    </w:p>
    <w:p w14:paraId="0F39A07C" w14:textId="77777777" w:rsidR="00C96820" w:rsidRDefault="00000000">
      <w:pPr>
        <w:pStyle w:val="BodyText"/>
      </w:pPr>
      <w:r>
        <w:t xml:space="preserve">As this short review illustrates, demand characteristics presents several similarities to the methodological artifact described in the opening of this paper. Demand characteristics are a literal textbook methodological concern in experimental psychology (Sharpe &amp; Whelton, 2016) that (a) can lead to both false positives and false negatives, (b) can create both upward bias and downward bias, but (c) don’t always appear to matter. In the present work, we take stock of progress on this puzzle via a meta-analysis of a unique methodological response: experiments </w:t>
      </w:r>
      <w:r>
        <w:rPr>
          <w:i/>
          <w:iCs/>
        </w:rPr>
        <w:t>on</w:t>
      </w:r>
      <w:r>
        <w:t xml:space="preserve"> explicit demand characteristics. To begin, we review the theoretical and conceptual frameworks that guided the investigation.</w:t>
      </w:r>
    </w:p>
    <w:p w14:paraId="30CE5F4F" w14:textId="77777777" w:rsidR="00C96820" w:rsidRDefault="00000000">
      <w:pPr>
        <w:pStyle w:val="Heading2"/>
      </w:pPr>
      <w:bookmarkStart w:id="0" w:name="Xa0d64ece604650f58e403bddeb4af76aa562f5e"/>
      <w:r>
        <w:t>How do demand characteristics alter participant responses?</w:t>
      </w:r>
    </w:p>
    <w:p w14:paraId="782B1E41" w14:textId="77777777" w:rsidR="00C96820" w:rsidRDefault="00000000">
      <w:pPr>
        <w:pStyle w:val="FirstParagraph"/>
      </w:pPr>
      <w:r>
        <w:t xml:space="preserve">One of the most influential frameworks for conceptualizing the effects of demand characteristics was developed by </w:t>
      </w:r>
      <w:proofErr w:type="spellStart"/>
      <w:r>
        <w:t>Rosnow</w:t>
      </w:r>
      <w:proofErr w:type="spellEnd"/>
      <w:r>
        <w:t xml:space="preserve"> and colleagues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2008). In this framework, they identified three factors that create heterogeneity in the effects of demand characteristics: (1) receptivity to cues, (2) motivation to provide hypothesis-consistent responses, and (3) opportunity to alter responses.</w:t>
      </w:r>
    </w:p>
    <w:p w14:paraId="2934AB89" w14:textId="77777777" w:rsidR="00C96820" w:rsidRDefault="00000000">
      <w:pPr>
        <w:pStyle w:val="BodyText"/>
      </w:pPr>
      <w:r>
        <w:t xml:space="preserve">To start, </w:t>
      </w:r>
      <w:proofErr w:type="spellStart"/>
      <w:r>
        <w:t>Rosnow</w:t>
      </w:r>
      <w:proofErr w:type="spellEnd"/>
      <w:r>
        <w:t xml:space="preserve"> and colleagues reasoned that participants must be receptive to demand characteristics for there to be subsequent shifts in participants’ responses. As an extreme </w:t>
      </w:r>
      <w:r>
        <w:lastRenderedPageBreak/>
        <w:t>example, imagine that a researcher hands an infant a sheet of paper that precisely explains the study hypothesis. Demand characteristics are certainly present, but they are not predicted to have an impact because the infant is not receptive to the cues. Furthermore, even if the infant possessed the astonishing ability to read, it’s possible they would misunderstand the cues (Corneille &amp; Lush, 2023) – which could be considered another form of non-receptivity.</w:t>
      </w:r>
    </w:p>
    <w:p w14:paraId="64A56D46" w14:textId="0BD39DC2" w:rsidR="00C96820" w:rsidRDefault="00000000">
      <w:pPr>
        <w:pStyle w:val="BodyText"/>
      </w:pPr>
      <w:r>
        <w:t xml:space="preserve">If participants correctly interpret demand characteristics, </w:t>
      </w:r>
      <w:proofErr w:type="spellStart"/>
      <w:r>
        <w:t>Rosnow</w:t>
      </w:r>
      <w:proofErr w:type="spellEnd"/>
      <w:r>
        <w:t xml:space="preserve"> and colleagues theorized that subsequent changes in participants’ responses would be driven by their motivation (or lack thereof) to provide hypothesis-consistent responses. For historical context, early work on demand characteristics was marked by debates about the extent to which participants are motivated to (a) help the researcher confirm their hypothesis (Orne, 1962), (b) receive positive evaluations (Riecken, 1962; Sigall</w:t>
      </w:r>
      <w:r w:rsidR="0048097B">
        <w:t xml:space="preserve"> et al.</w:t>
      </w:r>
      <w:r>
        <w:t xml:space="preserve">, 1970), (c) interfere with the purpose of the study (Cook et al., 1970; </w:t>
      </w:r>
      <w:proofErr w:type="spellStart"/>
      <w:r>
        <w:t>Masling</w:t>
      </w:r>
      <w:proofErr w:type="spellEnd"/>
      <w:r>
        <w:t>, 1966), or (d) follow directions as closely as possible (</w:t>
      </w:r>
      <w:proofErr w:type="spellStart"/>
      <w:r>
        <w:t>Fillenbaun</w:t>
      </w:r>
      <w:proofErr w:type="spellEnd"/>
      <w:r>
        <w:t xml:space="preserve"> &amp; Frey, 1970). </w:t>
      </w:r>
      <w:proofErr w:type="spellStart"/>
      <w:r>
        <w:t>Rosnow</w:t>
      </w:r>
      <w:proofErr w:type="spellEnd"/>
      <w:r>
        <w:t xml:space="preserve"> and colleagues advanced this line of thinking by illustrating that participants have </w:t>
      </w:r>
      <w:r>
        <w:rPr>
          <w:i/>
          <w:iCs/>
        </w:rPr>
        <w:t>multiple</w:t>
      </w:r>
      <w:r>
        <w:t xml:space="preserve"> shifting motivations in mind when they conceptualize their roles as subjects (</w:t>
      </w:r>
      <w:proofErr w:type="spellStart"/>
      <w:r>
        <w:t>Rosnow</w:t>
      </w:r>
      <w:proofErr w:type="spellEnd"/>
      <w:r>
        <w:t xml:space="preserve">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w:t>
      </w:r>
      <w:proofErr w:type="spellStart"/>
      <w:r>
        <w:t>Rosnow</w:t>
      </w:r>
      <w:proofErr w:type="spellEnd"/>
      <w:r>
        <w:t xml:space="preserve"> and colleagues, thus, suggested that participants in any given context can be characterized as being overall motivated to either: (a) </w:t>
      </w:r>
      <w:r>
        <w:rPr>
          <w:i/>
          <w:iCs/>
        </w:rPr>
        <w:t>non-acquiesce</w:t>
      </w:r>
      <w:r>
        <w:t xml:space="preserve"> (i.e., not change their responses based on knowledge about the hypothesis), (b) </w:t>
      </w:r>
      <w:r>
        <w:rPr>
          <w:i/>
          <w:iCs/>
        </w:rPr>
        <w:t>acquiesce</w:t>
      </w:r>
      <w:r>
        <w:t xml:space="preserve"> (i.e., provide hypothesis-consistent responses), or (c) </w:t>
      </w:r>
      <w:r>
        <w:rPr>
          <w:i/>
          <w:iCs/>
        </w:rPr>
        <w:t>counter-acquiesce</w:t>
      </w:r>
      <w:r>
        <w:t xml:space="preserve"> (i.e., provide hypothesis-inconsistent responses).</w:t>
      </w:r>
    </w:p>
    <w:p w14:paraId="395E13B6" w14:textId="77777777" w:rsidR="00C96820" w:rsidRDefault="00000000">
      <w:pPr>
        <w:pStyle w:val="BodyText"/>
      </w:pPr>
      <w:r>
        <w:lastRenderedPageBreak/>
        <w:t xml:space="preserve">If participants are motivated to adjust their response, </w:t>
      </w:r>
      <w:proofErr w:type="spellStart"/>
      <w:r>
        <w:t>Rosnow</w:t>
      </w:r>
      <w:proofErr w:type="spellEnd"/>
      <w:r>
        <w:t xml:space="preserve">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w:t>
      </w:r>
      <w:proofErr w:type="spellStart"/>
      <w:r>
        <w:t>Rosnow</w:t>
      </w:r>
      <w:proofErr w:type="spellEnd"/>
      <w:r>
        <w:t xml:space="preserve"> and colleagues concluded that demand characteristics bias responses when participants (1) notice the cues, (2) are motivated to adjust their responses, and (3) can adjust their responses.</w:t>
      </w:r>
    </w:p>
    <w:p w14:paraId="6926FB91" w14:textId="77777777" w:rsidR="00C96820" w:rsidRDefault="00000000">
      <w:pPr>
        <w:pStyle w:val="BodyText"/>
      </w:pPr>
      <w:r>
        <w:t xml:space="preserve">Other researchers have since expanded upon and/or challenged parts of </w:t>
      </w:r>
      <w:proofErr w:type="spellStart"/>
      <w:r>
        <w:t>Rosnow</w:t>
      </w:r>
      <w:proofErr w:type="spellEnd"/>
      <w:r>
        <w:t xml:space="preserve"> and colleagues’ framework. For example, by elaborating upon underlying mechanisms like imagination, Corneille and Lush (2023) more explicitly highlighted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motivation-irrelevant manners -– e.g., via conditioned responses or other mechanisms discussed in conceptually-related work on placebo effects (Stewart-Williams &amp; Podd, 2004). Regardless of proposed mechanisms, these frameworks converge on a prediction: the effects of demand characteristics will be heterogeneous.</w:t>
      </w:r>
    </w:p>
    <w:p w14:paraId="178DCA56" w14:textId="77777777" w:rsidR="00C96820" w:rsidRDefault="00000000">
      <w:pPr>
        <w:pStyle w:val="Heading2"/>
      </w:pPr>
      <w:bookmarkStart w:id="1" w:name="experiments-on-demand-characteristics"/>
      <w:bookmarkEnd w:id="0"/>
      <w:r>
        <w:t>Experiments on demand characteristics</w:t>
      </w:r>
    </w:p>
    <w:p w14:paraId="359804DB" w14:textId="77777777" w:rsidR="00C96820" w:rsidRDefault="00000000">
      <w:pPr>
        <w:pStyle w:val="FirstParagraph"/>
      </w:pPr>
      <w:proofErr w:type="spellStart"/>
      <w:r>
        <w:t>Rosnow</w:t>
      </w:r>
      <w:proofErr w:type="spellEnd"/>
      <w:r>
        <w:t xml:space="preserve"> and colleagues’ framework emerged during a time when researchers increasingly began conducting experiments on demand characteristics (McGuire, 2009). For example, Orne and Scheibe (1964) reported that participants were more likely to report sensory deprivation side-effects (e.g., hallucinations) when told that “…Such experiences are not unusual under the </w:t>
      </w:r>
      <w:r>
        <w:lastRenderedPageBreak/>
        <w:t>conditions to which you are to be subjected”. Similarly, Perry, Roots, and Perry (1978) found that participants were more likely to exhibit film-induced aggressive behavior when told that the researcher anticipated such a response.</w:t>
      </w:r>
    </w:p>
    <w:p w14:paraId="23FF2791" w14:textId="77777777" w:rsidR="00C96820" w:rsidRDefault="00000000">
      <w:pPr>
        <w:pStyle w:val="BodyText"/>
      </w:pPr>
      <w:r>
        <w:t xml:space="preserve">Experiments like these manipulate what we will call </w:t>
      </w:r>
      <w:r>
        <w:rPr>
          <w:i/>
          <w:iCs/>
        </w:rPr>
        <w:t>explicit demand characteristics</w:t>
      </w:r>
      <w:r>
        <w:t xml:space="preserve"> (EDCs). Orne (1962) defined demand characteristics broadly – as </w:t>
      </w:r>
      <w:r>
        <w:rPr>
          <w:i/>
          <w:iCs/>
        </w:rPr>
        <w:t>any</w:t>
      </w:r>
      <w:r>
        <w:t xml:space="preserve"> cue that impacts participants’ beliefs about the purpose of the study. This not only includes explicit information from the experimenter (i.e., EDCs), but also more subtle information, like rumors, television shows, and courses. These more subtle sources are, of course, important to study – but more difficult to precisely manipulate. Thus, we suspect that the choice to study EDC’s is more so based on methodologically convenience.</w:t>
      </w:r>
    </w:p>
    <w:p w14:paraId="0E9DAFA2" w14:textId="52E2015D" w:rsidR="00C96820" w:rsidRDefault="00000000">
      <w:pPr>
        <w:pStyle w:val="BodyText"/>
      </w:pPr>
      <w:r>
        <w:t xml:space="preserve">Despite their convenience, EDCs have a notable limitation: they are not representative of the typical experimental context, wherein experimenters usually refrain from disclosing their hypotheses. Thus, the methodology has been adopted with some trepidation. For example, Orne warned that EDCs may cause participants to “lean over backwards to be honest” (i.e., non-acquiesce; 1962, p. 779) or engage in “paradoxical action” (i.e., possibly counter-acquiesce; 2009, p. 116). However, Orne also used the method in his own work – often finding that participants’ responses are indeed influenced by EDCs (e.g., Orne </w:t>
      </w:r>
      <w:r w:rsidR="0048097B">
        <w:t>&amp;</w:t>
      </w:r>
      <w:r>
        <w:t xml:space="preserve"> Scheibe, 1964). Over the next few decades, dozen more studies would follow, providing an opportunity to evaluate the magnitude, consistency, and potential moderators of such effects via meta-analysis.</w:t>
      </w:r>
    </w:p>
    <w:p w14:paraId="5267980B" w14:textId="77777777" w:rsidR="00C96820" w:rsidRDefault="00000000">
      <w:pPr>
        <w:pStyle w:val="Heading1"/>
      </w:pPr>
      <w:bookmarkStart w:id="2" w:name="methodology"/>
      <w:bookmarkEnd w:id="1"/>
      <w:r>
        <w:t>Methodology</w:t>
      </w:r>
    </w:p>
    <w:p w14:paraId="6B40AEB1" w14:textId="3EEE727C" w:rsidR="00C96820" w:rsidRDefault="00000000">
      <w:pPr>
        <w:pStyle w:val="FirstParagraph"/>
      </w:pPr>
      <w:r>
        <w:t>We defined the scope of the meta-analysis using the Population, Intervention, Comparison, Outcome framework for structuring research questions (Schardt</w:t>
      </w:r>
      <w:r w:rsidR="0048097B">
        <w:t xml:space="preserve"> et al.</w:t>
      </w:r>
      <w:r>
        <w:t>, 2007).</w:t>
      </w:r>
    </w:p>
    <w:p w14:paraId="2B7AAE32" w14:textId="77777777" w:rsidR="00C96820" w:rsidRDefault="00000000">
      <w:pPr>
        <w:pStyle w:val="BodyText"/>
      </w:pPr>
      <w:r>
        <w:lastRenderedPageBreak/>
        <w:t xml:space="preserve">Our population-of-interest was human subjects participating in non-clinical psychology experiments. Given that there is a sizable literature and number of reviews on </w:t>
      </w:r>
      <w:proofErr w:type="gramStart"/>
      <w:r>
        <w:t>conceptually-related</w:t>
      </w:r>
      <w:proofErr w:type="gramEnd"/>
      <w:r>
        <w:t xml:space="preserve"> placebo effects, excluding clinical studies improved the feasibility and reduced the redundancy of our work. The intervention-of-interest was explicit demand characteristics (EDCs) – operationalized as scenarios where a researcher tells participants about the effect of an independent variable on a dependent variable. Our comparison-of-interest were conditions where either no hypothesis or a different hypothesis was communicated to participants. Last, the outcome-of-interest was the dependent variable described in the communicated hypothesis. For example, in a study that manipulated whether the intervention is described as “mood-boosting”, the outcome-of-interest would be any measure of mood.</w:t>
      </w:r>
    </w:p>
    <w:p w14:paraId="1C796B3D" w14:textId="77777777" w:rsidR="00C96820" w:rsidRDefault="00000000">
      <w:pPr>
        <w:pStyle w:val="Heading3"/>
        <w:framePr w:wrap="around"/>
      </w:pPr>
      <w:bookmarkStart w:id="3" w:name="literature-search"/>
      <w:r>
        <w:t>Literature search.</w:t>
      </w:r>
    </w:p>
    <w:p w14:paraId="7913CA0A" w14:textId="77777777" w:rsidR="00C96820" w:rsidRDefault="00000000">
      <w:pPr>
        <w:pStyle w:val="FirstParagraph"/>
      </w:pPr>
      <w:r>
        <w:t>Figure 1 provides a PRISMA-style flowchart summarizing our literature search and screening process (Page et al., 2021).</w:t>
      </w:r>
    </w:p>
    <w:p w14:paraId="073ADB65" w14:textId="77777777" w:rsidR="00C96820" w:rsidRDefault="00000000">
      <w:pPr>
        <w:pStyle w:val="BodyText"/>
      </w:pPr>
      <w:r>
        <w:t xml:space="preserve">The literature search was initially developed in consultation with a librarian at (anonymous for peer review) and later expanded based on reviewer feedback. On January 12, 2022, we searched APA </w:t>
      </w:r>
      <w:proofErr w:type="spellStart"/>
      <w:r>
        <w:t>PsycInfo</w:t>
      </w:r>
      <w:proofErr w:type="spellEnd"/>
      <w:r>
        <w:t xml:space="preserve"> using broad search terms: “demand characteristics” OR “hypothesis awareness” (</w:t>
      </w:r>
      <w:r>
        <w:rPr>
          <w:i/>
          <w:iCs/>
        </w:rPr>
        <w:t>n</w:t>
      </w:r>
      <w:r>
        <w:t xml:space="preserve"> = 850 records identified). On April 17, 2024, we repeated the search to identify records published after the initial search (</w:t>
      </w:r>
      <w:r>
        <w:rPr>
          <w:i/>
          <w:iCs/>
        </w:rPr>
        <w:t>n</w:t>
      </w:r>
      <w:r>
        <w:t xml:space="preserve"> = 29 records identified). At that time, we also expanded the search to include conceptually similar terms found in the appendix of </w:t>
      </w:r>
      <w:proofErr w:type="spellStart"/>
      <w:r>
        <w:t>Rosnow</w:t>
      </w:r>
      <w:proofErr w:type="spellEnd"/>
      <w:r>
        <w:t xml:space="preserve"> and Rosenthal’s (1997) book on experimental artifacts: “participant role” OR “demand effects” OR “good subject effect” OR “expectancy effect” OR “evaluative apprehension” (</w:t>
      </w:r>
      <w:r>
        <w:rPr>
          <w:i/>
          <w:iCs/>
        </w:rPr>
        <w:t>n</w:t>
      </w:r>
      <w:r>
        <w:t xml:space="preserve"> = 572 records identified). We also released a call for unpublished studies on the Society for Personality and Social Psychology Open Forum, Twitter, the Facebook Psychological Methods Discussion group, and the Facebook </w:t>
      </w:r>
      <w:proofErr w:type="spellStart"/>
      <w:r>
        <w:t>PsychMAP</w:t>
      </w:r>
      <w:proofErr w:type="spellEnd"/>
      <w:r>
        <w:t xml:space="preserve"> group (</w:t>
      </w:r>
      <w:r>
        <w:rPr>
          <w:i/>
          <w:iCs/>
        </w:rPr>
        <w:t>n</w:t>
      </w:r>
      <w:r>
        <w:t xml:space="preserve"> = 6 records identified).</w:t>
      </w:r>
    </w:p>
    <w:p w14:paraId="77FF6B9C" w14:textId="3C8E6CF5" w:rsidR="00EB32CD" w:rsidRDefault="00000000" w:rsidP="00B8596D">
      <w:pPr>
        <w:pStyle w:val="BodyText"/>
      </w:pPr>
      <w:r>
        <w:lastRenderedPageBreak/>
        <w:t xml:space="preserve">Our search did not have language </w:t>
      </w:r>
      <w:r w:rsidR="00B8596D">
        <w:t xml:space="preserve">restrictions, but all eligible records were published in English. Our search also did not have </w:t>
      </w:r>
      <w:r>
        <w:t>date restrictions</w:t>
      </w:r>
      <w:r w:rsidR="00B8596D">
        <w:t>. In total, the search</w:t>
      </w:r>
      <w:r>
        <w:t xml:space="preserve"> yielded 1457 records (168 of which were unpublished).</w:t>
      </w:r>
    </w:p>
    <w:p w14:paraId="5F37A643" w14:textId="77777777" w:rsidR="00EB32CD" w:rsidRDefault="00EB32CD">
      <w:pPr>
        <w:spacing w:before="0" w:after="200" w:line="240" w:lineRule="auto"/>
      </w:pPr>
      <w:r>
        <w:br w:type="page"/>
      </w:r>
    </w:p>
    <w:p w14:paraId="1CD0292C" w14:textId="77777777" w:rsidR="00C96820" w:rsidRDefault="00000000">
      <w:pPr>
        <w:pStyle w:val="CaptionedFigure"/>
        <w:framePr w:wrap="notBeside"/>
      </w:pPr>
      <w:r>
        <w:rPr>
          <w:noProof/>
        </w:rPr>
        <w:lastRenderedPageBreak/>
        <w:drawing>
          <wp:inline distT="0" distB="0" distL="0" distR="0" wp14:anchorId="58451291" wp14:editId="6CE632BE">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8"/>
                    <a:stretch>
                      <a:fillRect/>
                    </a:stretch>
                  </pic:blipFill>
                  <pic:spPr bwMode="auto">
                    <a:xfrm>
                      <a:off x="0" y="0"/>
                      <a:ext cx="5969000" cy="4660327"/>
                    </a:xfrm>
                    <a:prstGeom prst="rect">
                      <a:avLst/>
                    </a:prstGeom>
                    <a:noFill/>
                    <a:ln w="9525">
                      <a:noFill/>
                      <a:headEnd/>
                      <a:tailEnd/>
                    </a:ln>
                  </pic:spPr>
                </pic:pic>
              </a:graphicData>
            </a:graphic>
          </wp:inline>
        </w:drawing>
      </w:r>
    </w:p>
    <w:p w14:paraId="78C84D3B" w14:textId="0BD06170" w:rsidR="00EB32CD" w:rsidRDefault="00000000">
      <w:pPr>
        <w:pStyle w:val="ImageCaption"/>
      </w:pPr>
      <w:bookmarkStart w:id="4" w:name="fig:prisma"/>
      <w:bookmarkEnd w:id="4"/>
      <w:r>
        <w:rPr>
          <w:i/>
          <w:iCs/>
        </w:rPr>
        <w:t>Figure</w:t>
      </w:r>
      <w:r>
        <w:t xml:space="preserve"> 1. PRISMA-style flowchart illustrating the identification, screening, and selection of studies.</w:t>
      </w:r>
    </w:p>
    <w:p w14:paraId="5436CE4B" w14:textId="77777777" w:rsidR="00EB32CD" w:rsidRDefault="00EB32CD">
      <w:pPr>
        <w:spacing w:before="0" w:after="200" w:line="240" w:lineRule="auto"/>
      </w:pPr>
      <w:r>
        <w:br w:type="page"/>
      </w:r>
    </w:p>
    <w:p w14:paraId="3747BEE1" w14:textId="77777777" w:rsidR="00C96820" w:rsidRDefault="00000000">
      <w:pPr>
        <w:pStyle w:val="Heading3"/>
        <w:framePr w:wrap="around"/>
      </w:pPr>
      <w:bookmarkStart w:id="5" w:name="screening"/>
      <w:bookmarkEnd w:id="3"/>
      <w:r>
        <w:lastRenderedPageBreak/>
        <w:t>Screening.</w:t>
      </w:r>
    </w:p>
    <w:p w14:paraId="56728D89" w14:textId="77777777" w:rsidR="00C96820" w:rsidRDefault="00000000">
      <w:pPr>
        <w:pStyle w:val="FirstParagraph"/>
      </w:pPr>
      <w:r>
        <w:t>Records must have met the following criteria to be eligible for inclusion:</w:t>
      </w:r>
    </w:p>
    <w:p w14:paraId="03ACABC5" w14:textId="77777777" w:rsidR="00C96820" w:rsidRDefault="00000000">
      <w:pPr>
        <w:numPr>
          <w:ilvl w:val="0"/>
          <w:numId w:val="24"/>
        </w:numPr>
      </w:pPr>
      <w:r>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124666BB" w14:textId="77777777" w:rsidR="00C96820"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1DFD652" w14:textId="77777777" w:rsidR="00C96820" w:rsidRDefault="00000000">
      <w:pPr>
        <w:numPr>
          <w:ilvl w:val="0"/>
          <w:numId w:val="24"/>
        </w:numPr>
      </w:pPr>
      <w:r>
        <w:t>A non-clinical population was studied.</w:t>
      </w:r>
    </w:p>
    <w:p w14:paraId="732DDF14" w14:textId="77777777" w:rsidR="00C96820" w:rsidRDefault="00000000">
      <w:pPr>
        <w:numPr>
          <w:ilvl w:val="0"/>
          <w:numId w:val="24"/>
        </w:numPr>
      </w:pPr>
      <w:r>
        <w:t>Information necessary for computing at least one effect size was included.</w:t>
      </w:r>
    </w:p>
    <w:p w14:paraId="41D3F38F" w14:textId="77777777" w:rsidR="00C96820" w:rsidRDefault="00000000">
      <w:pPr>
        <w:pStyle w:val="FirstParagraph"/>
      </w:pPr>
      <w:r>
        <w:t>Figure 1 more thoroughly summarizes exclusion criteria. In instances where multiple exclusion criteria applied, coders were asked to choose only one option.</w:t>
      </w:r>
    </w:p>
    <w:p w14:paraId="7B338100" w14:textId="77777777" w:rsidR="00C96820"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54 studies from 39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01E8C4DB" w14:textId="77777777" w:rsidR="00C96820" w:rsidRDefault="00000000">
      <w:pPr>
        <w:pStyle w:val="Heading3"/>
        <w:framePr w:wrap="around"/>
      </w:pPr>
      <w:bookmarkStart w:id="6" w:name="effect-size-index"/>
      <w:bookmarkEnd w:id="5"/>
      <w:r>
        <w:t>Effect size index.</w:t>
      </w:r>
    </w:p>
    <w:p w14:paraId="59D4AF98" w14:textId="77777777" w:rsidR="00C96820"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4F61303D" w14:textId="77777777" w:rsidR="00C96820" w:rsidRDefault="00000000">
      <w:pPr>
        <w:pStyle w:val="BodyText"/>
      </w:pPr>
      <w:r>
        <w:t>In most cases (67%), we estimated the main effect of EDCs. For example, Coles et al. (2022) manipulated whether participants were told that posing smiles would increase happiness. Here, the main effect of EDCs was computed by comparing happiness ratings from smiling participants who were either informed or not informed of the mood-boosting effect of smiling.</w:t>
      </w:r>
    </w:p>
    <w:p w14:paraId="5E8472B8" w14:textId="77777777" w:rsidR="00C96820" w:rsidRDefault="00000000">
      <w:pPr>
        <w:pStyle w:val="BodyText"/>
      </w:pPr>
      <w:r>
        <w:t xml:space="preserve">In other cases (33%), we estimated the </w:t>
      </w:r>
      <w:r>
        <w:rPr>
          <w:i/>
          <w:iCs/>
        </w:rPr>
        <w:t>interactive</w:t>
      </w:r>
      <w:r>
        <w:t xml:space="preserve"> effect of EDCs.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EDCs. In this scenario, the interactive effect of EDCs was computed by calculating a standardized difference-in-differences score.</w:t>
      </w:r>
    </w:p>
    <w:p w14:paraId="1A31DF87" w14:textId="77777777" w:rsidR="00C96820" w:rsidRDefault="00000000">
      <w:pPr>
        <w:pStyle w:val="BodyText"/>
      </w:pPr>
      <w:r>
        <w:t xml:space="preserve">Effect sizes were calculated so that positive values indicated an effect consistent with the communicated hypothesis. For example, if participants were told that an intervention would be </w:t>
      </w:r>
      <w:r>
        <w:lastRenderedPageBreak/>
        <w:t xml:space="preserve">mood boosting, an increase in mood would be coded as a positive effect. If, however, participants were told that the intervention would be mood </w:t>
      </w:r>
      <w:r>
        <w:rPr>
          <w:i/>
          <w:iCs/>
        </w:rPr>
        <w:t>dampening</w:t>
      </w:r>
      <w:r>
        <w:t>, that same increase in mood would be coded as a negative effect.</w:t>
      </w:r>
    </w:p>
    <w:p w14:paraId="0658F9FD" w14:textId="0EB81AB3" w:rsidR="00C96820"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2"/>
      </w:r>
      <w:r>
        <w:t xml:space="preserve">) estimates. Whenever possible, we used the </w:t>
      </w:r>
      <w:r>
        <w:rPr>
          <w:i/>
          <w:iCs/>
        </w:rPr>
        <w:t>M</w:t>
      </w:r>
      <w:r>
        <w:t xml:space="preserve">’s and </w:t>
      </w:r>
      <w:proofErr w:type="gramStart"/>
      <w:r>
        <w:rPr>
          <w:i/>
          <w:iCs/>
        </w:rPr>
        <w:t>SD</w:t>
      </w:r>
      <w:r>
        <w:t>’s</w:t>
      </w:r>
      <w:proofErr w:type="gramEnd"/>
      <w:r>
        <w:t xml:space="preserve">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t>
      </w:r>
      <w:proofErr w:type="spellStart"/>
      <w:r>
        <w:t>WebPlotDigitizer</w:t>
      </w:r>
      <w:proofErr w:type="spellEnd"/>
      <w:r>
        <w:t xml:space="preserve"> (Drevon</w:t>
      </w:r>
      <w:r w:rsidR="0048097B">
        <w:t xml:space="preserve"> et al.,</w:t>
      </w:r>
      <w:r>
        <w:t xml:space="preserve"> 2017), (3) </w:t>
      </w:r>
      <w:r>
        <w:rPr>
          <w:i/>
          <w:iCs/>
        </w:rPr>
        <w:t>F</w:t>
      </w:r>
      <w:r>
        <w:t xml:space="preserve">-values, or (4) </w:t>
      </w:r>
      <w:r>
        <w:rPr>
          <w:i/>
          <w:iCs/>
        </w:rPr>
        <w:t>p</w:t>
      </w:r>
      <w:r>
        <w:t xml:space="preserve">-values. In instances where relevant information was not provided but the statistical significance and direction of the effect was described, we assumed </w:t>
      </w:r>
      <w:r>
        <w:rPr>
          <w:i/>
          <w:iCs/>
        </w:rPr>
        <w:t>p</w:t>
      </w:r>
      <w:r>
        <w:t xml:space="preserve">-values of .04 and .50 for statistically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w:t>
      </w:r>
      <w:r w:rsidR="0048097B">
        <w:t xml:space="preserve"> et al., </w:t>
      </w:r>
      <w:r>
        <w:t>2011).</w:t>
      </w:r>
    </w:p>
    <w:p w14:paraId="1E7B1E60" w14:textId="77777777" w:rsidR="00C96820" w:rsidRDefault="00000000">
      <w:pPr>
        <w:pStyle w:val="BodyText"/>
      </w:pPr>
      <w:r>
        <w:t xml:space="preserve">Nearly all studies (74%) contained multiple effect sizes of interest. For example, the full design in Coles et al. (2022) included a positive demand, nil demand, and control condition. </w:t>
      </w:r>
      <w:r>
        <w:lastRenderedPageBreak/>
        <w:t xml:space="preserve">Participants also completed several facial </w:t>
      </w:r>
      <w:proofErr w:type="gramStart"/>
      <w:r>
        <w:t>expression</w:t>
      </w:r>
      <w:proofErr w:type="gramEnd"/>
      <w:r>
        <w:t xml:space="preserve"> poses (happy, angry, and neutral) and self-reported several emotions (happiness and anger). To be comprehensive, we recorded all reported effect sizes and accounted for dependencies using three-level meta-analysis (described later).</w:t>
      </w:r>
    </w:p>
    <w:p w14:paraId="74491CF1" w14:textId="77777777" w:rsidR="00C96820" w:rsidRDefault="00000000">
      <w:pPr>
        <w:pStyle w:val="Heading3"/>
        <w:framePr w:wrap="around"/>
      </w:pPr>
      <w:bookmarkStart w:id="7" w:name="potential-study-feature-moderators"/>
      <w:bookmarkEnd w:id="6"/>
      <w:r>
        <w:t>Potential study feature moderators.</w:t>
      </w:r>
    </w:p>
    <w:p w14:paraId="33E8421D" w14:textId="77777777" w:rsidR="00C96820"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the effects of EDCs:</w:t>
      </w:r>
    </w:p>
    <w:p w14:paraId="703D100C" w14:textId="77777777" w:rsidR="00C96820"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w:t>
      </w:r>
      <w:proofErr w:type="gramStart"/>
      <w:r>
        <w:t>told</w:t>
      </w:r>
      <w:proofErr w:type="gramEnd"/>
      <w:r>
        <w:t xml:space="preserve">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Less often, one demand condition was compared to another.</w:t>
      </w:r>
    </w:p>
    <w:p w14:paraId="719DA16E" w14:textId="77777777" w:rsidR="00C96820"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w:t>
      </w:r>
      <w:r>
        <w:lastRenderedPageBreak/>
        <w:t>demand condition (as opposed to the control condition). To test this, we coded whether comparisons were made to a control group or a different demand condition.</w:t>
      </w:r>
    </w:p>
    <w:p w14:paraId="4746E994" w14:textId="77777777" w:rsidR="00C96820"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067BACE8" w14:textId="77777777" w:rsidR="00C96820" w:rsidRDefault="00000000">
      <w:pPr>
        <w:numPr>
          <w:ilvl w:val="0"/>
          <w:numId w:val="25"/>
        </w:numPr>
      </w:pPr>
      <w:r>
        <w:rPr>
          <w:i/>
          <w:iCs/>
        </w:rPr>
        <w:t>Design of demand characteristics manipulation.</w:t>
      </w:r>
      <w:r>
        <w:t xml:space="preserve"> Whether EDCs were manipulated within- vs. between-subjects.</w:t>
      </w:r>
    </w:p>
    <w:p w14:paraId="51A50776" w14:textId="77777777" w:rsidR="00C96820" w:rsidRDefault="00000000">
      <w:pPr>
        <w:numPr>
          <w:ilvl w:val="0"/>
          <w:numId w:val="25"/>
        </w:numPr>
      </w:pPr>
      <w:r>
        <w:rPr>
          <w:i/>
          <w:iCs/>
        </w:rPr>
        <w:t>Participant pool.</w:t>
      </w:r>
      <w:r>
        <w:t xml:space="preserve"> Whether students, non-students (e.g., </w:t>
      </w:r>
      <w:proofErr w:type="spellStart"/>
      <w:r>
        <w:t>MTurk</w:t>
      </w:r>
      <w:proofErr w:type="spellEnd"/>
      <w:r>
        <w:t xml:space="preserve"> workers), or a mix of students and non-students were sampled.</w:t>
      </w:r>
    </w:p>
    <w:p w14:paraId="431C2923" w14:textId="77777777" w:rsidR="00C96820" w:rsidRDefault="00000000">
      <w:pPr>
        <w:numPr>
          <w:ilvl w:val="0"/>
          <w:numId w:val="25"/>
        </w:numPr>
      </w:pPr>
      <w:r>
        <w:rPr>
          <w:i/>
          <w:iCs/>
        </w:rPr>
        <w:t>Setting.</w:t>
      </w:r>
      <w:r>
        <w:t xml:space="preserve"> Whether the study was conducted online or in-person.</w:t>
      </w:r>
    </w:p>
    <w:p w14:paraId="2A62F371" w14:textId="77777777" w:rsidR="00C96820" w:rsidRDefault="00000000">
      <w:pPr>
        <w:numPr>
          <w:ilvl w:val="0"/>
          <w:numId w:val="25"/>
        </w:numPr>
      </w:pPr>
      <w:r>
        <w:rPr>
          <w:i/>
          <w:iCs/>
        </w:rPr>
        <w:t>Payment.</w:t>
      </w:r>
      <w:r>
        <w:t xml:space="preserve"> Whether participants were paid or unpaid.</w:t>
      </w:r>
    </w:p>
    <w:p w14:paraId="3121F3B8" w14:textId="77777777" w:rsidR="00C96820" w:rsidRDefault="00000000">
      <w:pPr>
        <w:numPr>
          <w:ilvl w:val="0"/>
          <w:numId w:val="25"/>
        </w:numPr>
      </w:pPr>
      <w:r>
        <w:rPr>
          <w:i/>
          <w:iCs/>
        </w:rPr>
        <w:t>Publication status.</w:t>
      </w:r>
      <w:r>
        <w:t xml:space="preserve"> Whether the study was published or unpublished.</w:t>
      </w:r>
    </w:p>
    <w:p w14:paraId="7E8FA01F" w14:textId="77777777" w:rsidR="00C96820" w:rsidRDefault="00000000">
      <w:pPr>
        <w:pStyle w:val="FirstParagraph"/>
      </w:pPr>
      <w:r>
        <w:t>For descriptive purposes, we also coded the country where the investigation was performed.</w:t>
      </w:r>
    </w:p>
    <w:p w14:paraId="66FED400" w14:textId="77777777" w:rsidR="00C96820" w:rsidRDefault="00000000">
      <w:pPr>
        <w:pStyle w:val="Heading3"/>
        <w:framePr w:wrap="around"/>
      </w:pPr>
      <w:bookmarkStart w:id="8" w:name="meta-analytic-approach"/>
      <w:bookmarkEnd w:id="7"/>
      <w:r>
        <w:t>Meta-analytic approach.</w:t>
      </w:r>
    </w:p>
    <w:p w14:paraId="5917DEE3" w14:textId="77777777" w:rsidR="00C96820" w:rsidRDefault="00000000">
      <w:pPr>
        <w:pStyle w:val="FirstParagraph"/>
      </w:pPr>
      <w:r>
        <w:t xml:space="preserve">For our meta-analytic approach, we used three-level meta-analysis (3LMA; also referred to as “multilevel” meta-analysis). Rather than assume that there is a single true effect of EDCs,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w:t>
      </w:r>
    </w:p>
    <w:p w14:paraId="03CE90F9" w14:textId="77777777" w:rsidR="00C96820" w:rsidRDefault="00000000">
      <w:pPr>
        <w:pStyle w:val="BodyText"/>
      </w:pPr>
      <w:r>
        <w:lastRenderedPageBreak/>
        <w:t xml:space="preserve">We fit all models using the </w:t>
      </w:r>
      <w:proofErr w:type="spellStart"/>
      <w:r>
        <w:t>metafor</w:t>
      </w:r>
      <w:proofErr w:type="spellEnd"/>
      <w:r>
        <w:t xml:space="preserve"> package (</w:t>
      </w:r>
      <w:proofErr w:type="spellStart"/>
      <w:r>
        <w:t>Viechtbauer</w:t>
      </w:r>
      <w:proofErr w:type="spellEnd"/>
      <w:r>
        <w:t xml:space="preserve">,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statistical significance of each moderator, we used model comparison </w:t>
      </w:r>
      <w:r>
        <w:rPr>
          <w:i/>
          <w:iCs/>
        </w:rPr>
        <w:t>F</w:t>
      </w:r>
      <w:r>
        <w:t>-tests. To estimate effect sizes within each subgroup of the moderator, we used model-derived estimates.</w:t>
      </w:r>
    </w:p>
    <w:p w14:paraId="269C4027" w14:textId="77777777" w:rsidR="00C96820" w:rsidRDefault="00000000">
      <w:pPr>
        <w:pStyle w:val="Heading4"/>
        <w:framePr w:wrap="around"/>
      </w:pPr>
      <w:bookmarkStart w:id="9" w:name="publication-bias-analyses"/>
      <w:r>
        <w:t>Publication bias analyses.</w:t>
      </w:r>
    </w:p>
    <w:p w14:paraId="5355EBA3" w14:textId="77777777" w:rsidR="00C96820" w:rsidRDefault="00000000">
      <w:pPr>
        <w:pStyle w:val="FirstParagraph"/>
      </w:pPr>
      <w:r>
        <w:t>We used three main approaches for assessing and correcting for potential publication bias in our estimation of the overall effect of EDCs.</w:t>
      </w:r>
    </w:p>
    <w:p w14:paraId="223DB365" w14:textId="77777777" w:rsidR="00C96820"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statistically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3"/>
      </w:r>
      <w:r>
        <w:t>.</w:t>
      </w:r>
    </w:p>
    <w:p w14:paraId="3417E1BD" w14:textId="77777777" w:rsidR="00C96820" w:rsidRDefault="00000000">
      <w:pPr>
        <w:pStyle w:val="BodyText"/>
      </w:pPr>
      <w:r>
        <w:lastRenderedPageBreak/>
        <w:t xml:space="preserve">Second, we conducted precision-effect tests (PET). In PET, the relationship between observed effect sizes and their standard errors – which is often absent when there is no publication bias – is estimated and controlled for in a meta-regression model (Stanley &amp; </w:t>
      </w:r>
      <w:proofErr w:type="spellStart"/>
      <w:r>
        <w:t>Doucouliagos</w:t>
      </w:r>
      <w:proofErr w:type="spellEnd"/>
      <w:r>
        <w:t xml:space="preserve">, 2014).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w:t>
      </w:r>
      <w:proofErr w:type="gramStart"/>
      <w:r>
        <w:t>fairly good</w:t>
      </w:r>
      <w:proofErr w:type="gramEnd"/>
      <w:r>
        <w:t xml:space="preserve"> statistical properties when (1) 3LMA is used, or (2) dependent effect sizes are aggregated and modeled using random-effects (i.e., two level) meta-regression. We used both approaches.</w:t>
      </w:r>
    </w:p>
    <w:p w14:paraId="133BE468" w14:textId="77777777" w:rsidR="00C96820" w:rsidRDefault="00000000">
      <w:pPr>
        <w:pStyle w:val="BodyText"/>
      </w:pPr>
      <w:r>
        <w:t xml:space="preserve">Third, we deployed weight-function modeling using the </w:t>
      </w:r>
      <w:proofErr w:type="spellStart"/>
      <w:r>
        <w:t>weightR</w:t>
      </w:r>
      <w:proofErr w:type="spellEnd"/>
      <w:r>
        <w:t xml:space="preserve"> package (Coburn &amp; Vevea, 2019). In weight-function modeling, weighted distribution theory is used to model biased selection based on the statistical significance of observed effects (Vevea &amp; Hedges, 1995). If the adjusted model provides increased fit, publication bias is a </w:t>
      </w:r>
      <w:proofErr w:type="gramStart"/>
      <w:r>
        <w:t>concern</w:t>
      </w:r>
      <w:proofErr w:type="gramEnd"/>
      <w:r>
        <w:t xml:space="preserve"> and the model can be used to estimate the bias-corrected overall effect size. Once again, weight-function modeling was designed for independent effect sizes. Nonetheless, it has </w:t>
      </w:r>
      <w:proofErr w:type="gramStart"/>
      <w:r>
        <w:t>fairly good</w:t>
      </w:r>
      <w:proofErr w:type="gramEnd"/>
      <w:r>
        <w:t xml:space="preserve"> statistical properties when non-independent effect sizes are aggregated, which we did here (Rodgers &amp; Pustejovsky, 2021).</w:t>
      </w:r>
    </w:p>
    <w:p w14:paraId="7BB62DF6" w14:textId="194F3FD1" w:rsidR="00C96820" w:rsidRDefault="00000000">
      <w:pPr>
        <w:pStyle w:val="BodyText"/>
      </w:pPr>
      <w:r>
        <w:t xml:space="preserve">As a sensitivity analysis, we used the </w:t>
      </w:r>
      <w:proofErr w:type="spellStart"/>
      <w:r>
        <w:t>PublicationBias</w:t>
      </w:r>
      <w:proofErr w:type="spellEnd"/>
      <w:r>
        <w:t xml:space="preserve"> package in R (Mathur &amp; VanderWeele, 2020a) to estimate the ratio in which publication bias would have to favor affirmative studies in order make the overall effect size in a robust random effects model </w:t>
      </w:r>
      <w:r w:rsidR="0063595A">
        <w:t xml:space="preserve">statistically </w:t>
      </w:r>
      <w:r>
        <w:t>non-significant (Mathur &amp; VanderWeele, 2020b). We also estimated the difference in the magnitude of published vs. unpublished effects in a moderator analysis.</w:t>
      </w:r>
    </w:p>
    <w:p w14:paraId="170E41D0" w14:textId="77777777" w:rsidR="00C96820" w:rsidRDefault="00000000">
      <w:pPr>
        <w:pStyle w:val="Heading3"/>
        <w:framePr w:wrap="around"/>
      </w:pPr>
      <w:bookmarkStart w:id="10" w:name="transparency-and-openness"/>
      <w:bookmarkEnd w:id="8"/>
      <w:bookmarkEnd w:id="9"/>
      <w:r>
        <w:t>Transparency and openness.</w:t>
      </w:r>
    </w:p>
    <w:p w14:paraId="18FF7D64" w14:textId="77777777" w:rsidR="00C96820" w:rsidRDefault="00000000">
      <w:pPr>
        <w:pStyle w:val="FirstParagraph"/>
      </w:pPr>
      <w:r>
        <w:t xml:space="preserve">The project pre-registration, materials, data, and code are openly available at </w:t>
      </w:r>
      <w:hyperlink r:id="rId9">
        <w:r w:rsidR="00C96820">
          <w:rPr>
            <w:rStyle w:val="Hyperlink"/>
          </w:rPr>
          <w:t>https://osf.io/3hkre/?view_only=2dc92af53f194e5eab0d7aecafaf01c2</w:t>
        </w:r>
      </w:hyperlink>
      <w:r>
        <w:t xml:space="preserve">. This link also contains a list of amendments/deviations we made to our pre-registration as the project </w:t>
      </w:r>
      <w:proofErr w:type="gramStart"/>
      <w:r>
        <w:t>evolved</w:t>
      </w:r>
      <w:proofErr w:type="gramEnd"/>
      <w:r>
        <w:t xml:space="preserve"> and we responded to reviewer feedback. Sample size was determined by the availability of relevant records. All code has been checked for reproducibility, including a script that creates a computationally reproducible manuscript using the </w:t>
      </w:r>
      <w:proofErr w:type="spellStart"/>
      <w:r>
        <w:t>papaja</w:t>
      </w:r>
      <w:proofErr w:type="spellEnd"/>
      <w:r>
        <w:t xml:space="preserve"> R package (Aust &amp; Barth, 2022).</w:t>
      </w:r>
    </w:p>
    <w:p w14:paraId="1C7A1AFB" w14:textId="77777777" w:rsidR="00C96820" w:rsidRDefault="00000000">
      <w:pPr>
        <w:pStyle w:val="Heading2"/>
      </w:pPr>
      <w:bookmarkStart w:id="11" w:name="results"/>
      <w:bookmarkEnd w:id="10"/>
      <w:r>
        <w:t>Results</w:t>
      </w:r>
    </w:p>
    <w:p w14:paraId="1369C4C3" w14:textId="77777777" w:rsidR="00C96820" w:rsidRDefault="00000000">
      <w:pPr>
        <w:pStyle w:val="FirstParagraph"/>
      </w:pPr>
      <w:r>
        <w:t>In total, we analyzed 253 effect sizes from 53 studies from between the years 1964 and 2024 (</w:t>
      </w:r>
      <w:r>
        <w:rPr>
          <w:i/>
          <w:iCs/>
        </w:rPr>
        <w:t>M</w:t>
      </w:r>
      <w:r>
        <w:t xml:space="preserve"> = 2003, </w:t>
      </w:r>
      <w:r>
        <w:rPr>
          <w:i/>
          <w:iCs/>
        </w:rPr>
        <w:t>SD</w:t>
      </w:r>
      <w:r>
        <w:t xml:space="preserve"> = 18.71). Of these studies, 11 were unpublished.</w:t>
      </w:r>
    </w:p>
    <w:p w14:paraId="5BAE1B72" w14:textId="77777777" w:rsidR="00C96820" w:rsidRDefault="00000000">
      <w:pPr>
        <w:pStyle w:val="BodyText"/>
      </w:pPr>
      <w:r>
        <w:t>In order of frequency, effect sizes represented a positive demand compared to a control group (</w:t>
      </w:r>
      <w:r>
        <w:rPr>
          <w:i/>
          <w:iCs/>
        </w:rPr>
        <w:t>k</w:t>
      </w:r>
      <w:r>
        <w:t xml:space="preserve"> = 115),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17).Effect sizes tended to compare one demand condition to a control group (</w:t>
      </w:r>
      <w:r>
        <w:rPr>
          <w:i/>
          <w:iCs/>
        </w:rPr>
        <w:t>k</w:t>
      </w:r>
      <w:r>
        <w:t xml:space="preserve"> = 175) – as opposed to a group exposed to a different type of demand condition (</w:t>
      </w:r>
      <w:r>
        <w:rPr>
          <w:i/>
          <w:iCs/>
        </w:rPr>
        <w:t>k</w:t>
      </w:r>
      <w:r>
        <w:t xml:space="preserve"> = 78). Regardless of what type of demand manipulation was used, it was more common to manipulate the cues between (</w:t>
      </w:r>
      <w:r>
        <w:rPr>
          <w:i/>
          <w:iCs/>
        </w:rPr>
        <w:t>k</w:t>
      </w:r>
      <w:r>
        <w:t xml:space="preserve"> = 209) vs. within subjects (</w:t>
      </w:r>
      <w:r>
        <w:rPr>
          <w:i/>
          <w:iCs/>
        </w:rPr>
        <w:t>k</w:t>
      </w:r>
      <w:r>
        <w:t xml:space="preserve"> = 44).</w:t>
      </w:r>
    </w:p>
    <w:p w14:paraId="415FBD81" w14:textId="77777777" w:rsidR="00C96820" w:rsidRDefault="00000000">
      <w:pPr>
        <w:pStyle w:val="BodyText"/>
      </w:pPr>
      <w:r>
        <w:t>Most effect sizes came from student samples (</w:t>
      </w:r>
      <w:r>
        <w:rPr>
          <w:i/>
          <w:iCs/>
        </w:rPr>
        <w:t>k</w:t>
      </w:r>
      <w:r>
        <w:t xml:space="preserve"> = 160), although some samples were non-students (</w:t>
      </w:r>
      <w:r>
        <w:rPr>
          <w:i/>
          <w:iCs/>
        </w:rPr>
        <w:t>k</w:t>
      </w:r>
      <w:r>
        <w:t xml:space="preserve"> = 26), a mix of students and non-students (</w:t>
      </w:r>
      <w:r>
        <w:rPr>
          <w:i/>
          <w:iCs/>
        </w:rPr>
        <w:t>k</w:t>
      </w:r>
      <w:r>
        <w:t xml:space="preserve"> = 19), or not described thoroughly enough to </w:t>
      </w:r>
      <w:proofErr w:type="gramStart"/>
      <w:r>
        <w:t>make a determination</w:t>
      </w:r>
      <w:proofErr w:type="gramEnd"/>
      <w:r>
        <w:t xml:space="preserve"> (</w:t>
      </w:r>
      <w:r>
        <w:rPr>
          <w:i/>
          <w:iCs/>
        </w:rPr>
        <w:t>k</w:t>
      </w:r>
      <w:r>
        <w:t xml:space="preserve"> = 48). Most effect sizes came from unpaid samples (</w:t>
      </w:r>
      <w:r>
        <w:rPr>
          <w:i/>
          <w:iCs/>
        </w:rPr>
        <w:t>k</w:t>
      </w:r>
      <w:r>
        <w:t xml:space="preserve"> = 163), although some were paid (</w:t>
      </w:r>
      <w:r>
        <w:rPr>
          <w:i/>
          <w:iCs/>
        </w:rPr>
        <w:t>k</w:t>
      </w:r>
      <w:r>
        <w:t xml:space="preserve"> = 50) and some were not described thoroughly enough to </w:t>
      </w:r>
      <w:proofErr w:type="gramStart"/>
      <w:r>
        <w:t>make a determination</w:t>
      </w:r>
      <w:proofErr w:type="gramEnd"/>
      <w:r>
        <w:t xml:space="preserve"> (</w:t>
      </w:r>
      <w:r>
        <w:rPr>
          <w:i/>
          <w:iCs/>
        </w:rPr>
        <w:t>k</w:t>
      </w:r>
      <w:r>
        <w:t xml:space="preserve"> = 40). Most effect sizes came from in-person studies (</w:t>
      </w:r>
      <w:r>
        <w:rPr>
          <w:i/>
          <w:iCs/>
        </w:rPr>
        <w:t>k</w:t>
      </w:r>
      <w:r>
        <w:t xml:space="preserve"> = 188), but some were from online studies (</w:t>
      </w:r>
      <w:r>
        <w:rPr>
          <w:i/>
          <w:iCs/>
        </w:rPr>
        <w:t>k</w:t>
      </w:r>
      <w:r>
        <w:t xml:space="preserve"> = 52) or not described thoroughly enough to </w:t>
      </w:r>
      <w:proofErr w:type="gramStart"/>
      <w:r>
        <w:t>make a determination</w:t>
      </w:r>
      <w:proofErr w:type="gramEnd"/>
      <w:r>
        <w:t xml:space="preserve"> (</w:t>
      </w:r>
      <w:r>
        <w:rPr>
          <w:i/>
          <w:iCs/>
        </w:rPr>
        <w:t>k</w:t>
      </w:r>
      <w:r>
        <w:t xml:space="preserve"> = 13). Most research was conducted in the United States (</w:t>
      </w:r>
      <w:r>
        <w:rPr>
          <w:i/>
          <w:iCs/>
        </w:rPr>
        <w:t>k</w:t>
      </w:r>
      <w:r>
        <w:t xml:space="preserve"> = 127), United Kingdom (</w:t>
      </w:r>
      <w:r>
        <w:rPr>
          <w:i/>
          <w:iCs/>
        </w:rPr>
        <w:t>k</w:t>
      </w:r>
      <w:r>
        <w:t xml:space="preserve"> = 49), </w:t>
      </w:r>
      <w:r>
        <w:lastRenderedPageBreak/>
        <w:t>Canada (</w:t>
      </w:r>
      <w:r>
        <w:rPr>
          <w:i/>
          <w:iCs/>
        </w:rPr>
        <w:t>k</w:t>
      </w:r>
      <w:r>
        <w:t xml:space="preserve"> = 21), and the Netherlands (</w:t>
      </w:r>
      <w:r>
        <w:rPr>
          <w:i/>
          <w:iCs/>
        </w:rPr>
        <w:t>k</w:t>
      </w:r>
      <w:r>
        <w:t xml:space="preserve"> = 18). However, occasionally, we found work conducted in France (</w:t>
      </w:r>
      <w:r>
        <w:rPr>
          <w:i/>
          <w:iCs/>
        </w:rPr>
        <w:t>k</w:t>
      </w:r>
      <w:r>
        <w:t xml:space="preserve"> = 9), Kenya (</w:t>
      </w:r>
      <w:r>
        <w:rPr>
          <w:i/>
          <w:iCs/>
        </w:rPr>
        <w:t>k</w:t>
      </w:r>
      <w:r>
        <w:t xml:space="preserve"> = 6), Australia (</w:t>
      </w:r>
      <w:r>
        <w:rPr>
          <w:i/>
          <w:iCs/>
        </w:rPr>
        <w:t>k</w:t>
      </w:r>
      <w:r>
        <w:t xml:space="preserve"> = 3), Belgium (</w:t>
      </w:r>
      <w:r>
        <w:rPr>
          <w:i/>
          <w:iCs/>
        </w:rPr>
        <w:t>k</w:t>
      </w:r>
      <w:r>
        <w:t xml:space="preserve"> = 2), Turkey, Poland, Malaysia, and Denmark (all </w:t>
      </w:r>
      <w:r>
        <w:rPr>
          <w:i/>
          <w:iCs/>
        </w:rPr>
        <w:t>k</w:t>
      </w:r>
      <w:r>
        <w:t xml:space="preserve"> = 1).</w:t>
      </w:r>
    </w:p>
    <w:p w14:paraId="10F5D695" w14:textId="77777777" w:rsidR="00C96820" w:rsidRDefault="00000000">
      <w:pPr>
        <w:pStyle w:val="Heading3"/>
        <w:framePr w:wrap="around"/>
      </w:pPr>
      <w:bookmarkStart w:id="12" w:name="overall-results"/>
      <w:r>
        <w:t>Overall results.</w:t>
      </w:r>
    </w:p>
    <w:p w14:paraId="4235C801" w14:textId="77777777" w:rsidR="00C96820" w:rsidRDefault="00000000">
      <w:pPr>
        <w:pStyle w:val="FirstParagraph"/>
      </w:pPr>
      <w:r>
        <w:t xml:space="preserve">Overall, results indicated that EDCs cause participants’ responses to shift in a manner consistent with the communicated hypothesis, </w:t>
      </w:r>
      <m:oMath>
        <m:r>
          <w:rPr>
            <w:rFonts w:ascii="Cambria Math" w:hAnsi="Cambria Math"/>
          </w:rPr>
          <m:t>g</m:t>
        </m:r>
      </m:oMath>
      <w:r>
        <w:t xml:space="preserve"> = 0.20, 95% CI [0.11, 0.30], </w:t>
      </w:r>
      <m:oMath>
        <m:r>
          <w:rPr>
            <w:rFonts w:ascii="Cambria Math" w:hAnsi="Cambria Math"/>
          </w:rPr>
          <m:t>t</m:t>
        </m:r>
      </m:oMath>
      <w:r>
        <w:t xml:space="preserve">(48.13) = 4.28,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244698D8" w14:textId="77777777" w:rsidR="00C96820" w:rsidRDefault="00000000">
      <w:pPr>
        <w:pStyle w:val="CaptionedFigure"/>
        <w:framePr w:wrap="notBeside"/>
      </w:pPr>
      <w:r>
        <w:rPr>
          <w:noProof/>
        </w:rPr>
        <w:lastRenderedPageBreak/>
        <w:drawing>
          <wp:inline distT="0" distB="0" distL="0" distR="0" wp14:anchorId="56359CB5" wp14:editId="61C9A4FE">
            <wp:extent cx="5969000" cy="6097563"/>
            <wp:effectExtent l="0" t="0" r="0" b="0"/>
            <wp:docPr id="38" name="Picture" descr="Figure 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43625F13" w14:textId="77777777" w:rsidR="00C96820" w:rsidRDefault="00000000">
      <w:pPr>
        <w:pStyle w:val="ImageCaption"/>
      </w:pPr>
      <w:bookmarkStart w:id="13" w:name="fig:forest"/>
      <w:bookmarkEnd w:id="13"/>
      <w:r w:rsidRPr="00EB32CD">
        <w:rPr>
          <w:i/>
          <w:iCs/>
        </w:rPr>
        <w:t>Figure 2.</w:t>
      </w:r>
      <w:r>
        <w:t xml:space="preserve"> Forest plot of effect sizes (grey diamonds), their 95% confidence intervals (grey error bars), and their citations (left). For visualization purposes, effect sizes are aggregated within-studies (see </w:t>
      </w:r>
      <w:proofErr w:type="gramStart"/>
      <w:r>
        <w:t>openly-available</w:t>
      </w:r>
      <w:proofErr w:type="gramEnd"/>
      <w:r>
        <w:t xml:space="preserve"> data for non-aggregated effect sizes). The estimated effect size distribution is also shown and colored based on whether EDCs produce more hypothesis-consistent responding (green; </w:t>
      </w:r>
      <w:r w:rsidRPr="00EB32CD">
        <w:rPr>
          <w:i/>
          <w:iCs/>
        </w:rPr>
        <w:t>g</w:t>
      </w:r>
      <w:r>
        <w:t xml:space="preserve"> &gt; 0.10), more hypothesis-inconsistent responding (red; </w:t>
      </w:r>
      <w:r w:rsidRPr="00EB32CD">
        <w:rPr>
          <w:i/>
          <w:iCs/>
        </w:rPr>
        <w:t>g</w:t>
      </w:r>
      <w:r>
        <w:t xml:space="preserve"> &lt; -0.10), or negligible shifts in responding (grey; |</w:t>
      </w:r>
      <w:r w:rsidRPr="00EB32CD">
        <w:rPr>
          <w:i/>
          <w:iCs/>
        </w:rPr>
        <w:t>g</w:t>
      </w:r>
      <w:r>
        <w:t>| &lt; 0.10).</w:t>
      </w:r>
    </w:p>
    <w:p w14:paraId="2FE6361E" w14:textId="77777777" w:rsidR="00C96820" w:rsidRDefault="00000000">
      <w:pPr>
        <w:pStyle w:val="BodyText"/>
      </w:pPr>
      <w:r>
        <w:lastRenderedPageBreak/>
        <w:t xml:space="preserve">As a reminder, rather than assuming that there is a </w:t>
      </w:r>
      <w:r>
        <w:rPr>
          <w:i/>
          <w:iCs/>
        </w:rPr>
        <w:t>single true effect</w:t>
      </w:r>
      <w:r>
        <w:t xml:space="preserve"> of EDCs, 3LMA assumes a distribution of </w:t>
      </w:r>
      <w:r>
        <w:rPr>
          <w:i/>
          <w:iCs/>
        </w:rPr>
        <w:t>multiple true effects.</w:t>
      </w:r>
      <w:r>
        <w:t xml:space="preserve"> Consistent with this assumption, observed variability in the effects of EDCs exceeded what would be expected from sampling error alone (between-study </w:t>
      </w:r>
      <m:oMath>
        <m:r>
          <w:rPr>
            <w:rFonts w:ascii="Cambria Math" w:hAnsi="Cambria Math"/>
          </w:rPr>
          <m:t>τ</m:t>
        </m:r>
      </m:oMath>
      <w:r>
        <w:t xml:space="preserve"> = 0.29,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61.46; within-study </w:t>
      </w:r>
      <m:oMath>
        <m:r>
          <w:rPr>
            <w:rFonts w:ascii="Cambria Math" w:hAnsi="Cambria Math"/>
          </w:rPr>
          <m:t>σ</m:t>
        </m:r>
      </m:oMath>
      <w:r>
        <w:t xml:space="preserve"> = 0.18,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23.85; total </w:t>
      </w:r>
      <m:oMath>
        <m:r>
          <w:rPr>
            <w:rFonts w:ascii="Cambria Math" w:hAnsi="Cambria Math"/>
          </w:rPr>
          <m:t>Q</m:t>
        </m:r>
      </m:oMath>
      <w:r>
        <w:t xml:space="preserve">(252) = 978.70, </w:t>
      </w:r>
      <m:oMath>
        <m:r>
          <w:rPr>
            <w:rFonts w:ascii="Cambria Math" w:hAnsi="Cambria Math"/>
          </w:rPr>
          <m:t>p</m:t>
        </m:r>
      </m:oMath>
      <w:r>
        <w:t xml:space="preserve"> &lt; .001, total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85.30).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2, this estimated distribution suggests that EDCs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-0.48 to </w:t>
      </w:r>
      <m:oMath>
        <m:r>
          <w:rPr>
            <w:rFonts w:ascii="Cambria Math" w:hAnsi="Cambria Math"/>
          </w:rPr>
          <m:t>g</m:t>
        </m:r>
      </m:oMath>
      <w:r>
        <w:t xml:space="preserve"> = 0.89.</w:t>
      </w:r>
    </w:p>
    <w:p w14:paraId="2DB6EB0D" w14:textId="77777777" w:rsidR="00C96820" w:rsidRDefault="00000000">
      <w:pPr>
        <w:pStyle w:val="BodyText"/>
      </w:pPr>
      <w:r>
        <w:t>As a heuristic, we arbitrarily classified any effect size less than 0.10 standard deviation in either direction (i.e., |</w:t>
      </w:r>
      <m:oMath>
        <m:r>
          <w:rPr>
            <w:rFonts w:ascii="Cambria Math" w:hAnsi="Cambria Math"/>
          </w:rPr>
          <m:t>g</m:t>
        </m:r>
      </m:oMath>
      <w:r>
        <w:t>| &lt; .10) as “negligible”. Based on this classification, the estimated distribution of effects suggested that EDCs most often produce hypothesis-consistent shifts (62%</w:t>
      </w:r>
      <w:proofErr w:type="gramStart"/>
      <w:r>
        <w:t>), but</w:t>
      </w:r>
      <w:proofErr w:type="gramEnd"/>
      <w:r>
        <w:t xml:space="preserve"> sometimes produce negligible shifts (20%) or shifts in the </w:t>
      </w:r>
      <w:r>
        <w:rPr>
          <w:i/>
          <w:iCs/>
        </w:rPr>
        <w:t>opposite</w:t>
      </w:r>
      <w:r>
        <w:t xml:space="preserve"> direction of the communicated hypothesis (18%). Such results are consistent with </w:t>
      </w:r>
      <w:proofErr w:type="spellStart"/>
      <w:r>
        <w:t>Rosnow</w:t>
      </w:r>
      <w:proofErr w:type="spellEnd"/>
      <w:r>
        <w:t xml:space="preserve"> and colleagues’ prediction that demand characteristics can lead to both hypothesis-consistent and hypothesis-</w:t>
      </w:r>
      <w:r>
        <w:rPr>
          <w:i/>
          <w:iCs/>
        </w:rPr>
        <w:t>inconsistent</w:t>
      </w:r>
      <w:r>
        <w:t xml:space="preserve"> shifts in participants’ responses.</w:t>
      </w:r>
    </w:p>
    <w:p w14:paraId="5D641681" w14:textId="77777777" w:rsidR="00C96820" w:rsidRDefault="00000000">
      <w:pPr>
        <w:pStyle w:val="Heading3"/>
        <w:framePr w:wrap="around"/>
      </w:pPr>
      <w:bookmarkStart w:id="14" w:name="moderator-analyses"/>
      <w:bookmarkEnd w:id="12"/>
      <w:r>
        <w:t>Moderator analyses.</w:t>
      </w:r>
    </w:p>
    <w:p w14:paraId="63C04953" w14:textId="77777777" w:rsidR="00C96820" w:rsidRDefault="00000000">
      <w:pPr>
        <w:pStyle w:val="FirstParagraph"/>
      </w:pPr>
      <w:r>
        <w:t>When variability in effect sizes exceeds what would be expected from sampling error alone, it suggests the presence of moderators. Below, we examine several potential candidates.</w:t>
      </w:r>
    </w:p>
    <w:p w14:paraId="62C9D5A8" w14:textId="77777777" w:rsidR="00C96820" w:rsidRDefault="00000000">
      <w:pPr>
        <w:pStyle w:val="Heading4"/>
        <w:framePr w:wrap="around"/>
      </w:pPr>
      <w:bookmarkStart w:id="15" w:name="study-features"/>
      <w:r>
        <w:t>Study features.</w:t>
      </w:r>
    </w:p>
    <w:p w14:paraId="74168C6F" w14:textId="77777777" w:rsidR="00C96820" w:rsidRDefault="00000000">
      <w:pPr>
        <w:pStyle w:val="FirstParagraph"/>
      </w:pPr>
      <w:r>
        <w:t>In general, we did not find much evidence that the effects of EDCs are moderated by study features (see Table 1). The two exceptions were (1) whether the demand characteristics condition was compared to a control group (vs. another condition with EDCs), and (2) whether the study was conducted in-person (vs. online).</w:t>
      </w:r>
    </w:p>
    <w:p w14:paraId="20166893" w14:textId="77777777" w:rsidR="00C96820" w:rsidRDefault="00000000">
      <w:pPr>
        <w:pStyle w:val="BodyText"/>
      </w:pPr>
      <w:r>
        <w:lastRenderedPageBreak/>
        <w:t>The effects of EDCs were estimated to be twice as large when two demand characteristic conditions were compared (</w:t>
      </w:r>
      <m:oMath>
        <m:r>
          <w:rPr>
            <w:rFonts w:ascii="Cambria Math" w:hAnsi="Cambria Math"/>
          </w:rPr>
          <m:t>g</m:t>
        </m:r>
      </m:oMath>
      <w:r>
        <w:t xml:space="preserve"> = 0.33, 95% CI [0.18, 0.48], </w:t>
      </w:r>
      <m:oMath>
        <m:r>
          <w:rPr>
            <w:rFonts w:ascii="Cambria Math" w:hAnsi="Cambria Math"/>
          </w:rPr>
          <m:t>p</m:t>
        </m:r>
      </m:oMath>
      <w:r>
        <w:t xml:space="preserve"> &lt; .001), as opposed to one demand characteristic condition being compared to a control group (</w:t>
      </w:r>
      <m:oMath>
        <m:r>
          <w:rPr>
            <w:rFonts w:ascii="Cambria Math" w:hAnsi="Cambria Math"/>
          </w:rPr>
          <m:t>g</m:t>
        </m:r>
      </m:oMath>
      <w:r>
        <w:t xml:space="preserve"> = 0.15, 95% CI [0.07, 0.24], </w:t>
      </w:r>
      <m:oMath>
        <m:r>
          <w:rPr>
            <w:rFonts w:ascii="Cambria Math" w:hAnsi="Cambria Math"/>
          </w:rPr>
          <m:t>p</m:t>
        </m:r>
      </m:oMath>
      <w:r>
        <w:t xml:space="preserve"> = .001), </w:t>
      </w:r>
      <m:oMath>
        <m:r>
          <w:rPr>
            <w:rFonts w:ascii="Cambria Math" w:hAnsi="Cambria Math"/>
          </w:rPr>
          <m:t>F</m:t>
        </m:r>
      </m:oMath>
      <w:r>
        <w:t xml:space="preserve">(1, 10.37) = 10.87, </w:t>
      </w:r>
      <m:oMath>
        <m:r>
          <w:rPr>
            <w:rFonts w:ascii="Cambria Math" w:hAnsi="Cambria Math"/>
          </w:rPr>
          <m:t>p</m:t>
        </m:r>
      </m:oMath>
      <w:r>
        <w:t xml:space="preserve"> = .008. This suggests that the effects of EDCs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3.52) = 1.93, </w:t>
      </w:r>
      <m:oMath>
        <m:r>
          <w:rPr>
            <w:rFonts w:ascii="Cambria Math" w:hAnsi="Cambria Math"/>
          </w:rPr>
          <m:t>p</m:t>
        </m:r>
      </m:oMath>
      <w:r>
        <w:t xml:space="preserve"> = .287.</w:t>
      </w:r>
    </w:p>
    <w:p w14:paraId="16B6989C" w14:textId="77777777" w:rsidR="00C96820" w:rsidRDefault="00000000">
      <w:pPr>
        <w:pStyle w:val="BodyText"/>
      </w:pPr>
      <w:r>
        <w:t xml:space="preserve">Instances where a demand characteristic condition was compared to a control group allowed us to test whether participants’ responses shift more when they expect that the researcher hypothesizes an increase (i.e., positive demand; </w:t>
      </w:r>
      <m:oMath>
        <m:r>
          <w:rPr>
            <w:rFonts w:ascii="Cambria Math" w:hAnsi="Cambria Math"/>
          </w:rPr>
          <m:t>g</m:t>
        </m:r>
      </m:oMath>
      <w:r>
        <w:t xml:space="preserve"> = 0.17, 95% CI [0.06, 0.28], </w:t>
      </w:r>
      <m:oMath>
        <m:r>
          <w:rPr>
            <w:rFonts w:ascii="Cambria Math" w:hAnsi="Cambria Math"/>
          </w:rPr>
          <m:t>p</m:t>
        </m:r>
      </m:oMath>
      <w:r>
        <w:t xml:space="preserve"> = .003), a decrease (i.e., negative demand; </w:t>
      </w:r>
      <m:oMath>
        <m:r>
          <w:rPr>
            <w:rFonts w:ascii="Cambria Math" w:hAnsi="Cambria Math"/>
          </w:rPr>
          <m:t>g</m:t>
        </m:r>
      </m:oMath>
      <w:r>
        <w:t xml:space="preserve"> = 0.19, 95% CI [0.06, 0.33], </w:t>
      </w:r>
      <m:oMath>
        <m:r>
          <w:rPr>
            <w:rFonts w:ascii="Cambria Math" w:hAnsi="Cambria Math"/>
          </w:rPr>
          <m:t>p</m:t>
        </m:r>
      </m:oMath>
      <w:r>
        <w:t xml:space="preserve"> = .007), or no change in the dependent variable (i.e., nil demand; </w:t>
      </w:r>
      <m:oMath>
        <m:r>
          <w:rPr>
            <w:rFonts w:ascii="Cambria Math" w:hAnsi="Cambria Math"/>
          </w:rPr>
          <m:t>g</m:t>
        </m:r>
      </m:oMath>
      <w:r>
        <w:t xml:space="preserve"> = 0.26, 95% CI [-0.21, 0.74], </w:t>
      </w:r>
      <m:oMath>
        <m:r>
          <w:rPr>
            <w:rFonts w:ascii="Cambria Math" w:hAnsi="Cambria Math"/>
          </w:rPr>
          <m:t>p</m:t>
        </m:r>
      </m:oMath>
      <w:r>
        <w:t xml:space="preserve"> = .178). We did not find this to be the case, </w:t>
      </w:r>
      <m:oMath>
        <m:r>
          <w:rPr>
            <w:rFonts w:ascii="Cambria Math" w:hAnsi="Cambria Math"/>
          </w:rPr>
          <m:t>F</m:t>
        </m:r>
      </m:oMath>
      <w:r>
        <w:t xml:space="preserve">(2, 4.15) = 0.20, </w:t>
      </w:r>
      <m:oMath>
        <m:r>
          <w:rPr>
            <w:rFonts w:ascii="Cambria Math" w:hAnsi="Cambria Math"/>
          </w:rPr>
          <m:t>p</m:t>
        </m:r>
      </m:oMath>
      <w:r>
        <w:t xml:space="preserve"> = .828. We also did not find that the effects of EDCs varied depending on whether they were manipulated within- (</w:t>
      </w:r>
      <m:oMath>
        <m:r>
          <w:rPr>
            <w:rFonts w:ascii="Cambria Math" w:hAnsi="Cambria Math"/>
          </w:rPr>
          <m:t>g</m:t>
        </m:r>
      </m:oMath>
      <w:r>
        <w:t xml:space="preserve"> = 0.22, 95% CI [0.11, 0.34], </w:t>
      </w:r>
      <m:oMath>
        <m:r>
          <w:rPr>
            <w:rFonts w:ascii="Cambria Math" w:hAnsi="Cambria Math"/>
          </w:rPr>
          <m:t>p</m:t>
        </m:r>
      </m:oMath>
      <w:r>
        <w:t xml:space="preserve"> &lt; .001) vs. between-subjects (</w:t>
      </w:r>
      <m:oMath>
        <m:r>
          <w:rPr>
            <w:rFonts w:ascii="Cambria Math" w:hAnsi="Cambria Math"/>
          </w:rPr>
          <m:t>g</m:t>
        </m:r>
      </m:oMath>
      <w:r>
        <w:t xml:space="preserve"> = 0.14, 95% CI [0.02, 0.25], </w:t>
      </w:r>
      <m:oMath>
        <m:r>
          <w:rPr>
            <w:rFonts w:ascii="Cambria Math" w:hAnsi="Cambria Math"/>
          </w:rPr>
          <m:t>p</m:t>
        </m:r>
      </m:oMath>
      <w:r>
        <w:t xml:space="preserve"> = .020), </w:t>
      </w:r>
      <m:oMath>
        <m:r>
          <w:rPr>
            <w:rFonts w:ascii="Cambria Math" w:hAnsi="Cambria Math"/>
          </w:rPr>
          <m:t>F</m:t>
        </m:r>
      </m:oMath>
      <w:r>
        <w:t xml:space="preserve">(1, 10.48) = 1.55, </w:t>
      </w:r>
      <m:oMath>
        <m:r>
          <w:rPr>
            <w:rFonts w:ascii="Cambria Math" w:hAnsi="Cambria Math"/>
          </w:rPr>
          <m:t>p</m:t>
        </m:r>
      </m:oMath>
      <w:r>
        <w:t xml:space="preserve"> = .240</w:t>
      </w:r>
    </w:p>
    <w:p w14:paraId="76095DE7" w14:textId="77777777" w:rsidR="00C96820" w:rsidRDefault="00000000">
      <w:pPr>
        <w:pStyle w:val="BodyText"/>
      </w:pPr>
      <w:r>
        <w:t>The effects of EDCs tended to be slightly more positive for in-person (</w:t>
      </w:r>
      <m:oMath>
        <m:r>
          <w:rPr>
            <w:rFonts w:ascii="Cambria Math" w:hAnsi="Cambria Math"/>
          </w:rPr>
          <m:t>g</m:t>
        </m:r>
      </m:oMath>
      <w:r>
        <w:t xml:space="preserve"> = 0.29, 95% CI [0.14, 0.44],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.030) studies, </w:t>
      </w:r>
      <m:oMath>
        <m:r>
          <w:rPr>
            <w:rFonts w:ascii="Cambria Math" w:hAnsi="Cambria Math"/>
          </w:rPr>
          <m:t>F</m:t>
        </m:r>
      </m:oMath>
      <w:r>
        <w:t xml:space="preserve">(1, 30.22) = 4.81, </w:t>
      </w:r>
      <m:oMath>
        <m:r>
          <w:rPr>
            <w:rFonts w:ascii="Cambria Math" w:hAnsi="Cambria Math"/>
          </w:rPr>
          <m:t>p</m:t>
        </m:r>
      </m:oMath>
      <w:r>
        <w:t xml:space="preserve"> = .036. However, we did not find that demand effects significantly varied depending on whether students (</w:t>
      </w:r>
      <m:oMath>
        <m:r>
          <w:rPr>
            <w:rFonts w:ascii="Cambria Math" w:hAnsi="Cambria Math"/>
          </w:rPr>
          <m:t>g</m:t>
        </m:r>
      </m:oMath>
      <w:r>
        <w:t xml:space="preserve"> = 0.26, 95% CI [0.13, 0.40], </w:t>
      </w:r>
      <m:oMath>
        <m:r>
          <w:rPr>
            <w:rFonts w:ascii="Cambria Math" w:hAnsi="Cambria Math"/>
          </w:rPr>
          <m:t>p</m:t>
        </m:r>
      </m:oMath>
      <w:r>
        <w:t xml:space="preserve"> &lt; .001), non-students (</w:t>
      </w:r>
      <m:oMath>
        <m:r>
          <w:rPr>
            <w:rFonts w:ascii="Cambria Math" w:hAnsi="Cambria Math"/>
          </w:rPr>
          <m:t>g</m:t>
        </m:r>
      </m:oMath>
      <w:r>
        <w:t xml:space="preserve"> = 0.05, 95% CI [-0.06, 0.16], </w:t>
      </w:r>
      <m:oMath>
        <m:r>
          <w:rPr>
            <w:rFonts w:ascii="Cambria Math" w:hAnsi="Cambria Math"/>
          </w:rPr>
          <m:t>p</m:t>
        </m:r>
      </m:oMath>
      <w:r>
        <w:t xml:space="preserve"> = .323), or a mix of students and non-students (</w:t>
      </w:r>
      <m:oMath>
        <m:r>
          <w:rPr>
            <w:rFonts w:ascii="Cambria Math" w:hAnsi="Cambria Math"/>
          </w:rPr>
          <m:t>g</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2.12) = 2.44, </w:t>
      </w:r>
      <m:oMath>
        <m:r>
          <w:rPr>
            <w:rFonts w:ascii="Cambria Math" w:hAnsi="Cambria Math"/>
          </w:rPr>
          <m:t>p</m:t>
        </m:r>
      </m:oMath>
      <w:r>
        <w:t xml:space="preserve"> = .282. We also did not find that the effects of EDCs varied depending on whether those participants were paid (</w:t>
      </w:r>
      <m:oMath>
        <m:r>
          <w:rPr>
            <w:rFonts w:ascii="Cambria Math" w:hAnsi="Cambria Math"/>
          </w:rPr>
          <m:t>g</m:t>
        </m:r>
      </m:oMath>
      <w:r>
        <w:t xml:space="preserve"> = 0.13, 95% CI [0.00, 0.26], </w:t>
      </w:r>
      <m:oMath>
        <m:r>
          <w:rPr>
            <w:rFonts w:ascii="Cambria Math" w:hAnsi="Cambria Math"/>
          </w:rPr>
          <m:t>p</m:t>
        </m:r>
      </m:oMath>
      <w:r>
        <w:t xml:space="preserve"> = .047) vs. unpaid (</w:t>
      </w:r>
      <m:oMath>
        <m:r>
          <w:rPr>
            <w:rFonts w:ascii="Cambria Math" w:hAnsi="Cambria Math"/>
          </w:rPr>
          <m:t>g</m:t>
        </m:r>
      </m:oMath>
      <w:r>
        <w:t xml:space="preserve"> = 0.19, 95% CI [0.08, 0.31], </w:t>
      </w:r>
      <m:oMath>
        <m:r>
          <w:rPr>
            <w:rFonts w:ascii="Cambria Math" w:hAnsi="Cambria Math"/>
          </w:rPr>
          <m:t>p</m:t>
        </m:r>
      </m:oMath>
      <w:r>
        <w:t xml:space="preserve"> = .002), </w:t>
      </w:r>
      <m:oMath>
        <m:r>
          <w:rPr>
            <w:rFonts w:ascii="Cambria Math" w:hAnsi="Cambria Math"/>
          </w:rPr>
          <m:t>F</m:t>
        </m:r>
      </m:oMath>
      <w:r>
        <w:t xml:space="preserve">(1, 20.74) = 0.55, </w:t>
      </w:r>
      <m:oMath>
        <m:r>
          <w:rPr>
            <w:rFonts w:ascii="Cambria Math" w:hAnsi="Cambria Math"/>
          </w:rPr>
          <m:t>p</m:t>
        </m:r>
      </m:oMath>
      <w:r>
        <w:t xml:space="preserve"> = .465.</w:t>
      </w:r>
    </w:p>
    <w:p w14:paraId="606460D3" w14:textId="38F3DDCE" w:rsidR="00C96820" w:rsidRPr="00EB32CD" w:rsidRDefault="00EB32CD">
      <w:pPr>
        <w:pStyle w:val="TableCaption"/>
      </w:pPr>
      <w:r w:rsidRPr="00EB32CD">
        <w:rPr>
          <w:i/>
          <w:iCs/>
        </w:rPr>
        <w:lastRenderedPageBreak/>
        <w:t>Table 1.</w:t>
      </w:r>
      <w:r>
        <w:rPr>
          <w:i/>
          <w:iCs/>
        </w:rPr>
        <w:t xml:space="preserve"> </w:t>
      </w:r>
      <w:r w:rsidRPr="00EB32CD">
        <w:t>Study moderator and subgroup analyses</w:t>
      </w:r>
      <w:r>
        <w:t>.</w:t>
      </w:r>
    </w:p>
    <w:tbl>
      <w:tblPr>
        <w:tblStyle w:val="Table"/>
        <w:tblW w:w="0" w:type="auto"/>
        <w:tblLook w:val="0020" w:firstRow="1" w:lastRow="0" w:firstColumn="0" w:lastColumn="0" w:noHBand="0" w:noVBand="0"/>
      </w:tblPr>
      <w:tblGrid>
        <w:gridCol w:w="4543"/>
        <w:gridCol w:w="456"/>
        <w:gridCol w:w="576"/>
        <w:gridCol w:w="636"/>
        <w:gridCol w:w="1416"/>
        <w:gridCol w:w="756"/>
        <w:gridCol w:w="832"/>
      </w:tblGrid>
      <w:tr w:rsidR="00C96820" w14:paraId="27754C0E" w14:textId="77777777" w:rsidTr="00C96820">
        <w:trPr>
          <w:cnfStyle w:val="100000000000" w:firstRow="1" w:lastRow="0" w:firstColumn="0" w:lastColumn="0" w:oddVBand="0" w:evenVBand="0" w:oddHBand="0" w:evenHBand="0" w:firstRowFirstColumn="0" w:firstRowLastColumn="0" w:lastRowFirstColumn="0" w:lastRowLastColumn="0"/>
          <w:tblHeader/>
        </w:trPr>
        <w:tc>
          <w:tcPr>
            <w:tcW w:w="0" w:type="auto"/>
          </w:tcPr>
          <w:p w14:paraId="05E36CE0" w14:textId="77777777" w:rsidR="00C96820" w:rsidRDefault="00000000">
            <w:pPr>
              <w:pStyle w:val="Compact"/>
            </w:pPr>
            <w:r>
              <w:t>Moderator (bolded) and level</w:t>
            </w:r>
          </w:p>
        </w:tc>
        <w:tc>
          <w:tcPr>
            <w:tcW w:w="0" w:type="auto"/>
          </w:tcPr>
          <w:p w14:paraId="00D48846" w14:textId="77777777" w:rsidR="00C96820" w:rsidRPr="00EB32CD" w:rsidRDefault="00000000">
            <w:pPr>
              <w:pStyle w:val="Compact"/>
              <w:rPr>
                <w:i/>
                <w:iCs/>
              </w:rPr>
            </w:pPr>
            <w:r w:rsidRPr="00EB32CD">
              <w:rPr>
                <w:i/>
                <w:iCs/>
              </w:rPr>
              <w:t>s</w:t>
            </w:r>
          </w:p>
        </w:tc>
        <w:tc>
          <w:tcPr>
            <w:tcW w:w="0" w:type="auto"/>
          </w:tcPr>
          <w:p w14:paraId="747C9010" w14:textId="77777777" w:rsidR="00C96820" w:rsidRPr="00EB32CD" w:rsidRDefault="00000000">
            <w:pPr>
              <w:pStyle w:val="Compact"/>
              <w:rPr>
                <w:i/>
                <w:iCs/>
              </w:rPr>
            </w:pPr>
            <w:r w:rsidRPr="00EB32CD">
              <w:rPr>
                <w:i/>
                <w:iCs/>
              </w:rPr>
              <w:t>k</w:t>
            </w:r>
          </w:p>
        </w:tc>
        <w:tc>
          <w:tcPr>
            <w:tcW w:w="0" w:type="auto"/>
          </w:tcPr>
          <w:p w14:paraId="69AF9D36" w14:textId="77777777" w:rsidR="00C96820" w:rsidRPr="00EB32CD" w:rsidRDefault="00000000">
            <w:pPr>
              <w:pStyle w:val="Compact"/>
              <w:rPr>
                <w:i/>
                <w:iCs/>
              </w:rPr>
            </w:pPr>
            <w:r w:rsidRPr="00EB32CD">
              <w:rPr>
                <w:i/>
                <w:iCs/>
              </w:rPr>
              <w:t>g</w:t>
            </w:r>
          </w:p>
        </w:tc>
        <w:tc>
          <w:tcPr>
            <w:tcW w:w="0" w:type="auto"/>
          </w:tcPr>
          <w:p w14:paraId="112F1F79" w14:textId="77777777" w:rsidR="00C96820" w:rsidRDefault="00000000">
            <w:pPr>
              <w:pStyle w:val="Compact"/>
            </w:pPr>
            <w:r>
              <w:t>95% CI</w:t>
            </w:r>
          </w:p>
        </w:tc>
        <w:tc>
          <w:tcPr>
            <w:tcW w:w="0" w:type="auto"/>
          </w:tcPr>
          <w:p w14:paraId="57D72C4A" w14:textId="77777777" w:rsidR="00C96820" w:rsidRPr="00EB32CD" w:rsidRDefault="00000000">
            <w:pPr>
              <w:pStyle w:val="Compact"/>
              <w:rPr>
                <w:i/>
                <w:iCs/>
              </w:rPr>
            </w:pPr>
            <w:r w:rsidRPr="00EB32CD">
              <w:rPr>
                <w:i/>
                <w:iCs/>
              </w:rPr>
              <w:t>F</w:t>
            </w:r>
          </w:p>
        </w:tc>
        <w:tc>
          <w:tcPr>
            <w:tcW w:w="0" w:type="auto"/>
          </w:tcPr>
          <w:p w14:paraId="74CAE9B9" w14:textId="77777777" w:rsidR="00C96820" w:rsidRPr="00EB32CD" w:rsidRDefault="00000000">
            <w:pPr>
              <w:pStyle w:val="Compact"/>
              <w:rPr>
                <w:i/>
                <w:iCs/>
              </w:rPr>
            </w:pPr>
            <w:r w:rsidRPr="00EB32CD">
              <w:rPr>
                <w:i/>
                <w:iCs/>
              </w:rPr>
              <w:t>p</w:t>
            </w:r>
          </w:p>
        </w:tc>
      </w:tr>
      <w:tr w:rsidR="00C96820" w14:paraId="05BDA75D" w14:textId="77777777">
        <w:tc>
          <w:tcPr>
            <w:tcW w:w="0" w:type="auto"/>
          </w:tcPr>
          <w:p w14:paraId="59F37380" w14:textId="77777777" w:rsidR="00C96820" w:rsidRPr="00EB32CD" w:rsidRDefault="00000000">
            <w:pPr>
              <w:pStyle w:val="Compact"/>
              <w:rPr>
                <w:b/>
                <w:bCs/>
              </w:rPr>
            </w:pPr>
            <w:r w:rsidRPr="00EB32CD">
              <w:rPr>
                <w:b/>
                <w:bCs/>
              </w:rPr>
              <w:t>Group comparison</w:t>
            </w:r>
          </w:p>
        </w:tc>
        <w:tc>
          <w:tcPr>
            <w:tcW w:w="0" w:type="auto"/>
          </w:tcPr>
          <w:p w14:paraId="6BA2DB1A" w14:textId="77777777" w:rsidR="00C96820" w:rsidRDefault="00000000">
            <w:pPr>
              <w:pStyle w:val="Compact"/>
            </w:pPr>
            <w:r>
              <w:t>53</w:t>
            </w:r>
          </w:p>
        </w:tc>
        <w:tc>
          <w:tcPr>
            <w:tcW w:w="0" w:type="auto"/>
          </w:tcPr>
          <w:p w14:paraId="61BC59F9" w14:textId="77777777" w:rsidR="00C96820" w:rsidRDefault="00000000">
            <w:pPr>
              <w:pStyle w:val="Compact"/>
            </w:pPr>
            <w:r>
              <w:t>253</w:t>
            </w:r>
          </w:p>
        </w:tc>
        <w:tc>
          <w:tcPr>
            <w:tcW w:w="0" w:type="auto"/>
          </w:tcPr>
          <w:p w14:paraId="11D48418" w14:textId="77777777" w:rsidR="00C96820" w:rsidRDefault="00000000">
            <w:pPr>
              <w:pStyle w:val="Compact"/>
            </w:pPr>
            <w:r>
              <w:t>–</w:t>
            </w:r>
          </w:p>
        </w:tc>
        <w:tc>
          <w:tcPr>
            <w:tcW w:w="0" w:type="auto"/>
          </w:tcPr>
          <w:p w14:paraId="20DC5002" w14:textId="77777777" w:rsidR="00C96820" w:rsidRDefault="00000000">
            <w:pPr>
              <w:pStyle w:val="Compact"/>
            </w:pPr>
            <w:r>
              <w:t>–</w:t>
            </w:r>
          </w:p>
        </w:tc>
        <w:tc>
          <w:tcPr>
            <w:tcW w:w="0" w:type="auto"/>
          </w:tcPr>
          <w:p w14:paraId="3EF6148C" w14:textId="77777777" w:rsidR="00C96820" w:rsidRDefault="00000000">
            <w:pPr>
              <w:pStyle w:val="Compact"/>
            </w:pPr>
            <w:r>
              <w:t>1.93</w:t>
            </w:r>
          </w:p>
        </w:tc>
        <w:tc>
          <w:tcPr>
            <w:tcW w:w="0" w:type="auto"/>
          </w:tcPr>
          <w:p w14:paraId="017F2511" w14:textId="77777777" w:rsidR="00C96820" w:rsidRDefault="00000000">
            <w:pPr>
              <w:pStyle w:val="Compact"/>
            </w:pPr>
            <w:r>
              <w:t>.287</w:t>
            </w:r>
          </w:p>
        </w:tc>
      </w:tr>
      <w:tr w:rsidR="00C96820" w14:paraId="61E41FE2" w14:textId="77777777">
        <w:tc>
          <w:tcPr>
            <w:tcW w:w="0" w:type="auto"/>
          </w:tcPr>
          <w:p w14:paraId="57CA5860" w14:textId="77777777" w:rsidR="00C96820" w:rsidRDefault="00000000">
            <w:pPr>
              <w:pStyle w:val="Compact"/>
            </w:pPr>
            <w:r>
              <w:t>     positive vs. control</w:t>
            </w:r>
          </w:p>
        </w:tc>
        <w:tc>
          <w:tcPr>
            <w:tcW w:w="0" w:type="auto"/>
          </w:tcPr>
          <w:p w14:paraId="08AD4C0F" w14:textId="77777777" w:rsidR="00C96820" w:rsidRDefault="00000000">
            <w:pPr>
              <w:pStyle w:val="Compact"/>
            </w:pPr>
            <w:r>
              <w:t>42</w:t>
            </w:r>
          </w:p>
        </w:tc>
        <w:tc>
          <w:tcPr>
            <w:tcW w:w="0" w:type="auto"/>
          </w:tcPr>
          <w:p w14:paraId="7B4B89E7" w14:textId="77777777" w:rsidR="00C96820" w:rsidRDefault="00000000">
            <w:pPr>
              <w:pStyle w:val="Compact"/>
            </w:pPr>
            <w:r>
              <w:t>115</w:t>
            </w:r>
          </w:p>
        </w:tc>
        <w:tc>
          <w:tcPr>
            <w:tcW w:w="0" w:type="auto"/>
          </w:tcPr>
          <w:p w14:paraId="1BF65470" w14:textId="77777777" w:rsidR="00C96820" w:rsidRDefault="00000000">
            <w:pPr>
              <w:pStyle w:val="Compact"/>
            </w:pPr>
            <w:r>
              <w:t>0.15</w:t>
            </w:r>
          </w:p>
        </w:tc>
        <w:tc>
          <w:tcPr>
            <w:tcW w:w="0" w:type="auto"/>
          </w:tcPr>
          <w:p w14:paraId="5412075B" w14:textId="77777777" w:rsidR="00C96820" w:rsidRDefault="00000000">
            <w:pPr>
              <w:pStyle w:val="Compact"/>
            </w:pPr>
            <w:r>
              <w:t>[0.04, 0.26]</w:t>
            </w:r>
          </w:p>
        </w:tc>
        <w:tc>
          <w:tcPr>
            <w:tcW w:w="0" w:type="auto"/>
          </w:tcPr>
          <w:p w14:paraId="52B11083" w14:textId="77777777" w:rsidR="00C96820" w:rsidRDefault="00000000">
            <w:pPr>
              <w:pStyle w:val="Compact"/>
            </w:pPr>
            <w:r>
              <w:t>7.14</w:t>
            </w:r>
          </w:p>
        </w:tc>
        <w:tc>
          <w:tcPr>
            <w:tcW w:w="0" w:type="auto"/>
          </w:tcPr>
          <w:p w14:paraId="6DD3655A" w14:textId="77777777" w:rsidR="00C96820" w:rsidRDefault="00000000">
            <w:pPr>
              <w:pStyle w:val="Compact"/>
            </w:pPr>
            <w:r>
              <w:t>.011</w:t>
            </w:r>
          </w:p>
        </w:tc>
      </w:tr>
      <w:tr w:rsidR="00C96820" w14:paraId="085FD5E2" w14:textId="77777777">
        <w:tc>
          <w:tcPr>
            <w:tcW w:w="0" w:type="auto"/>
          </w:tcPr>
          <w:p w14:paraId="07A81A6A" w14:textId="77777777" w:rsidR="00C96820" w:rsidRDefault="00000000">
            <w:pPr>
              <w:pStyle w:val="Compact"/>
            </w:pPr>
            <w:r>
              <w:t>     nil vs. control</w:t>
            </w:r>
          </w:p>
        </w:tc>
        <w:tc>
          <w:tcPr>
            <w:tcW w:w="0" w:type="auto"/>
          </w:tcPr>
          <w:p w14:paraId="570A0AE8" w14:textId="77777777" w:rsidR="00C96820" w:rsidRDefault="00000000">
            <w:pPr>
              <w:pStyle w:val="Compact"/>
            </w:pPr>
            <w:r>
              <w:t>4</w:t>
            </w:r>
          </w:p>
        </w:tc>
        <w:tc>
          <w:tcPr>
            <w:tcW w:w="0" w:type="auto"/>
          </w:tcPr>
          <w:p w14:paraId="37513B2D" w14:textId="77777777" w:rsidR="00C96820" w:rsidRDefault="00000000">
            <w:pPr>
              <w:pStyle w:val="Compact"/>
            </w:pPr>
            <w:r>
              <w:t>17</w:t>
            </w:r>
          </w:p>
        </w:tc>
        <w:tc>
          <w:tcPr>
            <w:tcW w:w="0" w:type="auto"/>
          </w:tcPr>
          <w:p w14:paraId="4257FF78" w14:textId="77777777" w:rsidR="00C96820" w:rsidRDefault="00000000">
            <w:pPr>
              <w:pStyle w:val="Compact"/>
            </w:pPr>
            <w:r>
              <w:t>0.22</w:t>
            </w:r>
          </w:p>
        </w:tc>
        <w:tc>
          <w:tcPr>
            <w:tcW w:w="0" w:type="auto"/>
          </w:tcPr>
          <w:p w14:paraId="44F07B6E" w14:textId="77777777" w:rsidR="00C96820" w:rsidRDefault="00000000">
            <w:pPr>
              <w:pStyle w:val="Compact"/>
            </w:pPr>
            <w:r>
              <w:t>[-0.14, 0.58]</w:t>
            </w:r>
          </w:p>
        </w:tc>
        <w:tc>
          <w:tcPr>
            <w:tcW w:w="0" w:type="auto"/>
          </w:tcPr>
          <w:p w14:paraId="58BC06D2" w14:textId="77777777" w:rsidR="00C96820" w:rsidRDefault="00000000">
            <w:pPr>
              <w:pStyle w:val="Compact"/>
            </w:pPr>
            <w:r>
              <w:t>2.91</w:t>
            </w:r>
          </w:p>
        </w:tc>
        <w:tc>
          <w:tcPr>
            <w:tcW w:w="0" w:type="auto"/>
          </w:tcPr>
          <w:p w14:paraId="405E9AA7" w14:textId="77777777" w:rsidR="00C96820" w:rsidRDefault="00000000">
            <w:pPr>
              <w:pStyle w:val="Compact"/>
            </w:pPr>
            <w:r>
              <w:t>.164</w:t>
            </w:r>
          </w:p>
        </w:tc>
      </w:tr>
      <w:tr w:rsidR="00C96820" w14:paraId="2FB8A6FA" w14:textId="77777777">
        <w:tc>
          <w:tcPr>
            <w:tcW w:w="0" w:type="auto"/>
          </w:tcPr>
          <w:p w14:paraId="5F9CF114" w14:textId="77777777" w:rsidR="00C96820" w:rsidRDefault="00000000">
            <w:pPr>
              <w:pStyle w:val="Compact"/>
            </w:pPr>
            <w:r>
              <w:t>     negative vs. control</w:t>
            </w:r>
          </w:p>
        </w:tc>
        <w:tc>
          <w:tcPr>
            <w:tcW w:w="0" w:type="auto"/>
          </w:tcPr>
          <w:p w14:paraId="22D96C07" w14:textId="77777777" w:rsidR="00C96820" w:rsidRDefault="00000000">
            <w:pPr>
              <w:pStyle w:val="Compact"/>
            </w:pPr>
            <w:r>
              <w:t>17</w:t>
            </w:r>
          </w:p>
        </w:tc>
        <w:tc>
          <w:tcPr>
            <w:tcW w:w="0" w:type="auto"/>
          </w:tcPr>
          <w:p w14:paraId="0A120144" w14:textId="77777777" w:rsidR="00C96820" w:rsidRDefault="00000000">
            <w:pPr>
              <w:pStyle w:val="Compact"/>
            </w:pPr>
            <w:r>
              <w:t>43</w:t>
            </w:r>
          </w:p>
        </w:tc>
        <w:tc>
          <w:tcPr>
            <w:tcW w:w="0" w:type="auto"/>
          </w:tcPr>
          <w:p w14:paraId="6FC7546F" w14:textId="77777777" w:rsidR="00C96820" w:rsidRDefault="00000000">
            <w:pPr>
              <w:pStyle w:val="Compact"/>
            </w:pPr>
            <w:r>
              <w:t>0.16</w:t>
            </w:r>
          </w:p>
        </w:tc>
        <w:tc>
          <w:tcPr>
            <w:tcW w:w="0" w:type="auto"/>
          </w:tcPr>
          <w:p w14:paraId="4CFF1225" w14:textId="77777777" w:rsidR="00C96820" w:rsidRDefault="00000000">
            <w:pPr>
              <w:pStyle w:val="Compact"/>
            </w:pPr>
            <w:r>
              <w:t>[0.03, 0.29]</w:t>
            </w:r>
          </w:p>
        </w:tc>
        <w:tc>
          <w:tcPr>
            <w:tcW w:w="0" w:type="auto"/>
          </w:tcPr>
          <w:p w14:paraId="7067FDF7" w14:textId="77777777" w:rsidR="00C96820" w:rsidRDefault="00000000">
            <w:pPr>
              <w:pStyle w:val="Compact"/>
            </w:pPr>
            <w:r>
              <w:t>6.4</w:t>
            </w:r>
          </w:p>
        </w:tc>
        <w:tc>
          <w:tcPr>
            <w:tcW w:w="0" w:type="auto"/>
          </w:tcPr>
          <w:p w14:paraId="6086D57B" w14:textId="77777777" w:rsidR="00C96820" w:rsidRDefault="00000000">
            <w:pPr>
              <w:pStyle w:val="Compact"/>
            </w:pPr>
            <w:r>
              <w:t>.021</w:t>
            </w:r>
          </w:p>
        </w:tc>
      </w:tr>
      <w:tr w:rsidR="00C96820" w14:paraId="2D75EC93" w14:textId="77777777">
        <w:tc>
          <w:tcPr>
            <w:tcW w:w="0" w:type="auto"/>
          </w:tcPr>
          <w:p w14:paraId="59EA8FBF" w14:textId="77777777" w:rsidR="00C96820" w:rsidRDefault="00000000">
            <w:pPr>
              <w:pStyle w:val="Compact"/>
            </w:pPr>
            <w:r>
              <w:t>     positive vs. nil</w:t>
            </w:r>
          </w:p>
        </w:tc>
        <w:tc>
          <w:tcPr>
            <w:tcW w:w="0" w:type="auto"/>
          </w:tcPr>
          <w:p w14:paraId="169984CE" w14:textId="77777777" w:rsidR="00C96820" w:rsidRDefault="00000000">
            <w:pPr>
              <w:pStyle w:val="Compact"/>
            </w:pPr>
            <w:r>
              <w:t>8</w:t>
            </w:r>
          </w:p>
        </w:tc>
        <w:tc>
          <w:tcPr>
            <w:tcW w:w="0" w:type="auto"/>
          </w:tcPr>
          <w:p w14:paraId="1A889453" w14:textId="77777777" w:rsidR="00C96820" w:rsidRDefault="00000000">
            <w:pPr>
              <w:pStyle w:val="Compact"/>
            </w:pPr>
            <w:r>
              <w:t>34</w:t>
            </w:r>
          </w:p>
        </w:tc>
        <w:tc>
          <w:tcPr>
            <w:tcW w:w="0" w:type="auto"/>
          </w:tcPr>
          <w:p w14:paraId="04AF048E" w14:textId="77777777" w:rsidR="00C96820" w:rsidRDefault="00000000">
            <w:pPr>
              <w:pStyle w:val="Compact"/>
            </w:pPr>
            <w:r>
              <w:t>0.36</w:t>
            </w:r>
          </w:p>
        </w:tc>
        <w:tc>
          <w:tcPr>
            <w:tcW w:w="0" w:type="auto"/>
          </w:tcPr>
          <w:p w14:paraId="494E6B3D" w14:textId="77777777" w:rsidR="00C96820" w:rsidRDefault="00000000">
            <w:pPr>
              <w:pStyle w:val="Compact"/>
            </w:pPr>
            <w:r>
              <w:t>[0.02, 0.71]</w:t>
            </w:r>
          </w:p>
        </w:tc>
        <w:tc>
          <w:tcPr>
            <w:tcW w:w="0" w:type="auto"/>
          </w:tcPr>
          <w:p w14:paraId="6074F114" w14:textId="77777777" w:rsidR="00C96820" w:rsidRDefault="00000000">
            <w:pPr>
              <w:pStyle w:val="Compact"/>
            </w:pPr>
            <w:r>
              <w:t>6.13</w:t>
            </w:r>
          </w:p>
        </w:tc>
        <w:tc>
          <w:tcPr>
            <w:tcW w:w="0" w:type="auto"/>
          </w:tcPr>
          <w:p w14:paraId="01517804" w14:textId="77777777" w:rsidR="00C96820" w:rsidRDefault="00000000">
            <w:pPr>
              <w:pStyle w:val="Compact"/>
            </w:pPr>
            <w:r>
              <w:t>.043</w:t>
            </w:r>
          </w:p>
        </w:tc>
      </w:tr>
      <w:tr w:rsidR="00C96820" w14:paraId="6FA81114" w14:textId="77777777">
        <w:tc>
          <w:tcPr>
            <w:tcW w:w="0" w:type="auto"/>
          </w:tcPr>
          <w:p w14:paraId="200182F2" w14:textId="77777777" w:rsidR="00C96820" w:rsidRDefault="00000000">
            <w:pPr>
              <w:pStyle w:val="Compact"/>
            </w:pPr>
            <w:r>
              <w:t>     positive vs. negative</w:t>
            </w:r>
          </w:p>
        </w:tc>
        <w:tc>
          <w:tcPr>
            <w:tcW w:w="0" w:type="auto"/>
          </w:tcPr>
          <w:p w14:paraId="75093E16" w14:textId="77777777" w:rsidR="00C96820" w:rsidRDefault="00000000">
            <w:pPr>
              <w:pStyle w:val="Compact"/>
            </w:pPr>
            <w:r>
              <w:t>16</w:t>
            </w:r>
          </w:p>
        </w:tc>
        <w:tc>
          <w:tcPr>
            <w:tcW w:w="0" w:type="auto"/>
          </w:tcPr>
          <w:p w14:paraId="7E9FD513" w14:textId="77777777" w:rsidR="00C96820" w:rsidRDefault="00000000">
            <w:pPr>
              <w:pStyle w:val="Compact"/>
            </w:pPr>
            <w:r>
              <w:t>44</w:t>
            </w:r>
          </w:p>
        </w:tc>
        <w:tc>
          <w:tcPr>
            <w:tcW w:w="0" w:type="auto"/>
          </w:tcPr>
          <w:p w14:paraId="54BE44E5" w14:textId="77777777" w:rsidR="00C96820" w:rsidRDefault="00000000">
            <w:pPr>
              <w:pStyle w:val="Compact"/>
            </w:pPr>
            <w:r>
              <w:t>0.32</w:t>
            </w:r>
          </w:p>
        </w:tc>
        <w:tc>
          <w:tcPr>
            <w:tcW w:w="0" w:type="auto"/>
          </w:tcPr>
          <w:p w14:paraId="2265DCEF" w14:textId="77777777" w:rsidR="00C96820" w:rsidRDefault="00000000">
            <w:pPr>
              <w:pStyle w:val="Compact"/>
            </w:pPr>
            <w:r>
              <w:t>[0.15, 0.5]</w:t>
            </w:r>
          </w:p>
        </w:tc>
        <w:tc>
          <w:tcPr>
            <w:tcW w:w="0" w:type="auto"/>
          </w:tcPr>
          <w:p w14:paraId="38D98B33" w14:textId="77777777" w:rsidR="00C96820" w:rsidRDefault="00000000">
            <w:pPr>
              <w:pStyle w:val="Compact"/>
            </w:pPr>
            <w:r>
              <w:t>15.15</w:t>
            </w:r>
          </w:p>
        </w:tc>
        <w:tc>
          <w:tcPr>
            <w:tcW w:w="0" w:type="auto"/>
          </w:tcPr>
          <w:p w14:paraId="0CBDFD38" w14:textId="77777777" w:rsidR="00C96820" w:rsidRDefault="00000000">
            <w:pPr>
              <w:pStyle w:val="Compact"/>
            </w:pPr>
            <w:r>
              <w:t>.001</w:t>
            </w:r>
          </w:p>
        </w:tc>
      </w:tr>
      <w:tr w:rsidR="00C96820" w14:paraId="403A02C7" w14:textId="77777777">
        <w:tc>
          <w:tcPr>
            <w:tcW w:w="0" w:type="auto"/>
          </w:tcPr>
          <w:p w14:paraId="1DA40DE6" w14:textId="77777777" w:rsidR="00C96820" w:rsidRPr="00EB32CD" w:rsidRDefault="00000000">
            <w:pPr>
              <w:pStyle w:val="Compact"/>
              <w:rPr>
                <w:b/>
                <w:bCs/>
              </w:rPr>
            </w:pPr>
            <w:r w:rsidRPr="00EB32CD">
              <w:rPr>
                <w:b/>
                <w:bCs/>
              </w:rPr>
              <w:t>Control vs. non-control group comparison</w:t>
            </w:r>
          </w:p>
        </w:tc>
        <w:tc>
          <w:tcPr>
            <w:tcW w:w="0" w:type="auto"/>
          </w:tcPr>
          <w:p w14:paraId="39B5FE1B" w14:textId="77777777" w:rsidR="00C96820" w:rsidRDefault="00000000">
            <w:pPr>
              <w:pStyle w:val="Compact"/>
            </w:pPr>
            <w:r>
              <w:t>53</w:t>
            </w:r>
          </w:p>
        </w:tc>
        <w:tc>
          <w:tcPr>
            <w:tcW w:w="0" w:type="auto"/>
          </w:tcPr>
          <w:p w14:paraId="15E22B93" w14:textId="77777777" w:rsidR="00C96820" w:rsidRDefault="00000000">
            <w:pPr>
              <w:pStyle w:val="Compact"/>
            </w:pPr>
            <w:r>
              <w:t>253</w:t>
            </w:r>
          </w:p>
        </w:tc>
        <w:tc>
          <w:tcPr>
            <w:tcW w:w="0" w:type="auto"/>
          </w:tcPr>
          <w:p w14:paraId="20AE711C" w14:textId="77777777" w:rsidR="00C96820" w:rsidRDefault="00000000">
            <w:pPr>
              <w:pStyle w:val="Compact"/>
            </w:pPr>
            <w:r>
              <w:t>–</w:t>
            </w:r>
          </w:p>
        </w:tc>
        <w:tc>
          <w:tcPr>
            <w:tcW w:w="0" w:type="auto"/>
          </w:tcPr>
          <w:p w14:paraId="5F35F651" w14:textId="77777777" w:rsidR="00C96820" w:rsidRDefault="00000000">
            <w:pPr>
              <w:pStyle w:val="Compact"/>
            </w:pPr>
            <w:r>
              <w:t>–</w:t>
            </w:r>
          </w:p>
        </w:tc>
        <w:tc>
          <w:tcPr>
            <w:tcW w:w="0" w:type="auto"/>
          </w:tcPr>
          <w:p w14:paraId="343775A4" w14:textId="77777777" w:rsidR="00C96820" w:rsidRDefault="00000000">
            <w:pPr>
              <w:pStyle w:val="Compact"/>
            </w:pPr>
            <w:r>
              <w:t>10.87</w:t>
            </w:r>
          </w:p>
        </w:tc>
        <w:tc>
          <w:tcPr>
            <w:tcW w:w="0" w:type="auto"/>
          </w:tcPr>
          <w:p w14:paraId="4EA8E3DA" w14:textId="77777777" w:rsidR="00C96820" w:rsidRDefault="00000000">
            <w:pPr>
              <w:pStyle w:val="Compact"/>
            </w:pPr>
            <w:r>
              <w:t>.008</w:t>
            </w:r>
          </w:p>
        </w:tc>
      </w:tr>
      <w:tr w:rsidR="00C96820" w14:paraId="05F687D7" w14:textId="77777777">
        <w:tc>
          <w:tcPr>
            <w:tcW w:w="0" w:type="auto"/>
          </w:tcPr>
          <w:p w14:paraId="0C896B4E" w14:textId="77777777" w:rsidR="00C96820" w:rsidRDefault="00000000">
            <w:pPr>
              <w:pStyle w:val="Compact"/>
            </w:pPr>
            <w:r>
              <w:t>     control</w:t>
            </w:r>
          </w:p>
        </w:tc>
        <w:tc>
          <w:tcPr>
            <w:tcW w:w="0" w:type="auto"/>
          </w:tcPr>
          <w:p w14:paraId="0EE64F1A" w14:textId="77777777" w:rsidR="00C96820" w:rsidRDefault="00000000">
            <w:pPr>
              <w:pStyle w:val="Compact"/>
            </w:pPr>
            <w:r>
              <w:t>45</w:t>
            </w:r>
          </w:p>
        </w:tc>
        <w:tc>
          <w:tcPr>
            <w:tcW w:w="0" w:type="auto"/>
          </w:tcPr>
          <w:p w14:paraId="34756207" w14:textId="77777777" w:rsidR="00C96820" w:rsidRDefault="00000000">
            <w:pPr>
              <w:pStyle w:val="Compact"/>
            </w:pPr>
            <w:r>
              <w:t>175</w:t>
            </w:r>
          </w:p>
        </w:tc>
        <w:tc>
          <w:tcPr>
            <w:tcW w:w="0" w:type="auto"/>
          </w:tcPr>
          <w:p w14:paraId="163E6842" w14:textId="77777777" w:rsidR="00C96820" w:rsidRDefault="00000000">
            <w:pPr>
              <w:pStyle w:val="Compact"/>
            </w:pPr>
            <w:r>
              <w:t>0.15</w:t>
            </w:r>
          </w:p>
        </w:tc>
        <w:tc>
          <w:tcPr>
            <w:tcW w:w="0" w:type="auto"/>
          </w:tcPr>
          <w:p w14:paraId="73326AEA" w14:textId="77777777" w:rsidR="00C96820" w:rsidRDefault="00000000">
            <w:pPr>
              <w:pStyle w:val="Compact"/>
            </w:pPr>
            <w:r>
              <w:t>[0.07, 0.24]</w:t>
            </w:r>
          </w:p>
        </w:tc>
        <w:tc>
          <w:tcPr>
            <w:tcW w:w="0" w:type="auto"/>
          </w:tcPr>
          <w:p w14:paraId="703C8306" w14:textId="77777777" w:rsidR="00C96820" w:rsidRDefault="00000000">
            <w:pPr>
              <w:pStyle w:val="Compact"/>
            </w:pPr>
            <w:r>
              <w:t>12.11</w:t>
            </w:r>
          </w:p>
        </w:tc>
        <w:tc>
          <w:tcPr>
            <w:tcW w:w="0" w:type="auto"/>
          </w:tcPr>
          <w:p w14:paraId="5C7B6C4C" w14:textId="77777777" w:rsidR="00C96820" w:rsidRDefault="00000000">
            <w:pPr>
              <w:pStyle w:val="Compact"/>
            </w:pPr>
            <w:r>
              <w:t>.001</w:t>
            </w:r>
          </w:p>
        </w:tc>
      </w:tr>
      <w:tr w:rsidR="00C96820" w14:paraId="1379D723" w14:textId="77777777">
        <w:tc>
          <w:tcPr>
            <w:tcW w:w="0" w:type="auto"/>
          </w:tcPr>
          <w:p w14:paraId="5DC5E99E" w14:textId="77777777" w:rsidR="00C96820" w:rsidRDefault="00000000">
            <w:pPr>
              <w:pStyle w:val="Compact"/>
            </w:pPr>
            <w:r>
              <w:t>     non-control</w:t>
            </w:r>
          </w:p>
        </w:tc>
        <w:tc>
          <w:tcPr>
            <w:tcW w:w="0" w:type="auto"/>
          </w:tcPr>
          <w:p w14:paraId="0CA03A2D" w14:textId="77777777" w:rsidR="00C96820" w:rsidRDefault="00000000">
            <w:pPr>
              <w:pStyle w:val="Compact"/>
            </w:pPr>
            <w:r>
              <w:t>24</w:t>
            </w:r>
          </w:p>
        </w:tc>
        <w:tc>
          <w:tcPr>
            <w:tcW w:w="0" w:type="auto"/>
          </w:tcPr>
          <w:p w14:paraId="79E499C6" w14:textId="77777777" w:rsidR="00C96820" w:rsidRDefault="00000000">
            <w:pPr>
              <w:pStyle w:val="Compact"/>
            </w:pPr>
            <w:r>
              <w:t>78</w:t>
            </w:r>
          </w:p>
        </w:tc>
        <w:tc>
          <w:tcPr>
            <w:tcW w:w="0" w:type="auto"/>
          </w:tcPr>
          <w:p w14:paraId="51EC416E" w14:textId="77777777" w:rsidR="00C96820" w:rsidRDefault="00000000">
            <w:pPr>
              <w:pStyle w:val="Compact"/>
            </w:pPr>
            <w:r>
              <w:t>0.33</w:t>
            </w:r>
          </w:p>
        </w:tc>
        <w:tc>
          <w:tcPr>
            <w:tcW w:w="0" w:type="auto"/>
          </w:tcPr>
          <w:p w14:paraId="6F970694" w14:textId="77777777" w:rsidR="00C96820" w:rsidRDefault="00000000">
            <w:pPr>
              <w:pStyle w:val="Compact"/>
            </w:pPr>
            <w:r>
              <w:t>[0.18, 0.48]</w:t>
            </w:r>
          </w:p>
        </w:tc>
        <w:tc>
          <w:tcPr>
            <w:tcW w:w="0" w:type="auto"/>
          </w:tcPr>
          <w:p w14:paraId="0FE45201" w14:textId="77777777" w:rsidR="00C96820" w:rsidRDefault="00000000">
            <w:pPr>
              <w:pStyle w:val="Compact"/>
            </w:pPr>
            <w:r>
              <w:t>20.99</w:t>
            </w:r>
          </w:p>
        </w:tc>
        <w:tc>
          <w:tcPr>
            <w:tcW w:w="0" w:type="auto"/>
          </w:tcPr>
          <w:p w14:paraId="452ABBF7" w14:textId="77777777" w:rsidR="00C96820" w:rsidRDefault="00000000">
            <w:pPr>
              <w:pStyle w:val="Compact"/>
            </w:pPr>
            <w:r>
              <w:t>&lt; .001</w:t>
            </w:r>
          </w:p>
        </w:tc>
      </w:tr>
      <w:tr w:rsidR="00C96820" w14:paraId="2A2C2DD1" w14:textId="77777777">
        <w:tc>
          <w:tcPr>
            <w:tcW w:w="0" w:type="auto"/>
          </w:tcPr>
          <w:p w14:paraId="443F1C7A" w14:textId="47900873" w:rsidR="00C96820" w:rsidRPr="00EB32CD" w:rsidRDefault="00000000">
            <w:pPr>
              <w:pStyle w:val="Compact"/>
              <w:rPr>
                <w:b/>
                <w:bCs/>
              </w:rPr>
            </w:pPr>
            <w:r w:rsidRPr="00EB32CD">
              <w:rPr>
                <w:b/>
                <w:bCs/>
              </w:rPr>
              <w:t>Control group comparison (levels above)</w:t>
            </w:r>
          </w:p>
        </w:tc>
        <w:tc>
          <w:tcPr>
            <w:tcW w:w="0" w:type="auto"/>
          </w:tcPr>
          <w:p w14:paraId="44344817" w14:textId="77777777" w:rsidR="00C96820" w:rsidRDefault="00000000">
            <w:pPr>
              <w:pStyle w:val="Compact"/>
            </w:pPr>
            <w:r>
              <w:t>45</w:t>
            </w:r>
          </w:p>
        </w:tc>
        <w:tc>
          <w:tcPr>
            <w:tcW w:w="0" w:type="auto"/>
          </w:tcPr>
          <w:p w14:paraId="24BE770B" w14:textId="77777777" w:rsidR="00C96820" w:rsidRDefault="00000000">
            <w:pPr>
              <w:pStyle w:val="Compact"/>
            </w:pPr>
            <w:r>
              <w:t>175</w:t>
            </w:r>
          </w:p>
        </w:tc>
        <w:tc>
          <w:tcPr>
            <w:tcW w:w="0" w:type="auto"/>
          </w:tcPr>
          <w:p w14:paraId="39E9AEEC" w14:textId="77777777" w:rsidR="00C96820" w:rsidRDefault="00000000">
            <w:pPr>
              <w:pStyle w:val="Compact"/>
            </w:pPr>
            <w:r>
              <w:t>–</w:t>
            </w:r>
          </w:p>
        </w:tc>
        <w:tc>
          <w:tcPr>
            <w:tcW w:w="0" w:type="auto"/>
          </w:tcPr>
          <w:p w14:paraId="54E869FA" w14:textId="77777777" w:rsidR="00C96820" w:rsidRDefault="00000000">
            <w:pPr>
              <w:pStyle w:val="Compact"/>
            </w:pPr>
            <w:r>
              <w:t>–</w:t>
            </w:r>
          </w:p>
        </w:tc>
        <w:tc>
          <w:tcPr>
            <w:tcW w:w="0" w:type="auto"/>
          </w:tcPr>
          <w:p w14:paraId="73367847" w14:textId="77777777" w:rsidR="00C96820" w:rsidRDefault="00000000">
            <w:pPr>
              <w:pStyle w:val="Compact"/>
            </w:pPr>
            <w:r>
              <w:t>0.2</w:t>
            </w:r>
          </w:p>
        </w:tc>
        <w:tc>
          <w:tcPr>
            <w:tcW w:w="0" w:type="auto"/>
          </w:tcPr>
          <w:p w14:paraId="0BB1418B" w14:textId="77777777" w:rsidR="00C96820" w:rsidRDefault="00000000">
            <w:pPr>
              <w:pStyle w:val="Compact"/>
            </w:pPr>
            <w:r>
              <w:t>.828</w:t>
            </w:r>
          </w:p>
        </w:tc>
      </w:tr>
      <w:tr w:rsidR="00C96820" w14:paraId="37C94C13" w14:textId="77777777">
        <w:tc>
          <w:tcPr>
            <w:tcW w:w="0" w:type="auto"/>
          </w:tcPr>
          <w:p w14:paraId="7BE666DD" w14:textId="2B7BCDB9" w:rsidR="00C96820" w:rsidRPr="00EB32CD" w:rsidRDefault="00000000">
            <w:pPr>
              <w:pStyle w:val="Compact"/>
              <w:rPr>
                <w:b/>
                <w:bCs/>
              </w:rPr>
            </w:pPr>
            <w:r w:rsidRPr="00EB32CD">
              <w:rPr>
                <w:b/>
                <w:bCs/>
              </w:rPr>
              <w:t xml:space="preserve">Design of </w:t>
            </w:r>
            <w:r w:rsidR="00EB32CD">
              <w:rPr>
                <w:b/>
                <w:bCs/>
              </w:rPr>
              <w:t xml:space="preserve">EDC </w:t>
            </w:r>
            <w:r w:rsidRPr="00EB32CD">
              <w:rPr>
                <w:b/>
                <w:bCs/>
              </w:rPr>
              <w:t>manipulation</w:t>
            </w:r>
          </w:p>
        </w:tc>
        <w:tc>
          <w:tcPr>
            <w:tcW w:w="0" w:type="auto"/>
          </w:tcPr>
          <w:p w14:paraId="5105387A" w14:textId="77777777" w:rsidR="00C96820" w:rsidRDefault="00000000">
            <w:pPr>
              <w:pStyle w:val="Compact"/>
            </w:pPr>
            <w:r>
              <w:t>53</w:t>
            </w:r>
          </w:p>
        </w:tc>
        <w:tc>
          <w:tcPr>
            <w:tcW w:w="0" w:type="auto"/>
          </w:tcPr>
          <w:p w14:paraId="50547477" w14:textId="77777777" w:rsidR="00C96820" w:rsidRDefault="00000000">
            <w:pPr>
              <w:pStyle w:val="Compact"/>
            </w:pPr>
            <w:r>
              <w:t>253</w:t>
            </w:r>
          </w:p>
        </w:tc>
        <w:tc>
          <w:tcPr>
            <w:tcW w:w="0" w:type="auto"/>
          </w:tcPr>
          <w:p w14:paraId="5304D265" w14:textId="77777777" w:rsidR="00C96820" w:rsidRDefault="00000000">
            <w:pPr>
              <w:pStyle w:val="Compact"/>
            </w:pPr>
            <w:r>
              <w:t>–</w:t>
            </w:r>
          </w:p>
        </w:tc>
        <w:tc>
          <w:tcPr>
            <w:tcW w:w="0" w:type="auto"/>
          </w:tcPr>
          <w:p w14:paraId="7B084C5F" w14:textId="77777777" w:rsidR="00C96820" w:rsidRDefault="00000000">
            <w:pPr>
              <w:pStyle w:val="Compact"/>
            </w:pPr>
            <w:r>
              <w:t>–</w:t>
            </w:r>
          </w:p>
        </w:tc>
        <w:tc>
          <w:tcPr>
            <w:tcW w:w="0" w:type="auto"/>
          </w:tcPr>
          <w:p w14:paraId="0866D6FF" w14:textId="77777777" w:rsidR="00C96820" w:rsidRDefault="00000000">
            <w:pPr>
              <w:pStyle w:val="Compact"/>
            </w:pPr>
            <w:r>
              <w:t>1.55</w:t>
            </w:r>
          </w:p>
        </w:tc>
        <w:tc>
          <w:tcPr>
            <w:tcW w:w="0" w:type="auto"/>
          </w:tcPr>
          <w:p w14:paraId="6C529920" w14:textId="77777777" w:rsidR="00C96820" w:rsidRDefault="00000000">
            <w:pPr>
              <w:pStyle w:val="Compact"/>
            </w:pPr>
            <w:r>
              <w:t>.240</w:t>
            </w:r>
          </w:p>
        </w:tc>
      </w:tr>
      <w:tr w:rsidR="00C96820" w14:paraId="6692E3C0" w14:textId="77777777">
        <w:tc>
          <w:tcPr>
            <w:tcW w:w="0" w:type="auto"/>
          </w:tcPr>
          <w:p w14:paraId="40783A83" w14:textId="77777777" w:rsidR="00C96820" w:rsidRDefault="00000000">
            <w:pPr>
              <w:pStyle w:val="Compact"/>
            </w:pPr>
            <w:r>
              <w:t>     within-subjects</w:t>
            </w:r>
          </w:p>
        </w:tc>
        <w:tc>
          <w:tcPr>
            <w:tcW w:w="0" w:type="auto"/>
          </w:tcPr>
          <w:p w14:paraId="5F69839D" w14:textId="77777777" w:rsidR="00C96820" w:rsidRDefault="00000000">
            <w:pPr>
              <w:pStyle w:val="Compact"/>
            </w:pPr>
            <w:r>
              <w:t>14</w:t>
            </w:r>
          </w:p>
        </w:tc>
        <w:tc>
          <w:tcPr>
            <w:tcW w:w="0" w:type="auto"/>
          </w:tcPr>
          <w:p w14:paraId="6DEAF792" w14:textId="77777777" w:rsidR="00C96820" w:rsidRDefault="00000000">
            <w:pPr>
              <w:pStyle w:val="Compact"/>
            </w:pPr>
            <w:r>
              <w:t>44</w:t>
            </w:r>
          </w:p>
        </w:tc>
        <w:tc>
          <w:tcPr>
            <w:tcW w:w="0" w:type="auto"/>
          </w:tcPr>
          <w:p w14:paraId="6A289E90" w14:textId="77777777" w:rsidR="00C96820" w:rsidRDefault="00000000">
            <w:pPr>
              <w:pStyle w:val="Compact"/>
            </w:pPr>
            <w:r>
              <w:t>0.14</w:t>
            </w:r>
          </w:p>
        </w:tc>
        <w:tc>
          <w:tcPr>
            <w:tcW w:w="0" w:type="auto"/>
          </w:tcPr>
          <w:p w14:paraId="3357E430" w14:textId="77777777" w:rsidR="00C96820" w:rsidRDefault="00000000">
            <w:pPr>
              <w:pStyle w:val="Compact"/>
            </w:pPr>
            <w:r>
              <w:t>[0.02, 0.25]</w:t>
            </w:r>
          </w:p>
        </w:tc>
        <w:tc>
          <w:tcPr>
            <w:tcW w:w="0" w:type="auto"/>
          </w:tcPr>
          <w:p w14:paraId="4DD9D22A" w14:textId="77777777" w:rsidR="00C96820" w:rsidRDefault="00000000">
            <w:pPr>
              <w:pStyle w:val="Compact"/>
            </w:pPr>
            <w:r>
              <w:t>7.07</w:t>
            </w:r>
          </w:p>
        </w:tc>
        <w:tc>
          <w:tcPr>
            <w:tcW w:w="0" w:type="auto"/>
          </w:tcPr>
          <w:p w14:paraId="38606F19" w14:textId="77777777" w:rsidR="00C96820" w:rsidRDefault="00000000">
            <w:pPr>
              <w:pStyle w:val="Compact"/>
            </w:pPr>
            <w:r>
              <w:t>.020</w:t>
            </w:r>
          </w:p>
        </w:tc>
      </w:tr>
      <w:tr w:rsidR="00C96820" w14:paraId="20FE6BE3" w14:textId="77777777">
        <w:tc>
          <w:tcPr>
            <w:tcW w:w="0" w:type="auto"/>
          </w:tcPr>
          <w:p w14:paraId="2C383C81" w14:textId="77777777" w:rsidR="00C96820" w:rsidRDefault="00000000">
            <w:pPr>
              <w:pStyle w:val="Compact"/>
            </w:pPr>
            <w:r>
              <w:t>     between-subjects</w:t>
            </w:r>
          </w:p>
        </w:tc>
        <w:tc>
          <w:tcPr>
            <w:tcW w:w="0" w:type="auto"/>
          </w:tcPr>
          <w:p w14:paraId="0475EF18" w14:textId="77777777" w:rsidR="00C96820" w:rsidRDefault="00000000">
            <w:pPr>
              <w:pStyle w:val="Compact"/>
            </w:pPr>
            <w:r>
              <w:t>45</w:t>
            </w:r>
          </w:p>
        </w:tc>
        <w:tc>
          <w:tcPr>
            <w:tcW w:w="0" w:type="auto"/>
          </w:tcPr>
          <w:p w14:paraId="3B62111C" w14:textId="77777777" w:rsidR="00C96820" w:rsidRDefault="00000000">
            <w:pPr>
              <w:pStyle w:val="Compact"/>
            </w:pPr>
            <w:r>
              <w:t>209</w:t>
            </w:r>
          </w:p>
        </w:tc>
        <w:tc>
          <w:tcPr>
            <w:tcW w:w="0" w:type="auto"/>
          </w:tcPr>
          <w:p w14:paraId="3C372B26" w14:textId="77777777" w:rsidR="00C96820" w:rsidRDefault="00000000">
            <w:pPr>
              <w:pStyle w:val="Compact"/>
            </w:pPr>
            <w:r>
              <w:t>0.22</w:t>
            </w:r>
          </w:p>
        </w:tc>
        <w:tc>
          <w:tcPr>
            <w:tcW w:w="0" w:type="auto"/>
          </w:tcPr>
          <w:p w14:paraId="2B7F31B0" w14:textId="77777777" w:rsidR="00C96820" w:rsidRDefault="00000000">
            <w:pPr>
              <w:pStyle w:val="Compact"/>
            </w:pPr>
            <w:r>
              <w:t>[0.11, 0.34]</w:t>
            </w:r>
          </w:p>
        </w:tc>
        <w:tc>
          <w:tcPr>
            <w:tcW w:w="0" w:type="auto"/>
          </w:tcPr>
          <w:p w14:paraId="49A20175" w14:textId="77777777" w:rsidR="00C96820" w:rsidRDefault="00000000">
            <w:pPr>
              <w:pStyle w:val="Compact"/>
            </w:pPr>
            <w:r>
              <w:t>14.65</w:t>
            </w:r>
          </w:p>
        </w:tc>
        <w:tc>
          <w:tcPr>
            <w:tcW w:w="0" w:type="auto"/>
          </w:tcPr>
          <w:p w14:paraId="671EBB25" w14:textId="77777777" w:rsidR="00C96820" w:rsidRDefault="00000000">
            <w:pPr>
              <w:pStyle w:val="Compact"/>
            </w:pPr>
            <w:r>
              <w:t>&lt; .001</w:t>
            </w:r>
          </w:p>
        </w:tc>
      </w:tr>
      <w:tr w:rsidR="00C96820" w14:paraId="4B121F64" w14:textId="77777777">
        <w:tc>
          <w:tcPr>
            <w:tcW w:w="0" w:type="auto"/>
          </w:tcPr>
          <w:p w14:paraId="5B7D9717" w14:textId="77777777" w:rsidR="00C96820" w:rsidRPr="00EB32CD" w:rsidRDefault="00000000">
            <w:pPr>
              <w:pStyle w:val="Compact"/>
              <w:rPr>
                <w:b/>
                <w:bCs/>
              </w:rPr>
            </w:pPr>
            <w:r w:rsidRPr="00EB32CD">
              <w:rPr>
                <w:b/>
                <w:bCs/>
              </w:rPr>
              <w:t>Participant pool</w:t>
            </w:r>
          </w:p>
        </w:tc>
        <w:tc>
          <w:tcPr>
            <w:tcW w:w="0" w:type="auto"/>
          </w:tcPr>
          <w:p w14:paraId="7C1A2CF6" w14:textId="77777777" w:rsidR="00C96820" w:rsidRDefault="00000000">
            <w:pPr>
              <w:pStyle w:val="Compact"/>
            </w:pPr>
            <w:r>
              <w:t>49</w:t>
            </w:r>
          </w:p>
        </w:tc>
        <w:tc>
          <w:tcPr>
            <w:tcW w:w="0" w:type="auto"/>
          </w:tcPr>
          <w:p w14:paraId="133BD0E2" w14:textId="77777777" w:rsidR="00C96820" w:rsidRDefault="00000000">
            <w:pPr>
              <w:pStyle w:val="Compact"/>
            </w:pPr>
            <w:r>
              <w:t>205</w:t>
            </w:r>
          </w:p>
        </w:tc>
        <w:tc>
          <w:tcPr>
            <w:tcW w:w="0" w:type="auto"/>
          </w:tcPr>
          <w:p w14:paraId="78C916C9" w14:textId="77777777" w:rsidR="00C96820" w:rsidRDefault="00000000">
            <w:pPr>
              <w:pStyle w:val="Compact"/>
            </w:pPr>
            <w:r>
              <w:t>–</w:t>
            </w:r>
          </w:p>
        </w:tc>
        <w:tc>
          <w:tcPr>
            <w:tcW w:w="0" w:type="auto"/>
          </w:tcPr>
          <w:p w14:paraId="557C0F0F" w14:textId="77777777" w:rsidR="00C96820" w:rsidRDefault="00000000">
            <w:pPr>
              <w:pStyle w:val="Compact"/>
            </w:pPr>
            <w:r>
              <w:t>–</w:t>
            </w:r>
          </w:p>
        </w:tc>
        <w:tc>
          <w:tcPr>
            <w:tcW w:w="0" w:type="auto"/>
          </w:tcPr>
          <w:p w14:paraId="135A9DD3" w14:textId="77777777" w:rsidR="00C96820" w:rsidRDefault="00000000">
            <w:pPr>
              <w:pStyle w:val="Compact"/>
            </w:pPr>
            <w:r>
              <w:t>2.44</w:t>
            </w:r>
          </w:p>
        </w:tc>
        <w:tc>
          <w:tcPr>
            <w:tcW w:w="0" w:type="auto"/>
          </w:tcPr>
          <w:p w14:paraId="1665664C" w14:textId="77777777" w:rsidR="00C96820" w:rsidRDefault="00000000">
            <w:pPr>
              <w:pStyle w:val="Compact"/>
            </w:pPr>
            <w:r>
              <w:t>.282</w:t>
            </w:r>
          </w:p>
        </w:tc>
      </w:tr>
      <w:tr w:rsidR="00C96820" w14:paraId="46D34E7F" w14:textId="77777777">
        <w:tc>
          <w:tcPr>
            <w:tcW w:w="0" w:type="auto"/>
          </w:tcPr>
          <w:p w14:paraId="114B187F" w14:textId="77777777" w:rsidR="00C96820" w:rsidRDefault="00000000">
            <w:pPr>
              <w:pStyle w:val="Compact"/>
            </w:pPr>
            <w:r>
              <w:t>     students</w:t>
            </w:r>
          </w:p>
        </w:tc>
        <w:tc>
          <w:tcPr>
            <w:tcW w:w="0" w:type="auto"/>
          </w:tcPr>
          <w:p w14:paraId="08F77976" w14:textId="77777777" w:rsidR="00C96820" w:rsidRDefault="00000000">
            <w:pPr>
              <w:pStyle w:val="Compact"/>
            </w:pPr>
            <w:r>
              <w:t>36</w:t>
            </w:r>
          </w:p>
        </w:tc>
        <w:tc>
          <w:tcPr>
            <w:tcW w:w="0" w:type="auto"/>
          </w:tcPr>
          <w:p w14:paraId="18FB559F" w14:textId="77777777" w:rsidR="00C96820" w:rsidRDefault="00000000">
            <w:pPr>
              <w:pStyle w:val="Compact"/>
            </w:pPr>
            <w:r>
              <w:t>160</w:t>
            </w:r>
          </w:p>
        </w:tc>
        <w:tc>
          <w:tcPr>
            <w:tcW w:w="0" w:type="auto"/>
          </w:tcPr>
          <w:p w14:paraId="7D107F9D" w14:textId="77777777" w:rsidR="00C96820" w:rsidRDefault="00000000">
            <w:pPr>
              <w:pStyle w:val="Compact"/>
            </w:pPr>
            <w:r>
              <w:t>0.26</w:t>
            </w:r>
          </w:p>
        </w:tc>
        <w:tc>
          <w:tcPr>
            <w:tcW w:w="0" w:type="auto"/>
          </w:tcPr>
          <w:p w14:paraId="7CFC957B" w14:textId="77777777" w:rsidR="00C96820" w:rsidRDefault="00000000">
            <w:pPr>
              <w:pStyle w:val="Compact"/>
            </w:pPr>
            <w:r>
              <w:t>[0.13, 0.4]</w:t>
            </w:r>
          </w:p>
        </w:tc>
        <w:tc>
          <w:tcPr>
            <w:tcW w:w="0" w:type="auto"/>
          </w:tcPr>
          <w:p w14:paraId="00FF7BA9" w14:textId="77777777" w:rsidR="00C96820" w:rsidRDefault="00000000">
            <w:pPr>
              <w:pStyle w:val="Compact"/>
            </w:pPr>
            <w:r>
              <w:t>15.99</w:t>
            </w:r>
          </w:p>
        </w:tc>
        <w:tc>
          <w:tcPr>
            <w:tcW w:w="0" w:type="auto"/>
          </w:tcPr>
          <w:p w14:paraId="6437AC21" w14:textId="77777777" w:rsidR="00C96820" w:rsidRDefault="00000000">
            <w:pPr>
              <w:pStyle w:val="Compact"/>
            </w:pPr>
            <w:r>
              <w:t>&lt; .001</w:t>
            </w:r>
          </w:p>
        </w:tc>
      </w:tr>
      <w:tr w:rsidR="00C96820" w14:paraId="1DC666E9" w14:textId="77777777">
        <w:tc>
          <w:tcPr>
            <w:tcW w:w="0" w:type="auto"/>
          </w:tcPr>
          <w:p w14:paraId="337741A5" w14:textId="77777777" w:rsidR="00C96820" w:rsidRDefault="00000000">
            <w:pPr>
              <w:pStyle w:val="Compact"/>
            </w:pPr>
            <w:r>
              <w:t>     non-students</w:t>
            </w:r>
          </w:p>
        </w:tc>
        <w:tc>
          <w:tcPr>
            <w:tcW w:w="0" w:type="auto"/>
          </w:tcPr>
          <w:p w14:paraId="011E12D0" w14:textId="77777777" w:rsidR="00C96820" w:rsidRDefault="00000000">
            <w:pPr>
              <w:pStyle w:val="Compact"/>
            </w:pPr>
            <w:r>
              <w:t>12</w:t>
            </w:r>
          </w:p>
        </w:tc>
        <w:tc>
          <w:tcPr>
            <w:tcW w:w="0" w:type="auto"/>
          </w:tcPr>
          <w:p w14:paraId="79C46E0E" w14:textId="77777777" w:rsidR="00C96820" w:rsidRDefault="00000000">
            <w:pPr>
              <w:pStyle w:val="Compact"/>
            </w:pPr>
            <w:r>
              <w:t>26</w:t>
            </w:r>
          </w:p>
        </w:tc>
        <w:tc>
          <w:tcPr>
            <w:tcW w:w="0" w:type="auto"/>
          </w:tcPr>
          <w:p w14:paraId="7FBF0DA3" w14:textId="77777777" w:rsidR="00C96820" w:rsidRDefault="00000000">
            <w:pPr>
              <w:pStyle w:val="Compact"/>
            </w:pPr>
            <w:r>
              <w:t>0.05</w:t>
            </w:r>
          </w:p>
        </w:tc>
        <w:tc>
          <w:tcPr>
            <w:tcW w:w="0" w:type="auto"/>
          </w:tcPr>
          <w:p w14:paraId="5F7B29DD" w14:textId="77777777" w:rsidR="00C96820" w:rsidRDefault="00000000">
            <w:pPr>
              <w:pStyle w:val="Compact"/>
            </w:pPr>
            <w:r>
              <w:t>[-0.06, 0.16]</w:t>
            </w:r>
          </w:p>
        </w:tc>
        <w:tc>
          <w:tcPr>
            <w:tcW w:w="0" w:type="auto"/>
          </w:tcPr>
          <w:p w14:paraId="1301E2AC" w14:textId="77777777" w:rsidR="00C96820" w:rsidRDefault="00000000">
            <w:pPr>
              <w:pStyle w:val="Compact"/>
            </w:pPr>
            <w:r>
              <w:t>1.08</w:t>
            </w:r>
          </w:p>
        </w:tc>
        <w:tc>
          <w:tcPr>
            <w:tcW w:w="0" w:type="auto"/>
          </w:tcPr>
          <w:p w14:paraId="4A619CBA" w14:textId="77777777" w:rsidR="00C96820" w:rsidRDefault="00000000">
            <w:pPr>
              <w:pStyle w:val="Compact"/>
            </w:pPr>
            <w:r>
              <w:t>.323</w:t>
            </w:r>
          </w:p>
        </w:tc>
      </w:tr>
      <w:tr w:rsidR="00C96820" w14:paraId="63D02CD5" w14:textId="77777777">
        <w:tc>
          <w:tcPr>
            <w:tcW w:w="0" w:type="auto"/>
          </w:tcPr>
          <w:p w14:paraId="5F66BC3A" w14:textId="77777777" w:rsidR="00C96820" w:rsidRDefault="00000000">
            <w:pPr>
              <w:pStyle w:val="Compact"/>
            </w:pPr>
            <w:r>
              <w:t>     mix</w:t>
            </w:r>
          </w:p>
        </w:tc>
        <w:tc>
          <w:tcPr>
            <w:tcW w:w="0" w:type="auto"/>
          </w:tcPr>
          <w:p w14:paraId="034FF722" w14:textId="77777777" w:rsidR="00C96820" w:rsidRDefault="00000000">
            <w:pPr>
              <w:pStyle w:val="Compact"/>
            </w:pPr>
            <w:r>
              <w:t>2</w:t>
            </w:r>
          </w:p>
        </w:tc>
        <w:tc>
          <w:tcPr>
            <w:tcW w:w="0" w:type="auto"/>
          </w:tcPr>
          <w:p w14:paraId="2DC882B5" w14:textId="77777777" w:rsidR="00C96820" w:rsidRDefault="00000000">
            <w:pPr>
              <w:pStyle w:val="Compact"/>
            </w:pPr>
            <w:r>
              <w:t>19</w:t>
            </w:r>
          </w:p>
        </w:tc>
        <w:tc>
          <w:tcPr>
            <w:tcW w:w="0" w:type="auto"/>
          </w:tcPr>
          <w:p w14:paraId="004B2BCF" w14:textId="77777777" w:rsidR="00C96820" w:rsidRDefault="00000000">
            <w:pPr>
              <w:pStyle w:val="Compact"/>
            </w:pPr>
            <w:r>
              <w:t>0.05</w:t>
            </w:r>
          </w:p>
        </w:tc>
        <w:tc>
          <w:tcPr>
            <w:tcW w:w="0" w:type="auto"/>
          </w:tcPr>
          <w:p w14:paraId="5EDC4458" w14:textId="77777777" w:rsidR="00C96820" w:rsidRDefault="00000000">
            <w:pPr>
              <w:pStyle w:val="Compact"/>
            </w:pPr>
            <w:r>
              <w:t>[-1, 1.09]</w:t>
            </w:r>
          </w:p>
        </w:tc>
        <w:tc>
          <w:tcPr>
            <w:tcW w:w="0" w:type="auto"/>
          </w:tcPr>
          <w:p w14:paraId="4336BAE3" w14:textId="77777777" w:rsidR="00C96820" w:rsidRDefault="00000000">
            <w:pPr>
              <w:pStyle w:val="Compact"/>
            </w:pPr>
            <w:r>
              <w:t>0.3</w:t>
            </w:r>
          </w:p>
        </w:tc>
        <w:tc>
          <w:tcPr>
            <w:tcW w:w="0" w:type="auto"/>
          </w:tcPr>
          <w:p w14:paraId="25AC734E" w14:textId="77777777" w:rsidR="00C96820" w:rsidRDefault="00000000">
            <w:pPr>
              <w:pStyle w:val="Compact"/>
            </w:pPr>
            <w:r>
              <w:t>.680</w:t>
            </w:r>
          </w:p>
        </w:tc>
      </w:tr>
      <w:tr w:rsidR="00C96820" w14:paraId="7C316DC6" w14:textId="77777777">
        <w:tc>
          <w:tcPr>
            <w:tcW w:w="0" w:type="auto"/>
          </w:tcPr>
          <w:p w14:paraId="4454DBBE" w14:textId="77777777" w:rsidR="00C96820" w:rsidRPr="00EB32CD" w:rsidRDefault="00000000">
            <w:pPr>
              <w:pStyle w:val="Compact"/>
              <w:rPr>
                <w:b/>
                <w:bCs/>
              </w:rPr>
            </w:pPr>
            <w:r w:rsidRPr="00EB32CD">
              <w:rPr>
                <w:b/>
                <w:bCs/>
              </w:rPr>
              <w:t>Setting</w:t>
            </w:r>
          </w:p>
        </w:tc>
        <w:tc>
          <w:tcPr>
            <w:tcW w:w="0" w:type="auto"/>
          </w:tcPr>
          <w:p w14:paraId="067EE53D" w14:textId="77777777" w:rsidR="00C96820" w:rsidRDefault="00000000">
            <w:pPr>
              <w:pStyle w:val="Compact"/>
            </w:pPr>
            <w:r>
              <w:t>50</w:t>
            </w:r>
          </w:p>
        </w:tc>
        <w:tc>
          <w:tcPr>
            <w:tcW w:w="0" w:type="auto"/>
          </w:tcPr>
          <w:p w14:paraId="4D2D0723" w14:textId="77777777" w:rsidR="00C96820" w:rsidRDefault="00000000">
            <w:pPr>
              <w:pStyle w:val="Compact"/>
            </w:pPr>
            <w:r>
              <w:t>240</w:t>
            </w:r>
          </w:p>
        </w:tc>
        <w:tc>
          <w:tcPr>
            <w:tcW w:w="0" w:type="auto"/>
          </w:tcPr>
          <w:p w14:paraId="5377A979" w14:textId="77777777" w:rsidR="00C96820" w:rsidRDefault="00000000">
            <w:pPr>
              <w:pStyle w:val="Compact"/>
            </w:pPr>
            <w:r>
              <w:t>–</w:t>
            </w:r>
          </w:p>
        </w:tc>
        <w:tc>
          <w:tcPr>
            <w:tcW w:w="0" w:type="auto"/>
          </w:tcPr>
          <w:p w14:paraId="30AD660B" w14:textId="77777777" w:rsidR="00C96820" w:rsidRDefault="00000000">
            <w:pPr>
              <w:pStyle w:val="Compact"/>
            </w:pPr>
            <w:r>
              <w:t>–</w:t>
            </w:r>
          </w:p>
        </w:tc>
        <w:tc>
          <w:tcPr>
            <w:tcW w:w="0" w:type="auto"/>
          </w:tcPr>
          <w:p w14:paraId="07307ABB" w14:textId="77777777" w:rsidR="00C96820" w:rsidRDefault="00000000">
            <w:pPr>
              <w:pStyle w:val="Compact"/>
            </w:pPr>
            <w:r>
              <w:t>4.81</w:t>
            </w:r>
          </w:p>
        </w:tc>
        <w:tc>
          <w:tcPr>
            <w:tcW w:w="0" w:type="auto"/>
          </w:tcPr>
          <w:p w14:paraId="69E11D64" w14:textId="77777777" w:rsidR="00C96820" w:rsidRDefault="00000000">
            <w:pPr>
              <w:pStyle w:val="Compact"/>
            </w:pPr>
            <w:r>
              <w:t>.036</w:t>
            </w:r>
          </w:p>
        </w:tc>
      </w:tr>
      <w:tr w:rsidR="00C96820" w14:paraId="062EB134" w14:textId="77777777">
        <w:tc>
          <w:tcPr>
            <w:tcW w:w="0" w:type="auto"/>
          </w:tcPr>
          <w:p w14:paraId="0F4D4D14" w14:textId="77777777" w:rsidR="00C96820" w:rsidRDefault="00000000">
            <w:pPr>
              <w:pStyle w:val="Compact"/>
            </w:pPr>
            <w:r>
              <w:lastRenderedPageBreak/>
              <w:t>     online</w:t>
            </w:r>
          </w:p>
        </w:tc>
        <w:tc>
          <w:tcPr>
            <w:tcW w:w="0" w:type="auto"/>
          </w:tcPr>
          <w:p w14:paraId="2392AD64" w14:textId="77777777" w:rsidR="00C96820" w:rsidRDefault="00000000">
            <w:pPr>
              <w:pStyle w:val="Compact"/>
            </w:pPr>
            <w:r>
              <w:t>18</w:t>
            </w:r>
          </w:p>
        </w:tc>
        <w:tc>
          <w:tcPr>
            <w:tcW w:w="0" w:type="auto"/>
          </w:tcPr>
          <w:p w14:paraId="4D12A6DA" w14:textId="77777777" w:rsidR="00C96820" w:rsidRDefault="00000000">
            <w:pPr>
              <w:pStyle w:val="Compact"/>
            </w:pPr>
            <w:r>
              <w:t>52</w:t>
            </w:r>
          </w:p>
        </w:tc>
        <w:tc>
          <w:tcPr>
            <w:tcW w:w="0" w:type="auto"/>
          </w:tcPr>
          <w:p w14:paraId="5F97C4A6" w14:textId="77777777" w:rsidR="00C96820" w:rsidRDefault="00000000">
            <w:pPr>
              <w:pStyle w:val="Compact"/>
            </w:pPr>
            <w:r>
              <w:t>0.1</w:t>
            </w:r>
          </w:p>
        </w:tc>
        <w:tc>
          <w:tcPr>
            <w:tcW w:w="0" w:type="auto"/>
          </w:tcPr>
          <w:p w14:paraId="5C5FEAC5" w14:textId="77777777" w:rsidR="00C96820" w:rsidRDefault="00000000">
            <w:pPr>
              <w:pStyle w:val="Compact"/>
            </w:pPr>
            <w:r>
              <w:t>[0.01, 0.19]</w:t>
            </w:r>
          </w:p>
        </w:tc>
        <w:tc>
          <w:tcPr>
            <w:tcW w:w="0" w:type="auto"/>
          </w:tcPr>
          <w:p w14:paraId="66BE78EE" w14:textId="77777777" w:rsidR="00C96820" w:rsidRDefault="00000000">
            <w:pPr>
              <w:pStyle w:val="Compact"/>
            </w:pPr>
            <w:r>
              <w:t>5.68</w:t>
            </w:r>
          </w:p>
        </w:tc>
        <w:tc>
          <w:tcPr>
            <w:tcW w:w="0" w:type="auto"/>
          </w:tcPr>
          <w:p w14:paraId="34323BD9" w14:textId="77777777" w:rsidR="00C96820" w:rsidRDefault="00000000">
            <w:pPr>
              <w:pStyle w:val="Compact"/>
            </w:pPr>
            <w:r>
              <w:t>.030</w:t>
            </w:r>
          </w:p>
        </w:tc>
      </w:tr>
      <w:tr w:rsidR="00C96820" w14:paraId="79ED024A" w14:textId="77777777">
        <w:tc>
          <w:tcPr>
            <w:tcW w:w="0" w:type="auto"/>
          </w:tcPr>
          <w:p w14:paraId="4850C24D" w14:textId="77777777" w:rsidR="00C96820" w:rsidRDefault="00000000">
            <w:pPr>
              <w:pStyle w:val="Compact"/>
            </w:pPr>
            <w:r>
              <w:t>     in-person</w:t>
            </w:r>
          </w:p>
        </w:tc>
        <w:tc>
          <w:tcPr>
            <w:tcW w:w="0" w:type="auto"/>
          </w:tcPr>
          <w:p w14:paraId="5D3AD678" w14:textId="77777777" w:rsidR="00C96820" w:rsidRDefault="00000000">
            <w:pPr>
              <w:pStyle w:val="Compact"/>
            </w:pPr>
            <w:r>
              <w:t>33</w:t>
            </w:r>
          </w:p>
        </w:tc>
        <w:tc>
          <w:tcPr>
            <w:tcW w:w="0" w:type="auto"/>
          </w:tcPr>
          <w:p w14:paraId="354292E9" w14:textId="77777777" w:rsidR="00C96820" w:rsidRDefault="00000000">
            <w:pPr>
              <w:pStyle w:val="Compact"/>
            </w:pPr>
            <w:r>
              <w:t>188</w:t>
            </w:r>
          </w:p>
        </w:tc>
        <w:tc>
          <w:tcPr>
            <w:tcW w:w="0" w:type="auto"/>
          </w:tcPr>
          <w:p w14:paraId="560ABBE6" w14:textId="77777777" w:rsidR="00C96820" w:rsidRDefault="00000000">
            <w:pPr>
              <w:pStyle w:val="Compact"/>
            </w:pPr>
            <w:r>
              <w:t>0.29</w:t>
            </w:r>
          </w:p>
        </w:tc>
        <w:tc>
          <w:tcPr>
            <w:tcW w:w="0" w:type="auto"/>
          </w:tcPr>
          <w:p w14:paraId="74D75CCA" w14:textId="77777777" w:rsidR="00C96820" w:rsidRDefault="00000000">
            <w:pPr>
              <w:pStyle w:val="Compact"/>
            </w:pPr>
            <w:r>
              <w:t>[0.14, 0.44]</w:t>
            </w:r>
          </w:p>
        </w:tc>
        <w:tc>
          <w:tcPr>
            <w:tcW w:w="0" w:type="auto"/>
          </w:tcPr>
          <w:p w14:paraId="050FA35A" w14:textId="77777777" w:rsidR="00C96820" w:rsidRDefault="00000000">
            <w:pPr>
              <w:pStyle w:val="Compact"/>
            </w:pPr>
            <w:r>
              <w:t>15.49</w:t>
            </w:r>
          </w:p>
        </w:tc>
        <w:tc>
          <w:tcPr>
            <w:tcW w:w="0" w:type="auto"/>
          </w:tcPr>
          <w:p w14:paraId="43FA71D0" w14:textId="77777777" w:rsidR="00C96820" w:rsidRDefault="00000000">
            <w:pPr>
              <w:pStyle w:val="Compact"/>
            </w:pPr>
            <w:r>
              <w:t>&lt; .001</w:t>
            </w:r>
          </w:p>
        </w:tc>
      </w:tr>
      <w:tr w:rsidR="00C96820" w14:paraId="078900D4" w14:textId="77777777">
        <w:tc>
          <w:tcPr>
            <w:tcW w:w="0" w:type="auto"/>
          </w:tcPr>
          <w:p w14:paraId="147DC6E6" w14:textId="77777777" w:rsidR="00C96820" w:rsidRPr="00EB32CD" w:rsidRDefault="00000000">
            <w:pPr>
              <w:pStyle w:val="Compact"/>
              <w:rPr>
                <w:b/>
                <w:bCs/>
              </w:rPr>
            </w:pPr>
            <w:r w:rsidRPr="00EB32CD">
              <w:rPr>
                <w:b/>
                <w:bCs/>
              </w:rPr>
              <w:t>Payment</w:t>
            </w:r>
          </w:p>
        </w:tc>
        <w:tc>
          <w:tcPr>
            <w:tcW w:w="0" w:type="auto"/>
          </w:tcPr>
          <w:p w14:paraId="38441C54" w14:textId="77777777" w:rsidR="00C96820" w:rsidRDefault="00000000">
            <w:pPr>
              <w:pStyle w:val="Compact"/>
            </w:pPr>
            <w:r>
              <w:t>49</w:t>
            </w:r>
          </w:p>
        </w:tc>
        <w:tc>
          <w:tcPr>
            <w:tcW w:w="0" w:type="auto"/>
          </w:tcPr>
          <w:p w14:paraId="27FF93E4" w14:textId="77777777" w:rsidR="00C96820" w:rsidRDefault="00000000">
            <w:pPr>
              <w:pStyle w:val="Compact"/>
            </w:pPr>
            <w:r>
              <w:t>213</w:t>
            </w:r>
          </w:p>
        </w:tc>
        <w:tc>
          <w:tcPr>
            <w:tcW w:w="0" w:type="auto"/>
          </w:tcPr>
          <w:p w14:paraId="12D94F59" w14:textId="77777777" w:rsidR="00C96820" w:rsidRDefault="00000000">
            <w:pPr>
              <w:pStyle w:val="Compact"/>
            </w:pPr>
            <w:r>
              <w:t>–</w:t>
            </w:r>
          </w:p>
        </w:tc>
        <w:tc>
          <w:tcPr>
            <w:tcW w:w="0" w:type="auto"/>
          </w:tcPr>
          <w:p w14:paraId="35C5C1AE" w14:textId="77777777" w:rsidR="00C96820" w:rsidRDefault="00000000">
            <w:pPr>
              <w:pStyle w:val="Compact"/>
            </w:pPr>
            <w:r>
              <w:t>–</w:t>
            </w:r>
          </w:p>
        </w:tc>
        <w:tc>
          <w:tcPr>
            <w:tcW w:w="0" w:type="auto"/>
          </w:tcPr>
          <w:p w14:paraId="7EA3FA76" w14:textId="77777777" w:rsidR="00C96820" w:rsidRDefault="00000000">
            <w:pPr>
              <w:pStyle w:val="Compact"/>
            </w:pPr>
            <w:r>
              <w:t>0.55</w:t>
            </w:r>
          </w:p>
        </w:tc>
        <w:tc>
          <w:tcPr>
            <w:tcW w:w="0" w:type="auto"/>
          </w:tcPr>
          <w:p w14:paraId="73CC814B" w14:textId="77777777" w:rsidR="00C96820" w:rsidRDefault="00000000">
            <w:pPr>
              <w:pStyle w:val="Compact"/>
            </w:pPr>
            <w:r>
              <w:t>.465</w:t>
            </w:r>
          </w:p>
        </w:tc>
      </w:tr>
      <w:tr w:rsidR="00C96820" w14:paraId="378533CF" w14:textId="77777777">
        <w:tc>
          <w:tcPr>
            <w:tcW w:w="0" w:type="auto"/>
          </w:tcPr>
          <w:p w14:paraId="2DF16BC1" w14:textId="77777777" w:rsidR="00C96820" w:rsidRDefault="00000000">
            <w:pPr>
              <w:pStyle w:val="Compact"/>
            </w:pPr>
            <w:r>
              <w:t>     yes</w:t>
            </w:r>
          </w:p>
        </w:tc>
        <w:tc>
          <w:tcPr>
            <w:tcW w:w="0" w:type="auto"/>
          </w:tcPr>
          <w:p w14:paraId="21BFA16F" w14:textId="77777777" w:rsidR="00C96820" w:rsidRDefault="00000000">
            <w:pPr>
              <w:pStyle w:val="Compact"/>
            </w:pPr>
            <w:r>
              <w:t>13</w:t>
            </w:r>
          </w:p>
        </w:tc>
        <w:tc>
          <w:tcPr>
            <w:tcW w:w="0" w:type="auto"/>
          </w:tcPr>
          <w:p w14:paraId="4FA0DC64" w14:textId="77777777" w:rsidR="00C96820" w:rsidRDefault="00000000">
            <w:pPr>
              <w:pStyle w:val="Compact"/>
            </w:pPr>
            <w:r>
              <w:t>50</w:t>
            </w:r>
          </w:p>
        </w:tc>
        <w:tc>
          <w:tcPr>
            <w:tcW w:w="0" w:type="auto"/>
          </w:tcPr>
          <w:p w14:paraId="6933C397" w14:textId="77777777" w:rsidR="00C96820" w:rsidRDefault="00000000">
            <w:pPr>
              <w:pStyle w:val="Compact"/>
            </w:pPr>
            <w:r>
              <w:t>0.13</w:t>
            </w:r>
          </w:p>
        </w:tc>
        <w:tc>
          <w:tcPr>
            <w:tcW w:w="0" w:type="auto"/>
          </w:tcPr>
          <w:p w14:paraId="01E35AD7" w14:textId="77777777" w:rsidR="00C96820" w:rsidRDefault="00000000">
            <w:pPr>
              <w:pStyle w:val="Compact"/>
            </w:pPr>
            <w:r>
              <w:t>[0, 0.26]</w:t>
            </w:r>
          </w:p>
        </w:tc>
        <w:tc>
          <w:tcPr>
            <w:tcW w:w="0" w:type="auto"/>
          </w:tcPr>
          <w:p w14:paraId="0A209B90" w14:textId="77777777" w:rsidR="00C96820" w:rsidRDefault="00000000">
            <w:pPr>
              <w:pStyle w:val="Compact"/>
            </w:pPr>
            <w:r>
              <w:t>4.92</w:t>
            </w:r>
          </w:p>
        </w:tc>
        <w:tc>
          <w:tcPr>
            <w:tcW w:w="0" w:type="auto"/>
          </w:tcPr>
          <w:p w14:paraId="1FFC924C" w14:textId="77777777" w:rsidR="00C96820" w:rsidRDefault="00000000">
            <w:pPr>
              <w:pStyle w:val="Compact"/>
            </w:pPr>
            <w:r>
              <w:t>.047</w:t>
            </w:r>
          </w:p>
        </w:tc>
      </w:tr>
      <w:tr w:rsidR="00C96820" w14:paraId="3C8F1D0E" w14:textId="77777777">
        <w:tc>
          <w:tcPr>
            <w:tcW w:w="0" w:type="auto"/>
          </w:tcPr>
          <w:p w14:paraId="0C215E5D" w14:textId="77777777" w:rsidR="00C96820" w:rsidRDefault="00000000">
            <w:pPr>
              <w:pStyle w:val="Compact"/>
            </w:pPr>
            <w:r>
              <w:t>     no</w:t>
            </w:r>
          </w:p>
        </w:tc>
        <w:tc>
          <w:tcPr>
            <w:tcW w:w="0" w:type="auto"/>
          </w:tcPr>
          <w:p w14:paraId="772DBC98" w14:textId="77777777" w:rsidR="00C96820" w:rsidRDefault="00000000">
            <w:pPr>
              <w:pStyle w:val="Compact"/>
            </w:pPr>
            <w:r>
              <w:t>37</w:t>
            </w:r>
          </w:p>
        </w:tc>
        <w:tc>
          <w:tcPr>
            <w:tcW w:w="0" w:type="auto"/>
          </w:tcPr>
          <w:p w14:paraId="30A916DE" w14:textId="77777777" w:rsidR="00C96820" w:rsidRDefault="00000000">
            <w:pPr>
              <w:pStyle w:val="Compact"/>
            </w:pPr>
            <w:r>
              <w:t>163</w:t>
            </w:r>
          </w:p>
        </w:tc>
        <w:tc>
          <w:tcPr>
            <w:tcW w:w="0" w:type="auto"/>
          </w:tcPr>
          <w:p w14:paraId="61DF2208" w14:textId="77777777" w:rsidR="00C96820" w:rsidRDefault="00000000">
            <w:pPr>
              <w:pStyle w:val="Compact"/>
            </w:pPr>
            <w:r>
              <w:t>0.19</w:t>
            </w:r>
          </w:p>
        </w:tc>
        <w:tc>
          <w:tcPr>
            <w:tcW w:w="0" w:type="auto"/>
          </w:tcPr>
          <w:p w14:paraId="48296F83" w14:textId="77777777" w:rsidR="00C96820" w:rsidRDefault="00000000">
            <w:pPr>
              <w:pStyle w:val="Compact"/>
            </w:pPr>
            <w:r>
              <w:t>[0.08, 0.31]</w:t>
            </w:r>
          </w:p>
        </w:tc>
        <w:tc>
          <w:tcPr>
            <w:tcW w:w="0" w:type="auto"/>
          </w:tcPr>
          <w:p w14:paraId="78A7CFED" w14:textId="77777777" w:rsidR="00C96820" w:rsidRDefault="00000000">
            <w:pPr>
              <w:pStyle w:val="Compact"/>
            </w:pPr>
            <w:r>
              <w:t>11.71</w:t>
            </w:r>
          </w:p>
        </w:tc>
        <w:tc>
          <w:tcPr>
            <w:tcW w:w="0" w:type="auto"/>
          </w:tcPr>
          <w:p w14:paraId="58E0A10C" w14:textId="77777777" w:rsidR="00C96820" w:rsidRDefault="00000000">
            <w:pPr>
              <w:pStyle w:val="Compact"/>
            </w:pPr>
            <w:r>
              <w:t>.002</w:t>
            </w:r>
          </w:p>
        </w:tc>
      </w:tr>
      <w:tr w:rsidR="00C96820" w14:paraId="65BC5413" w14:textId="77777777">
        <w:tc>
          <w:tcPr>
            <w:tcW w:w="0" w:type="auto"/>
          </w:tcPr>
          <w:p w14:paraId="595A77CD" w14:textId="77777777" w:rsidR="00C96820" w:rsidRPr="00EB32CD" w:rsidRDefault="00000000">
            <w:pPr>
              <w:pStyle w:val="Compact"/>
              <w:rPr>
                <w:b/>
                <w:bCs/>
              </w:rPr>
            </w:pPr>
            <w:r w:rsidRPr="00EB32CD">
              <w:rPr>
                <w:b/>
                <w:bCs/>
              </w:rPr>
              <w:t>Publication status</w:t>
            </w:r>
          </w:p>
        </w:tc>
        <w:tc>
          <w:tcPr>
            <w:tcW w:w="0" w:type="auto"/>
          </w:tcPr>
          <w:p w14:paraId="7EB2EBE1" w14:textId="77777777" w:rsidR="00C96820" w:rsidRDefault="00000000">
            <w:pPr>
              <w:pStyle w:val="Compact"/>
            </w:pPr>
            <w:r>
              <w:t>53</w:t>
            </w:r>
          </w:p>
        </w:tc>
        <w:tc>
          <w:tcPr>
            <w:tcW w:w="0" w:type="auto"/>
          </w:tcPr>
          <w:p w14:paraId="311012F8" w14:textId="77777777" w:rsidR="00C96820" w:rsidRDefault="00000000">
            <w:pPr>
              <w:pStyle w:val="Compact"/>
            </w:pPr>
            <w:r>
              <w:t>253</w:t>
            </w:r>
          </w:p>
        </w:tc>
        <w:tc>
          <w:tcPr>
            <w:tcW w:w="0" w:type="auto"/>
          </w:tcPr>
          <w:p w14:paraId="50B49414" w14:textId="77777777" w:rsidR="00C96820" w:rsidRDefault="00000000">
            <w:pPr>
              <w:pStyle w:val="Compact"/>
            </w:pPr>
            <w:r>
              <w:t>–</w:t>
            </w:r>
          </w:p>
        </w:tc>
        <w:tc>
          <w:tcPr>
            <w:tcW w:w="0" w:type="auto"/>
          </w:tcPr>
          <w:p w14:paraId="3AA190E4" w14:textId="77777777" w:rsidR="00C96820" w:rsidRDefault="00000000">
            <w:pPr>
              <w:pStyle w:val="Compact"/>
            </w:pPr>
            <w:r>
              <w:t>–</w:t>
            </w:r>
          </w:p>
        </w:tc>
        <w:tc>
          <w:tcPr>
            <w:tcW w:w="0" w:type="auto"/>
          </w:tcPr>
          <w:p w14:paraId="63405B8F" w14:textId="77777777" w:rsidR="00C96820" w:rsidRDefault="00000000">
            <w:pPr>
              <w:pStyle w:val="Compact"/>
            </w:pPr>
            <w:r>
              <w:t>0.07</w:t>
            </w:r>
          </w:p>
        </w:tc>
        <w:tc>
          <w:tcPr>
            <w:tcW w:w="0" w:type="auto"/>
          </w:tcPr>
          <w:p w14:paraId="370569E5" w14:textId="77777777" w:rsidR="00C96820" w:rsidRDefault="00000000">
            <w:pPr>
              <w:pStyle w:val="Compact"/>
            </w:pPr>
            <w:r>
              <w:t>.801</w:t>
            </w:r>
          </w:p>
        </w:tc>
      </w:tr>
      <w:tr w:rsidR="00C96820" w14:paraId="3EACA2BE" w14:textId="77777777">
        <w:tc>
          <w:tcPr>
            <w:tcW w:w="0" w:type="auto"/>
          </w:tcPr>
          <w:p w14:paraId="04F24D99" w14:textId="77777777" w:rsidR="00C96820" w:rsidRDefault="00000000">
            <w:pPr>
              <w:pStyle w:val="Compact"/>
            </w:pPr>
            <w:r>
              <w:t>     published</w:t>
            </w:r>
          </w:p>
        </w:tc>
        <w:tc>
          <w:tcPr>
            <w:tcW w:w="0" w:type="auto"/>
          </w:tcPr>
          <w:p w14:paraId="5E97A140" w14:textId="77777777" w:rsidR="00C96820" w:rsidRDefault="00000000">
            <w:pPr>
              <w:pStyle w:val="Compact"/>
            </w:pPr>
            <w:r>
              <w:t>42</w:t>
            </w:r>
          </w:p>
        </w:tc>
        <w:tc>
          <w:tcPr>
            <w:tcW w:w="0" w:type="auto"/>
          </w:tcPr>
          <w:p w14:paraId="7A11F6B4" w14:textId="77777777" w:rsidR="00C96820" w:rsidRDefault="00000000">
            <w:pPr>
              <w:pStyle w:val="Compact"/>
            </w:pPr>
            <w:r>
              <w:t>240</w:t>
            </w:r>
          </w:p>
        </w:tc>
        <w:tc>
          <w:tcPr>
            <w:tcW w:w="0" w:type="auto"/>
          </w:tcPr>
          <w:p w14:paraId="1E324B28" w14:textId="77777777" w:rsidR="00C96820" w:rsidRDefault="00000000">
            <w:pPr>
              <w:pStyle w:val="Compact"/>
            </w:pPr>
            <w:r>
              <w:t>0.21</w:t>
            </w:r>
          </w:p>
        </w:tc>
        <w:tc>
          <w:tcPr>
            <w:tcW w:w="0" w:type="auto"/>
          </w:tcPr>
          <w:p w14:paraId="0A7A0970" w14:textId="77777777" w:rsidR="00C96820" w:rsidRDefault="00000000">
            <w:pPr>
              <w:pStyle w:val="Compact"/>
            </w:pPr>
            <w:r>
              <w:t>[0.11, 0.31]</w:t>
            </w:r>
          </w:p>
        </w:tc>
        <w:tc>
          <w:tcPr>
            <w:tcW w:w="0" w:type="auto"/>
          </w:tcPr>
          <w:p w14:paraId="06C8C13E" w14:textId="77777777" w:rsidR="00C96820" w:rsidRDefault="00000000">
            <w:pPr>
              <w:pStyle w:val="Compact"/>
            </w:pPr>
            <w:r>
              <w:t>18.98</w:t>
            </w:r>
          </w:p>
        </w:tc>
        <w:tc>
          <w:tcPr>
            <w:tcW w:w="0" w:type="auto"/>
          </w:tcPr>
          <w:p w14:paraId="5EAA19CC" w14:textId="77777777" w:rsidR="00C96820" w:rsidRDefault="00000000">
            <w:pPr>
              <w:pStyle w:val="Compact"/>
            </w:pPr>
            <w:r>
              <w:t>&lt; .001</w:t>
            </w:r>
          </w:p>
        </w:tc>
      </w:tr>
      <w:tr w:rsidR="00C96820" w14:paraId="1278BC26" w14:textId="77777777">
        <w:tc>
          <w:tcPr>
            <w:tcW w:w="0" w:type="auto"/>
          </w:tcPr>
          <w:p w14:paraId="7FEC219F" w14:textId="77777777" w:rsidR="00C96820" w:rsidRDefault="00000000">
            <w:pPr>
              <w:pStyle w:val="Compact"/>
            </w:pPr>
            <w:r>
              <w:t>     unpublished</w:t>
            </w:r>
          </w:p>
        </w:tc>
        <w:tc>
          <w:tcPr>
            <w:tcW w:w="0" w:type="auto"/>
          </w:tcPr>
          <w:p w14:paraId="20D2BF5C" w14:textId="77777777" w:rsidR="00C96820" w:rsidRDefault="00000000">
            <w:pPr>
              <w:pStyle w:val="Compact"/>
            </w:pPr>
            <w:r>
              <w:t>11</w:t>
            </w:r>
          </w:p>
        </w:tc>
        <w:tc>
          <w:tcPr>
            <w:tcW w:w="0" w:type="auto"/>
          </w:tcPr>
          <w:p w14:paraId="5003E3CB" w14:textId="77777777" w:rsidR="00C96820" w:rsidRDefault="00000000">
            <w:pPr>
              <w:pStyle w:val="Compact"/>
            </w:pPr>
            <w:r>
              <w:t>13</w:t>
            </w:r>
          </w:p>
        </w:tc>
        <w:tc>
          <w:tcPr>
            <w:tcW w:w="0" w:type="auto"/>
          </w:tcPr>
          <w:p w14:paraId="4046C580" w14:textId="77777777" w:rsidR="00C96820" w:rsidRDefault="00000000">
            <w:pPr>
              <w:pStyle w:val="Compact"/>
            </w:pPr>
            <w:r>
              <w:t>0.17</w:t>
            </w:r>
          </w:p>
        </w:tc>
        <w:tc>
          <w:tcPr>
            <w:tcW w:w="0" w:type="auto"/>
          </w:tcPr>
          <w:p w14:paraId="7613A8C5" w14:textId="77777777" w:rsidR="00C96820" w:rsidRDefault="00000000">
            <w:pPr>
              <w:pStyle w:val="Compact"/>
            </w:pPr>
            <w:r>
              <w:t>[-0.17, 0.51]</w:t>
            </w:r>
          </w:p>
        </w:tc>
        <w:tc>
          <w:tcPr>
            <w:tcW w:w="0" w:type="auto"/>
          </w:tcPr>
          <w:p w14:paraId="6B3E95A2" w14:textId="77777777" w:rsidR="00C96820" w:rsidRDefault="00000000">
            <w:pPr>
              <w:pStyle w:val="Compact"/>
            </w:pPr>
            <w:r>
              <w:t>1.26</w:t>
            </w:r>
          </w:p>
        </w:tc>
        <w:tc>
          <w:tcPr>
            <w:tcW w:w="0" w:type="auto"/>
          </w:tcPr>
          <w:p w14:paraId="5AFF62A8" w14:textId="77777777" w:rsidR="00C96820" w:rsidRDefault="00000000">
            <w:pPr>
              <w:pStyle w:val="Compact"/>
            </w:pPr>
            <w:r>
              <w:t>.289</w:t>
            </w:r>
          </w:p>
        </w:tc>
      </w:tr>
    </w:tbl>
    <w:p w14:paraId="3CD6AD9C" w14:textId="420432B4" w:rsidR="00EB32CD" w:rsidRDefault="00000000">
      <w:pPr>
        <w:pStyle w:val="table-note"/>
      </w:pPr>
      <w:r>
        <w:rPr>
          <w:i/>
          <w:iCs/>
        </w:rPr>
        <w:t>Note.</w:t>
      </w:r>
      <w:r>
        <w:t xml:space="preserve"> </w:t>
      </w:r>
      <w:r w:rsidRPr="00EB32CD">
        <w:rPr>
          <w:i/>
          <w:iCs/>
        </w:rPr>
        <w:t>s</w:t>
      </w:r>
      <w:r>
        <w:t xml:space="preserve"> = number of studies; </w:t>
      </w:r>
      <w:r w:rsidRPr="00EB32CD">
        <w:rPr>
          <w:i/>
          <w:iCs/>
        </w:rPr>
        <w:t>k</w:t>
      </w:r>
      <w:r>
        <w:t xml:space="preserve"> = number of effect size estimates; </w:t>
      </w:r>
      <w:r w:rsidRPr="00EB32CD">
        <w:rPr>
          <w:i/>
          <w:iCs/>
        </w:rPr>
        <w:t>g</w:t>
      </w:r>
      <w:r>
        <w:t xml:space="preserve"> = Hedge’s </w:t>
      </w:r>
      <w:r w:rsidRPr="00EB32CD">
        <w:rPr>
          <w:i/>
          <w:iCs/>
        </w:rPr>
        <w:t>g</w:t>
      </w:r>
      <w:r>
        <w:t xml:space="preserve">; 95% CI corresponds to the estimated value of Hedge’s </w:t>
      </w:r>
      <w:r w:rsidRPr="00EB32CD">
        <w:rPr>
          <w:i/>
          <w:iCs/>
        </w:rPr>
        <w:t>g</w:t>
      </w:r>
      <w:r>
        <w:t xml:space="preserve">; </w:t>
      </w:r>
      <w:r w:rsidRPr="00EB32CD">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361A00D4" w14:textId="77777777" w:rsidR="00EB32CD" w:rsidRDefault="00EB32CD">
      <w:pPr>
        <w:spacing w:before="0" w:after="200" w:line="240" w:lineRule="auto"/>
      </w:pPr>
      <w:r>
        <w:br w:type="page"/>
      </w:r>
    </w:p>
    <w:p w14:paraId="2C85A1C4" w14:textId="77777777" w:rsidR="00C96820" w:rsidRDefault="00000000">
      <w:pPr>
        <w:pStyle w:val="Heading5"/>
        <w:framePr w:wrap="around"/>
      </w:pPr>
      <w:bookmarkStart w:id="16" w:name="residual-variability"/>
      <w:r>
        <w:lastRenderedPageBreak/>
        <w:t>Residual variability.</w:t>
      </w:r>
    </w:p>
    <w:p w14:paraId="1D9B9813" w14:textId="77777777" w:rsidR="00C96820" w:rsidRDefault="00000000">
      <w:pPr>
        <w:pStyle w:val="FirstParagraph"/>
      </w:pPr>
      <w:r>
        <w:t>To evaluate how much in-sample variability in the effects of EDCs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statistically significant moderators accounted for approximately 16.46% of in-sample variability in the effects of EDCs.</w:t>
      </w:r>
    </w:p>
    <w:p w14:paraId="7525C965" w14:textId="77777777" w:rsidR="00C96820" w:rsidRDefault="00000000">
      <w:pPr>
        <w:pStyle w:val="Heading3"/>
        <w:framePr w:wrap="around"/>
      </w:pPr>
      <w:bookmarkStart w:id="17" w:name="publication-bias-analyses-1"/>
      <w:bookmarkEnd w:id="14"/>
      <w:bookmarkEnd w:id="15"/>
      <w:bookmarkEnd w:id="16"/>
      <w:r>
        <w:t>Publication bias analyses.</w:t>
      </w:r>
    </w:p>
    <w:p w14:paraId="45AC263F" w14:textId="35A94423" w:rsidR="00C96820" w:rsidRDefault="00000000">
      <w:pPr>
        <w:pStyle w:val="FirstParagraph"/>
      </w:pPr>
      <w:r>
        <w:t>Overall, publication bias analyses were inconclusive. Both PET with 3LMA (</w:t>
      </w:r>
      <m:oMath>
        <m:r>
          <w:rPr>
            <w:rFonts w:ascii="Cambria Math" w:hAnsi="Cambria Math"/>
          </w:rPr>
          <m:t>β</m:t>
        </m:r>
      </m:oMath>
      <w:r>
        <w:t xml:space="preserve"> = 0.65, 95% CI [-0.02, 1.31], </w:t>
      </w:r>
      <m:oMath>
        <m:r>
          <w:rPr>
            <w:rFonts w:ascii="Cambria Math" w:hAnsi="Cambria Math"/>
          </w:rPr>
          <m:t>p</m:t>
        </m:r>
      </m:oMath>
      <w:r>
        <w:t xml:space="preserve"> = .057) and aggregated dependencies (</w:t>
      </w:r>
      <m:oMath>
        <m:r>
          <w:rPr>
            <w:rFonts w:ascii="Cambria Math" w:hAnsi="Cambria Math"/>
          </w:rPr>
          <m:t>β</m:t>
        </m:r>
      </m:oMath>
      <w:r>
        <w:t xml:space="preserve"> = 0.09, 95% CI [-0.81, 1.00], </w:t>
      </w:r>
      <m:oMath>
        <m:r>
          <w:rPr>
            <w:rFonts w:ascii="Cambria Math" w:hAnsi="Cambria Math"/>
          </w:rPr>
          <m:t>p</m:t>
        </m:r>
      </m:oMath>
      <w:r>
        <w:t xml:space="preserve"> = .844) estimated that publication bias favored hypothesis-consistent shifts in participants’ responses. The estimates, however, w</w:t>
      </w:r>
      <w:r w:rsidR="00EB32CD">
        <w:t>ere</w:t>
      </w:r>
      <w:r>
        <w:t xml:space="preserve"> not statistically significant. The bias-corrected overall effect size estimates with both 3LMA (</w:t>
      </w:r>
      <m:oMath>
        <m:r>
          <w:rPr>
            <w:rFonts w:ascii="Cambria Math" w:hAnsi="Cambria Math"/>
          </w:rPr>
          <m:t>g</m:t>
        </m:r>
      </m:oMath>
      <w:r>
        <w:t xml:space="preserve"> = 0.06, 95% CI [-0.12, 0.23], </w:t>
      </w:r>
      <m:oMath>
        <m:r>
          <w:rPr>
            <w:rFonts w:ascii="Cambria Math" w:hAnsi="Cambria Math"/>
          </w:rPr>
          <m:t>p</m:t>
        </m:r>
      </m:oMath>
      <w:r>
        <w:t xml:space="preserve"> = .535) and aggregated dependencies (</w:t>
      </w:r>
      <m:oMath>
        <m:r>
          <w:rPr>
            <w:rFonts w:ascii="Cambria Math" w:hAnsi="Cambria Math"/>
          </w:rPr>
          <m:t>g</m:t>
        </m:r>
      </m:oMath>
      <w:r>
        <w:t xml:space="preserve"> = 0.15, 95% CI [-0.03, 0.33], </w:t>
      </w:r>
      <m:oMath>
        <m:r>
          <w:rPr>
            <w:rFonts w:ascii="Cambria Math" w:hAnsi="Cambria Math"/>
          </w:rPr>
          <m:t>p</m:t>
        </m:r>
      </m:oMath>
      <w:r>
        <w:t xml:space="preserve"> = .107) did not significantly vary from zero. In other words, precision-effect tests did not consistently uncover evidence of publication </w:t>
      </w:r>
      <w:proofErr w:type="gramStart"/>
      <w:r>
        <w:t>bias, but</w:t>
      </w:r>
      <w:proofErr w:type="gramEnd"/>
      <w:r>
        <w:t xml:space="preserve"> did consistently indicate that the overall effect size may not be robust if publication bias does exist. Further complicating matters is the unusual distribution of the funnel plots, especially </w:t>
      </w:r>
      <w:proofErr w:type="gramStart"/>
      <w:r>
        <w:t>in regards to</w:t>
      </w:r>
      <w:proofErr w:type="gramEnd"/>
      <w:r>
        <w:t xml:space="preserve"> two unusually </w:t>
      </w:r>
      <w:proofErr w:type="gramStart"/>
      <w:r>
        <w:t>large aggregated</w:t>
      </w:r>
      <w:proofErr w:type="gramEnd"/>
      <w:r>
        <w:t xml:space="preserve"> effect size est</w:t>
      </w:r>
      <w:proofErr w:type="spellStart"/>
      <w:r>
        <w:t>imates</w:t>
      </w:r>
      <w:proofErr w:type="spellEnd"/>
      <w:r>
        <w:t xml:space="preserve"> (see Figure 3).</w:t>
      </w:r>
    </w:p>
    <w:p w14:paraId="784410C8" w14:textId="77777777" w:rsidR="00C96820" w:rsidRDefault="00000000">
      <w:pPr>
        <w:pStyle w:val="BodyText"/>
      </w:pPr>
      <w:r>
        <w:t xml:space="preserve">Examining aggregated effect sizes using weight-function modeling – as opposed to precision effect tests – yields a different pattern: better fit is achieved in a model where publication bias favored statistically non-significant or hypothesis-inconsistent shifts in </w:t>
      </w:r>
      <w:r>
        <w:lastRenderedPageBreak/>
        <w:t xml:space="preserve">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3).</w:t>
      </w:r>
    </w:p>
    <w:p w14:paraId="6644B6F3" w14:textId="1CF24501" w:rsidR="00497F42" w:rsidRDefault="00000000">
      <w:pPr>
        <w:pStyle w:val="BodyText"/>
      </w:pPr>
      <w:r>
        <w:t>We did not find differences in the magnitude of demand effects between published (</w:t>
      </w:r>
      <m:oMath>
        <m:r>
          <w:rPr>
            <w:rFonts w:ascii="Cambria Math" w:hAnsi="Cambria Math"/>
          </w:rPr>
          <m:t>g</m:t>
        </m:r>
      </m:oMath>
      <w:r>
        <w:t xml:space="preserve"> = 0.21, 95% CI [0.11, 0.31],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.289) studies, </w:t>
      </w:r>
      <m:oMath>
        <m:r>
          <w:rPr>
            <w:rFonts w:ascii="Cambria Math" w:hAnsi="Cambria Math"/>
          </w:rPr>
          <m:t>F</m:t>
        </m:r>
      </m:oMath>
      <w:r>
        <w:t xml:space="preserve">(1, 14.38) = 0.07, </w:t>
      </w:r>
      <m:oMath>
        <m:r>
          <w:rPr>
            <w:rFonts w:ascii="Cambria Math" w:hAnsi="Cambria Math"/>
          </w:rPr>
          <m:t>p</m:t>
        </m:r>
      </m:oMath>
      <w:r>
        <w:t xml:space="preserve"> = .801. If there is a biased selection of instances where participants responses shift in a hypothesis-consistent manner, sensitivity analyses indicated that it would have to be extreme selection pressure to make the effect size statistically non-significant (Mathur &amp; VanderWeele, 2020b). Even if hypothesis-consistent shifts were 10,000,000 times more likely to be published, the overall effect would still be</w:t>
      </w:r>
      <w:r w:rsidR="00497F42">
        <w:t xml:space="preserve"> </w:t>
      </w:r>
      <w:r w:rsidR="0063595A">
        <w:t xml:space="preserve">statistically </w:t>
      </w:r>
      <w:r w:rsidR="00497F42">
        <w:t xml:space="preserve">significant, </w:t>
      </w:r>
      <w:r w:rsidR="00497F42" w:rsidRPr="00497F42">
        <w:rPr>
          <w:i/>
          <w:iCs/>
        </w:rPr>
        <w:t>g</w:t>
      </w:r>
      <w:r w:rsidR="00497F42">
        <w:t xml:space="preserve"> =</w:t>
      </w:r>
      <w:r>
        <w:t xml:space="preserve"> 0.06, 95% CI [0.01, 0.12], </w:t>
      </w:r>
      <w:r>
        <w:rPr>
          <w:i/>
          <w:iCs/>
        </w:rPr>
        <w:t>p</w:t>
      </w:r>
      <w:r>
        <w:t xml:space="preserve"> = .026.</w:t>
      </w:r>
    </w:p>
    <w:p w14:paraId="221C4C0E" w14:textId="77777777" w:rsidR="00497F42" w:rsidRDefault="00497F42">
      <w:pPr>
        <w:spacing w:before="0" w:after="200" w:line="240" w:lineRule="auto"/>
      </w:pPr>
      <w:r>
        <w:br w:type="page"/>
      </w:r>
    </w:p>
    <w:p w14:paraId="752B7080" w14:textId="77777777" w:rsidR="00C96820" w:rsidRDefault="00000000">
      <w:pPr>
        <w:pStyle w:val="CaptionedFigure"/>
        <w:framePr w:wrap="notBeside"/>
      </w:pPr>
      <w:r>
        <w:rPr>
          <w:noProof/>
        </w:rPr>
        <w:lastRenderedPageBreak/>
        <w:drawing>
          <wp:inline distT="0" distB="0" distL="0" distR="0" wp14:anchorId="0FCB8AEE" wp14:editId="0E9D7A18">
            <wp:extent cx="5969000" cy="3443653"/>
            <wp:effectExtent l="0" t="0" r="0" b="0"/>
            <wp:docPr id="46" name="Picture" descr="Figure 3: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1E87D1BE" w14:textId="6A6B6DC4" w:rsidR="00497F42" w:rsidRDefault="00000000">
      <w:pPr>
        <w:pStyle w:val="ImageCaption"/>
      </w:pPr>
      <w:bookmarkStart w:id="18" w:name="fig:funnel"/>
      <w:bookmarkEnd w:id="18"/>
      <w:r>
        <w:rPr>
          <w:i/>
          <w:iCs/>
        </w:rPr>
        <w:t>Figure</w:t>
      </w:r>
      <w:r>
        <w:t xml:space="preserve"> 3. Raw (Panel A) or aggregated (Panel B) effect sizes plotted against their corresponding standard errors. Funnel plot is inverted to illustrate correspondence with slope estimates from precision-effect tests.</w:t>
      </w:r>
    </w:p>
    <w:p w14:paraId="365EE946" w14:textId="77777777" w:rsidR="00497F42" w:rsidRDefault="00497F42">
      <w:pPr>
        <w:spacing w:before="0" w:after="200" w:line="240" w:lineRule="auto"/>
      </w:pPr>
      <w:r>
        <w:br w:type="page"/>
      </w:r>
    </w:p>
    <w:p w14:paraId="5B86276F" w14:textId="77777777" w:rsidR="00C96820" w:rsidRDefault="00000000">
      <w:pPr>
        <w:pStyle w:val="Heading1"/>
      </w:pPr>
      <w:bookmarkStart w:id="19" w:name="discussion"/>
      <w:bookmarkEnd w:id="2"/>
      <w:bookmarkEnd w:id="11"/>
      <w:bookmarkEnd w:id="17"/>
      <w:r>
        <w:lastRenderedPageBreak/>
        <w:t>Discussion</w:t>
      </w:r>
    </w:p>
    <w:p w14:paraId="44A3BD1E" w14:textId="77777777" w:rsidR="00C96820" w:rsidRDefault="00000000">
      <w:pPr>
        <w:pStyle w:val="FirstParagraph"/>
      </w:pPr>
      <w:r>
        <w:t xml:space="preserve">In the </w:t>
      </w:r>
      <w:r>
        <w:rPr>
          <w:i/>
          <w:iCs/>
        </w:rPr>
        <w:t>Introduction</w:t>
      </w:r>
      <w:r>
        <w:t xml:space="preserve">, we described a methodological puzzle: researchers have found that demand characteristics (a) sometimes lead to false positive, other times to false negatives, (b) sometimes lead to exaggerated effect size estimates and other times overly conservative effect size estimates, and (c) sometimes don’t seem to matter at all. The results of our meta-analysis of studies that experimentally manipulate explicit demand characteristics (EDCs) provides more formal evidence of this phenomenon. EDCs </w:t>
      </w:r>
      <w:r>
        <w:rPr>
          <w:i/>
          <w:iCs/>
        </w:rPr>
        <w:t>typically</w:t>
      </w:r>
      <w:r>
        <w:t xml:space="preserve"> </w:t>
      </w:r>
      <w:proofErr w:type="gramStart"/>
      <w:r>
        <w:t>lead</w:t>
      </w:r>
      <w:proofErr w:type="gramEnd"/>
      <w:r>
        <w:t xml:space="preserve"> to small increases in hypothesis-consistent responding. However, such effects are heterogeneous – with prediction intervals ranging from a medium-sized </w:t>
      </w:r>
      <w:r>
        <w:rPr>
          <w:i/>
          <w:iCs/>
        </w:rPr>
        <w:t>increase</w:t>
      </w:r>
      <w:r>
        <w:t xml:space="preserve"> to a medium-sized </w:t>
      </w:r>
      <w:r>
        <w:rPr>
          <w:i/>
          <w:iCs/>
        </w:rPr>
        <w:t>decrease</w:t>
      </w:r>
      <w:r>
        <w:t xml:space="preserve"> in hypothesis-consistent responding.</w:t>
      </w:r>
    </w:p>
    <w:p w14:paraId="589B0209" w14:textId="4F0021FC" w:rsidR="00C96820" w:rsidRDefault="00000000">
      <w:pPr>
        <w:pStyle w:val="BodyText"/>
      </w:pPr>
      <w:r>
        <w:t xml:space="preserve">Over a half century after first describing their model, the accumulation of evidence from research on EDC’s supports </w:t>
      </w:r>
      <w:proofErr w:type="spellStart"/>
      <w:r>
        <w:t>Rosnow</w:t>
      </w:r>
      <w:proofErr w:type="spellEnd"/>
      <w:r>
        <w:t xml:space="preserve"> and colleagues’ key prediction: the effects of demand characteristics are heterogeneous. Some of this heterogeneity can be linked to how researchers design their studies – e.g., whether they run participants in-person and/or test multiple sets of demand characteristics. However, in our results, study-level moderators explained less than 15% of in-sample variability in the effects of EDCs. Researchers may ultimately explain more heterogeneity by measuring their proposed underlying mechanisms: receptivity to cues, motivation to adjust responses, and opportunity to adjust responses.</w:t>
      </w:r>
      <w:r w:rsidR="00497F42">
        <w:t xml:space="preserve"> </w:t>
      </w:r>
      <w:r>
        <w:t>(See Supplemental Information for our own attempts to estimate these values post-hoc.)</w:t>
      </w:r>
    </w:p>
    <w:p w14:paraId="4DAA00D0" w14:textId="77777777" w:rsidR="00C96820" w:rsidRDefault="00000000">
      <w:pPr>
        <w:pStyle w:val="BodyText"/>
      </w:pPr>
      <w:proofErr w:type="spellStart"/>
      <w:r>
        <w:t>Rosnow</w:t>
      </w:r>
      <w:proofErr w:type="spellEnd"/>
      <w:r>
        <w:t xml:space="preserve"> and colleagues predicted that participants occasionally counter-acquiesce – i.e., adjust their responses in the opposite direction they think researchers predict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2008). This phenomenon is sometimes referred to as the “screw you effect” (</w:t>
      </w:r>
      <w:proofErr w:type="spellStart"/>
      <w:r>
        <w:t>Masling</w:t>
      </w:r>
      <w:proofErr w:type="spellEnd"/>
      <w:r>
        <w:t xml:space="preserve">, 1966). Our results provide mixed evidence for such an effect. </w:t>
      </w:r>
      <w:r>
        <w:lastRenderedPageBreak/>
        <w:t>In 252 tests of EDCs,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 such effects have been rarely observed in work with EDCs.</w:t>
      </w:r>
    </w:p>
    <w:p w14:paraId="0DEE1AD6" w14:textId="77777777" w:rsidR="00C96820" w:rsidRDefault="00000000">
      <w:pPr>
        <w:pStyle w:val="Heading2"/>
      </w:pPr>
      <w:bookmarkStart w:id="20" w:name="limitations-and-future-directions"/>
      <w:r>
        <w:t>Limitations and Future Directions</w:t>
      </w:r>
    </w:p>
    <w:p w14:paraId="02882D1B" w14:textId="77777777" w:rsidR="00C96820" w:rsidRDefault="00000000">
      <w:pPr>
        <w:pStyle w:val="FirstParagraph"/>
      </w:pPr>
      <w:r>
        <w:t>As we worked to refine our own understanding of the methodological puzzle presented by demand characteristics, we encountered two major conceptual challenges: (1) varied operationalizations of demand characteristics, and (2) the commensurability of the existing evidence base.</w:t>
      </w:r>
    </w:p>
    <w:p w14:paraId="3D37227A" w14:textId="77777777" w:rsidR="00C96820" w:rsidRDefault="00000000">
      <w:pPr>
        <w:pStyle w:val="Heading2"/>
      </w:pPr>
      <w:bookmarkStart w:id="21" w:name="operationalizing-demand-characteristics"/>
      <w:bookmarkEnd w:id="20"/>
      <w:r>
        <w:t>Operationalizing demand characteristics</w:t>
      </w:r>
    </w:p>
    <w:p w14:paraId="0732689C" w14:textId="77777777" w:rsidR="00C96820" w:rsidRDefault="00000000">
      <w:pPr>
        <w:pStyle w:val="FirstParagraph"/>
      </w:pPr>
      <w:r>
        <w:t>At their broadest, demand characteristics are defined as almost any cue that may impact participants’ understanding of the purpose of the study, including instructions, rumors, and experimenter behavior (Orne, 1962). One benefit of such a broad definition is that it highlights multiple reasons to reject an alternative methodological assumption: that human subjects enter studies as relatively blank slates. For historical context, Silverman &amp; Schulman (1970) remarked that “…we came to regard putting input into a human subject as something akin to putting chemicals into a test tube. We are now coming to full awareness that the analogy holds only with the profound qualification that we are inevitably working with an unclean test tube.”</w:t>
      </w:r>
    </w:p>
    <w:p w14:paraId="33E3DB53" w14:textId="6ABBBD8C" w:rsidR="00C96820" w:rsidRDefault="00000000">
      <w:pPr>
        <w:pStyle w:val="BodyText"/>
      </w:pPr>
      <w:r>
        <w:t xml:space="preserve">Unfortunately, one drawback of accepting a broad definition of demand characteristics is that you are left with a test tube believed to be contaminated by virtually everything. By focusing on explicit demand characteristics (EDCs), researchers have furthered their understanding of a </w:t>
      </w:r>
      <w:r>
        <w:lastRenderedPageBreak/>
        <w:t xml:space="preserve">specific type of contaminant. However, EDCs are not representative of the contaminants typically encountered in research with human subjects – where researchers often go through great lengths to </w:t>
      </w:r>
      <w:r>
        <w:rPr>
          <w:i/>
          <w:iCs/>
        </w:rPr>
        <w:t>not</w:t>
      </w:r>
      <w:r>
        <w:t xml:space="preserve"> explicitly reveal their hypothesis. Our meta-analysis clearly rejects previous concerns that participants ignore (Orne, 1962) or counter-acquiesce </w:t>
      </w:r>
      <w:r w:rsidR="00497F42">
        <w:t xml:space="preserve">(Orne, 2009) </w:t>
      </w:r>
      <w:r>
        <w:t>against EDCs. Indeed, we found that participants most commonly respond to EDC’s the same way Orne suggested they respond to other (less explicit) demand characteristics: by helping the experimenter confirm the hypothesis. Nonetheless, studying a combination of relatively implicit and explicit demand characteristics would bolster confidence in the generalizability of the evidence base.</w:t>
      </w:r>
    </w:p>
    <w:p w14:paraId="4761D0E6" w14:textId="77777777" w:rsidR="00C96820" w:rsidRDefault="00000000">
      <w:pPr>
        <w:pStyle w:val="Heading2"/>
      </w:pPr>
      <w:bookmarkStart w:id="22" w:name="commensurability"/>
      <w:bookmarkEnd w:id="21"/>
      <w:r>
        <w:t>Commensurability</w:t>
      </w:r>
    </w:p>
    <w:p w14:paraId="0E97E7EA" w14:textId="20D20B9F" w:rsidR="00C96820" w:rsidRDefault="00000000">
      <w:pPr>
        <w:pStyle w:val="FirstParagraph"/>
      </w:pPr>
      <w:r>
        <w:t>Even with our relatively narrow subset of the demand characteristics literature, we encountered commensurability challenges. Researchers have tested the effects of EDCs on a variety of outcomes, including hypnosis symptoms (e.g., Orne &amp; Scheibe, 1964), eating behavior (e.g., Kersbergen</w:t>
      </w:r>
      <w:r w:rsidR="0048097B">
        <w:t xml:space="preserve"> et al.,</w:t>
      </w:r>
      <w:r>
        <w:t xml:space="preserve"> 2019), visual judgments (e.g., Durgin, Klein, Spiegel, Strawser, &amp; Williams, 2012), relationship satisfaction (e.g., Cramer, 2005), mood (e.g., Coles et al., 2022), policy support (e.g., </w:t>
      </w:r>
      <w:proofErr w:type="spellStart"/>
      <w:r>
        <w:t>Mummolo</w:t>
      </w:r>
      <w:proofErr w:type="spellEnd"/>
      <w:r>
        <w:t xml:space="preserve"> &amp; Peterson, 2019), test scores (e.g., Veitch</w:t>
      </w:r>
      <w:r w:rsidR="0048097B">
        <w:t xml:space="preserve"> et al.,</w:t>
      </w:r>
      <w:r>
        <w:t xml:space="preserve"> 1991), and so on. Researchers also varied in how they conducted their investigations – e.g., in whether they (a) conducted their studies in-person (e.g., Orne &amp; Scheibe, 1964) vs. online (e.g., </w:t>
      </w:r>
      <w:proofErr w:type="spellStart"/>
      <w:r>
        <w:t>Mummolo</w:t>
      </w:r>
      <w:proofErr w:type="spellEnd"/>
      <w:r>
        <w:t xml:space="preserve"> &amp; Peterson, 2019), (b) sampled students (e.g., Rose</w:t>
      </w:r>
      <w:r w:rsidR="0048097B">
        <w:t xml:space="preserve"> et al.</w:t>
      </w:r>
      <w:r>
        <w:t>, 2014) vs. non-students (e.g., Terhune &amp; Smith, 2006), and (c) manipulated hypothesis cues within- (e.g., Martin</w:t>
      </w:r>
      <w:r w:rsidR="0048097B">
        <w:t xml:space="preserve"> et al.,</w:t>
      </w:r>
      <w:r>
        <w:t xml:space="preserve"> 2018) vs. between-subjects (e.g., Coles et al., 2022).</w:t>
      </w:r>
    </w:p>
    <w:p w14:paraId="74A8C61C" w14:textId="77777777" w:rsidR="00C96820" w:rsidRDefault="00000000">
      <w:pPr>
        <w:pStyle w:val="BodyText"/>
      </w:pPr>
      <w:r>
        <w:t xml:space="preserve">We generally failed to uncover evidence that such methodological differences explain a meaningful proportion of variability in demand effects. Nonetheless, it is possible that such </w:t>
      </w:r>
      <w:proofErr w:type="gramStart"/>
      <w:r>
        <w:t>a large number of</w:t>
      </w:r>
      <w:proofErr w:type="gramEnd"/>
      <w:r>
        <w:t xml:space="preserve"> – often unsystematic – differences between studies limits power to detect </w:t>
      </w:r>
      <w:r>
        <w:lastRenderedPageBreak/>
        <w:t xml:space="preserve">meaningful moderators. Manipulating such differences systematically in the future (e.g., in </w:t>
      </w:r>
      <w:proofErr w:type="gramStart"/>
      <w:r>
        <w:t>an</w:t>
      </w:r>
      <w:proofErr w:type="gramEnd"/>
      <w:r>
        <w:t xml:space="preserve"> single experimental design) would help clarify which (if any) of these methodological decisions are most impactful.</w:t>
      </w:r>
    </w:p>
    <w:p w14:paraId="09C512AA" w14:textId="77777777" w:rsidR="00C96820" w:rsidRDefault="00000000">
      <w:pPr>
        <w:pStyle w:val="Heading2"/>
      </w:pPr>
      <w:bookmarkStart w:id="23" w:name="conclusion"/>
      <w:bookmarkEnd w:id="22"/>
      <w:r>
        <w:t>Conclusion</w:t>
      </w:r>
    </w:p>
    <w:p w14:paraId="6869CC36" w14:textId="675340DE" w:rsidR="00497F42" w:rsidRDefault="00000000">
      <w:pPr>
        <w:pStyle w:val="FirstParagraph"/>
      </w:pPr>
      <w:r>
        <w:t>Since Orne (1962) famously described the idea over 60 years ago, demand characteristics have become a literal textbook methodological concern in experimental psychology (Frank et al., 2025; Sharpe &amp; Whelton, 2016).</w:t>
      </w:r>
      <w:r w:rsidR="00497F42">
        <w:t xml:space="preserve"> </w:t>
      </w:r>
      <w:r>
        <w:t xml:space="preserve">Over these past 50 years, a clearer picture of the puzzle has emerged. Our meta-analysis on the effects of explicit demand characteristics suggests that they can produce false positives, false negatives, overestimated effect sizes, and underestimated effect sizes. Yet, while corroborating some theoretical frameworks (e.g., </w:t>
      </w:r>
      <w:proofErr w:type="spellStart"/>
      <w:r>
        <w:t>Rosnow</w:t>
      </w:r>
      <w:proofErr w:type="spellEnd"/>
      <w:r>
        <w:t xml:space="preserve"> &amp; Rosenthal, 1997), results highlight that large parts of this puzzle remain unsolved. For example, explicit demand characteristics cause participants to change their responses in a hypothesis-consistent manner – on average. But sometimes participants seem to ignore the researcher’s hypothesis – and perhaps in extremely rare scenarios, behave in the opposite manner. Orne (1962) characterized this issue as an omnipresent threat, arguing that “…all experiments will have demand characteristics” (p. 779). If true, unresolved questions about when, why, and how demand characteristics impact participants’ responses are of fundamental import.</w:t>
      </w:r>
    </w:p>
    <w:p w14:paraId="7FEC8226" w14:textId="77777777" w:rsidR="00497F42" w:rsidRDefault="00497F42">
      <w:pPr>
        <w:spacing w:before="0" w:after="200" w:line="240" w:lineRule="auto"/>
      </w:pPr>
      <w:r>
        <w:br w:type="page"/>
      </w:r>
    </w:p>
    <w:p w14:paraId="3DCC2642" w14:textId="77777777" w:rsidR="00C96820" w:rsidRDefault="00000000">
      <w:pPr>
        <w:pStyle w:val="Heading1"/>
      </w:pPr>
      <w:bookmarkStart w:id="24" w:name="references"/>
      <w:bookmarkEnd w:id="19"/>
      <w:bookmarkEnd w:id="23"/>
      <w:r>
        <w:lastRenderedPageBreak/>
        <w:t>References</w:t>
      </w:r>
    </w:p>
    <w:p w14:paraId="5BE4885E" w14:textId="77777777" w:rsidR="00C96820" w:rsidRDefault="00000000">
      <w:pPr>
        <w:pStyle w:val="FirstParagraph"/>
      </w:pPr>
      <w:r>
        <w:t>References marked with an asterisk indicate studies included in the meta-analysis.</w:t>
      </w:r>
    </w:p>
    <w:p w14:paraId="6950688B" w14:textId="77777777" w:rsidR="00C96820" w:rsidRDefault="00000000">
      <w:pPr>
        <w:pStyle w:val="Bibliography"/>
      </w:pPr>
      <w:bookmarkStart w:id="25" w:name="ref-allen2012demand"/>
      <w:bookmarkStart w:id="26"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4CC79A00" w14:textId="77777777" w:rsidR="00C96820" w:rsidRDefault="00000000">
      <w:pPr>
        <w:pStyle w:val="Bibliography"/>
      </w:pPr>
      <w:bookmarkStart w:id="27" w:name="ref-R-papaja"/>
      <w:bookmarkEnd w:id="25"/>
      <w:r>
        <w:t xml:space="preserve">Aust, F., &amp; Barth, M. (2022). </w:t>
      </w:r>
      <w:proofErr w:type="spellStart"/>
      <w:r>
        <w:rPr>
          <w:i/>
          <w:iCs/>
        </w:rPr>
        <w:t>papaja</w:t>
      </w:r>
      <w:proofErr w:type="spellEnd"/>
      <w:r>
        <w:rPr>
          <w:i/>
          <w:iCs/>
        </w:rPr>
        <w:t>: Prepare reproducible APA journal articles with R Markdown</w:t>
      </w:r>
      <w:r>
        <w:t xml:space="preserve">. Retrieved from </w:t>
      </w:r>
      <w:hyperlink r:id="rId12">
        <w:r w:rsidR="00C96820">
          <w:rPr>
            <w:rStyle w:val="Hyperlink"/>
          </w:rPr>
          <w:t>https://github.com/crsh/papaja</w:t>
        </w:r>
      </w:hyperlink>
    </w:p>
    <w:p w14:paraId="206BD55B" w14:textId="77777777" w:rsidR="00C96820" w:rsidRDefault="00000000">
      <w:pPr>
        <w:pStyle w:val="Bibliography"/>
      </w:pPr>
      <w:bookmarkStart w:id="28" w:name="ref-balze1998role"/>
      <w:bookmarkEnd w:id="27"/>
      <w:r>
        <w:rPr>
          <w:vertAlign w:val="superscript"/>
        </w:rPr>
        <w:t>*</w:t>
      </w:r>
      <w:r>
        <w:t xml:space="preserve"> </w:t>
      </w:r>
      <w:proofErr w:type="spellStart"/>
      <w:r>
        <w:t>Balze</w:t>
      </w:r>
      <w:proofErr w:type="spellEnd"/>
      <w:r>
        <w:t xml:space="preserve">, E. M. (1998). </w:t>
      </w:r>
      <w:r>
        <w:rPr>
          <w:i/>
          <w:iCs/>
        </w:rPr>
        <w:t>The role of expectancy in treatment efficacy: The use of a therapeutic" frame" to enhance performance</w:t>
      </w:r>
      <w:r>
        <w:t xml:space="preserve"> (PhD thesis).</w:t>
      </w:r>
    </w:p>
    <w:p w14:paraId="63E4D85A" w14:textId="77777777" w:rsidR="00C96820" w:rsidRDefault="00000000">
      <w:pPr>
        <w:pStyle w:val="Bibliography"/>
      </w:pPr>
      <w:bookmarkStart w:id="29" w:name="ref-barabasz1991effects"/>
      <w:bookmarkEnd w:id="28"/>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5D4CDBCC" w14:textId="77777777" w:rsidR="00C96820" w:rsidRDefault="00000000">
      <w:pPr>
        <w:pStyle w:val="Bibliography"/>
      </w:pPr>
      <w:bookmarkStart w:id="30" w:name="ref-borenstein2009effect"/>
      <w:bookmarkEnd w:id="29"/>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6898F88C" w14:textId="77777777" w:rsidR="00C96820" w:rsidRDefault="00000000">
      <w:pPr>
        <w:pStyle w:val="Bibliography"/>
      </w:pPr>
      <w:bookmarkStart w:id="31" w:name="ref-borenstein2011introduction"/>
      <w:bookmarkEnd w:id="30"/>
      <w:r>
        <w:t xml:space="preserve">Borenstein, M., Hedges, L. V., Higgins, J. P., &amp; Rothstein, H. R. (2011). </w:t>
      </w:r>
      <w:r>
        <w:rPr>
          <w:i/>
          <w:iCs/>
        </w:rPr>
        <w:t>Introduction to meta-analysis</w:t>
      </w:r>
      <w:r>
        <w:t>. John Wiley &amp; Sons.</w:t>
      </w:r>
    </w:p>
    <w:p w14:paraId="4F841216" w14:textId="77777777" w:rsidR="00C96820" w:rsidRDefault="00000000">
      <w:pPr>
        <w:pStyle w:val="Bibliography"/>
      </w:pPr>
      <w:bookmarkStart w:id="32" w:name="ref-busch2007follow"/>
      <w:bookmarkEnd w:id="31"/>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18B6C02B" w14:textId="77777777" w:rsidR="00C96820" w:rsidRDefault="00000000">
      <w:pPr>
        <w:pStyle w:val="Bibliography"/>
      </w:pPr>
      <w:bookmarkStart w:id="33" w:name="ref-R-weightr"/>
      <w:bookmarkEnd w:id="32"/>
      <w:r>
        <w:lastRenderedPageBreak/>
        <w:t xml:space="preserve">Coburn, K. M., &amp; Vevea, J. L. (2019). </w:t>
      </w:r>
      <w:proofErr w:type="spellStart"/>
      <w:r>
        <w:rPr>
          <w:i/>
          <w:iCs/>
        </w:rPr>
        <w:t>Weightr</w:t>
      </w:r>
      <w:proofErr w:type="spellEnd"/>
      <w:r>
        <w:rPr>
          <w:i/>
          <w:iCs/>
        </w:rPr>
        <w:t>: Estimating weight-function models for publication bias</w:t>
      </w:r>
      <w:r>
        <w:t xml:space="preserve">. Retrieved from </w:t>
      </w:r>
      <w:hyperlink r:id="rId13">
        <w:r w:rsidR="00C96820">
          <w:rPr>
            <w:rStyle w:val="Hyperlink"/>
          </w:rPr>
          <w:t>https://CRAN.R-project.org/package=weightr</w:t>
        </w:r>
      </w:hyperlink>
    </w:p>
    <w:p w14:paraId="35F6F3DC" w14:textId="77777777" w:rsidR="00C96820" w:rsidRDefault="00000000">
      <w:pPr>
        <w:pStyle w:val="Bibliography"/>
      </w:pPr>
      <w:bookmarkStart w:id="34" w:name="ref-cohen1988statistical"/>
      <w:bookmarkEnd w:id="33"/>
      <w:r>
        <w:t xml:space="preserve">Cohen, J. (2013). </w:t>
      </w:r>
      <w:r>
        <w:rPr>
          <w:i/>
          <w:iCs/>
        </w:rPr>
        <w:t>Statistical power analysis for the behavioral sciences</w:t>
      </w:r>
      <w:r>
        <w:t xml:space="preserve"> (Vol. 2). New York, NY: Lawrence Erlbaum Associates.</w:t>
      </w:r>
    </w:p>
    <w:p w14:paraId="5DF60846" w14:textId="77777777" w:rsidR="00C96820" w:rsidRDefault="00000000">
      <w:pPr>
        <w:pStyle w:val="Bibliography"/>
      </w:pPr>
      <w:bookmarkStart w:id="35" w:name="ref-coles2022fact"/>
      <w:bookmarkEnd w:id="34"/>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42A85EF7" w14:textId="77777777" w:rsidR="00C96820" w:rsidRDefault="00000000">
      <w:pPr>
        <w:pStyle w:val="Bibliography"/>
      </w:pPr>
      <w:bookmarkStart w:id="36" w:name="ref-coles2024replication"/>
      <w:bookmarkEnd w:id="35"/>
      <w:r>
        <w:rPr>
          <w:vertAlign w:val="superscript"/>
        </w:rPr>
        <w:t>*</w:t>
      </w:r>
      <w:r>
        <w:t xml:space="preserve"> Coles, N. A., McCullough, M., Oishi, S., Dang, A., McCauley, T., </w:t>
      </w:r>
      <w:proofErr w:type="spellStart"/>
      <w:r>
        <w:t>Pfattheicher</w:t>
      </w:r>
      <w:proofErr w:type="spellEnd"/>
      <w:r>
        <w:t xml:space="preserve">, S., … Sarabia, V. (2024). </w:t>
      </w:r>
      <w:r>
        <w:rPr>
          <w:i/>
          <w:iCs/>
        </w:rPr>
        <w:t>Six unpublished investigations of the role of demand characteristics in a conformity paradigm</w:t>
      </w:r>
      <w:r>
        <w:t>.</w:t>
      </w:r>
    </w:p>
    <w:p w14:paraId="504FF508" w14:textId="77777777" w:rsidR="00C96820" w:rsidRDefault="00000000">
      <w:pPr>
        <w:pStyle w:val="Bibliography"/>
      </w:pPr>
      <w:bookmarkStart w:id="37" w:name="ref-coles2023replication"/>
      <w:bookmarkEnd w:id="36"/>
      <w:r>
        <w:rPr>
          <w:vertAlign w:val="superscript"/>
        </w:rPr>
        <w:t>*</w:t>
      </w:r>
      <w:r>
        <w:t xml:space="preserve"> Coles, N. A., Wyatt, M., &amp; Frank, M. C. (2023). </w:t>
      </w:r>
      <w:r>
        <w:rPr>
          <w:i/>
          <w:iCs/>
        </w:rPr>
        <w:t xml:space="preserve">Coles, </w:t>
      </w:r>
      <w:proofErr w:type="spellStart"/>
      <w:r>
        <w:rPr>
          <w:i/>
          <w:iCs/>
        </w:rPr>
        <w:t>wyatt</w:t>
      </w:r>
      <w:proofErr w:type="spellEnd"/>
      <w:r>
        <w:rPr>
          <w:i/>
          <w:iCs/>
        </w:rPr>
        <w:t xml:space="preserve">, and frank unpublished replication of </w:t>
      </w:r>
      <w:proofErr w:type="spellStart"/>
      <w:r>
        <w:rPr>
          <w:i/>
          <w:iCs/>
        </w:rPr>
        <w:t>coles</w:t>
      </w:r>
      <w:proofErr w:type="spellEnd"/>
      <w:r>
        <w:rPr>
          <w:i/>
          <w:iCs/>
        </w:rPr>
        <w:t xml:space="preserve"> et al. 2022</w:t>
      </w:r>
      <w:r>
        <w:t>.</w:t>
      </w:r>
    </w:p>
    <w:p w14:paraId="267822CD" w14:textId="77777777" w:rsidR="00C96820" w:rsidRDefault="00000000">
      <w:pPr>
        <w:pStyle w:val="Bibliography"/>
      </w:pPr>
      <w:bookmarkStart w:id="38" w:name="ref-cook1970demand"/>
      <w:bookmarkEnd w:id="37"/>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69DBE5B7" w14:textId="77777777" w:rsidR="00C96820" w:rsidRDefault="00000000">
      <w:pPr>
        <w:pStyle w:val="Bibliography"/>
      </w:pPr>
      <w:bookmarkStart w:id="39" w:name="ref-corneille2022sixty"/>
      <w:bookmarkEnd w:id="38"/>
      <w:r>
        <w:t xml:space="preserve">Corneille, O., &amp; Lush, P. (2023). Sixty years after </w:t>
      </w:r>
      <w:proofErr w:type="spellStart"/>
      <w:r>
        <w:t>orne’s</w:t>
      </w:r>
      <w:proofErr w:type="spellEnd"/>
      <w:r>
        <w:t xml:space="preserve"> </w:t>
      </w:r>
      <w:proofErr w:type="spellStart"/>
      <w:r>
        <w:t>american</w:t>
      </w:r>
      <w:proofErr w:type="spellEnd"/>
      <w:r>
        <w:t xml:space="preserve"> psychologist article: A conceptual framework for subjective experiences elicited by demand characteristics. </w:t>
      </w:r>
      <w:r>
        <w:rPr>
          <w:i/>
          <w:iCs/>
        </w:rPr>
        <w:t>Personality and Social Psychology Review</w:t>
      </w:r>
      <w:r>
        <w:t xml:space="preserve">, </w:t>
      </w:r>
      <w:r>
        <w:rPr>
          <w:i/>
          <w:iCs/>
        </w:rPr>
        <w:t>27</w:t>
      </w:r>
      <w:r>
        <w:t>(1), 81–101.</w:t>
      </w:r>
    </w:p>
    <w:p w14:paraId="3408961E" w14:textId="77777777" w:rsidR="00C96820" w:rsidRDefault="00000000">
      <w:pPr>
        <w:pStyle w:val="Bibliography"/>
      </w:pPr>
      <w:bookmarkStart w:id="40" w:name="ref-cramer2004effect"/>
      <w:bookmarkEnd w:id="39"/>
      <w:r>
        <w:rPr>
          <w:vertAlign w:val="superscript"/>
        </w:rPr>
        <w:lastRenderedPageBreak/>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4873C14F" w14:textId="77777777" w:rsidR="00C96820" w:rsidRDefault="00000000">
      <w:pPr>
        <w:pStyle w:val="Bibliography"/>
      </w:pPr>
      <w:bookmarkStart w:id="41" w:name="ref-cramer2005effect"/>
      <w:bookmarkEnd w:id="40"/>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1BCBC752" w14:textId="77777777" w:rsidR="00C96820" w:rsidRDefault="00000000">
      <w:pPr>
        <w:pStyle w:val="Bibliography"/>
      </w:pPr>
      <w:bookmarkStart w:id="42" w:name="ref-cramer1995effect"/>
      <w:bookmarkEnd w:id="41"/>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73AA6389" w14:textId="77777777" w:rsidR="00C96820" w:rsidRDefault="00000000">
      <w:pPr>
        <w:pStyle w:val="Bibliography"/>
      </w:pPr>
      <w:bookmarkStart w:id="43" w:name="ref-drevon2017intercoder"/>
      <w:bookmarkEnd w:id="42"/>
      <w:r>
        <w:t xml:space="preserve">Drevon, D., </w:t>
      </w:r>
      <w:proofErr w:type="spellStart"/>
      <w:r>
        <w:t>Fursa</w:t>
      </w:r>
      <w:proofErr w:type="spellEnd"/>
      <w:r>
        <w:t xml:space="preserve">, S. R., &amp; Malcolm, A. L. (2017). Intercoder reliability and validity of </w:t>
      </w:r>
      <w:proofErr w:type="spellStart"/>
      <w:r>
        <w:t>WebPlotDigitizer</w:t>
      </w:r>
      <w:proofErr w:type="spellEnd"/>
      <w:r>
        <w:t xml:space="preserve"> in extracting graphed data. </w:t>
      </w:r>
      <w:r>
        <w:rPr>
          <w:i/>
          <w:iCs/>
        </w:rPr>
        <w:t>Behavior Modification</w:t>
      </w:r>
      <w:r>
        <w:t xml:space="preserve">, </w:t>
      </w:r>
      <w:r>
        <w:rPr>
          <w:i/>
          <w:iCs/>
        </w:rPr>
        <w:t>41</w:t>
      </w:r>
      <w:r>
        <w:t>(2), 323–339.</w:t>
      </w:r>
    </w:p>
    <w:p w14:paraId="6AB97B4C" w14:textId="77777777" w:rsidR="00C96820" w:rsidRDefault="00000000">
      <w:pPr>
        <w:pStyle w:val="Bibliography"/>
      </w:pPr>
      <w:bookmarkStart w:id="44" w:name="ref-durgin2012social"/>
      <w:bookmarkEnd w:id="43"/>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p>
    <w:p w14:paraId="68BC0E77" w14:textId="77777777" w:rsidR="00C96820" w:rsidRDefault="00000000">
      <w:pPr>
        <w:pStyle w:val="Bibliography"/>
      </w:pPr>
      <w:bookmarkStart w:id="45" w:name="ref-earn1979experimental"/>
      <w:bookmarkEnd w:id="44"/>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1183CEBD" w14:textId="77777777" w:rsidR="00C96820" w:rsidRDefault="00000000">
      <w:pPr>
        <w:pStyle w:val="Bibliography"/>
      </w:pPr>
      <w:bookmarkStart w:id="46" w:name="ref-fillenbaun1970more"/>
      <w:bookmarkEnd w:id="45"/>
      <w:proofErr w:type="spellStart"/>
      <w:r>
        <w:t>Fillenbaun</w:t>
      </w:r>
      <w:proofErr w:type="spellEnd"/>
      <w:r>
        <w:t xml:space="preserve">, S., &amp; Frey, R. (1970). More on the" faithful" behavior of suspicious subjects. </w:t>
      </w:r>
      <w:r>
        <w:rPr>
          <w:i/>
          <w:iCs/>
        </w:rPr>
        <w:t>Journal of Personality</w:t>
      </w:r>
      <w:r>
        <w:t xml:space="preserve">, </w:t>
      </w:r>
      <w:r>
        <w:rPr>
          <w:i/>
          <w:iCs/>
        </w:rPr>
        <w:t>38</w:t>
      </w:r>
      <w:r>
        <w:t>(1), 43–51.</w:t>
      </w:r>
    </w:p>
    <w:p w14:paraId="089EE488" w14:textId="77777777" w:rsidR="00C96820" w:rsidRDefault="00000000">
      <w:pPr>
        <w:pStyle w:val="Bibliography"/>
      </w:pPr>
      <w:bookmarkStart w:id="47" w:name="ref-frank2025experimentology"/>
      <w:bookmarkEnd w:id="46"/>
      <w:r>
        <w:t xml:space="preserve">Frank, M. C., Braginsky, M., Cachia, J., Coles, N., Hardwicke, T., Hawkins, R., … Williams, R. (2025). </w:t>
      </w:r>
      <w:proofErr w:type="spellStart"/>
      <w:r>
        <w:rPr>
          <w:i/>
          <w:iCs/>
        </w:rPr>
        <w:t>Experimentology</w:t>
      </w:r>
      <w:proofErr w:type="spellEnd"/>
      <w:r>
        <w:rPr>
          <w:i/>
          <w:iCs/>
        </w:rPr>
        <w:t>: An open science approach to experimental psychology methods</w:t>
      </w:r>
      <w:r>
        <w:t>. Boston, MA: MIT Press.</w:t>
      </w:r>
    </w:p>
    <w:p w14:paraId="52B1EDE7" w14:textId="77777777" w:rsidR="00C96820" w:rsidRDefault="00000000">
      <w:pPr>
        <w:pStyle w:val="Bibliography"/>
      </w:pPr>
      <w:bookmarkStart w:id="48" w:name="ref-fresson2017role"/>
      <w:bookmarkEnd w:id="47"/>
      <w:r>
        <w:rPr>
          <w:vertAlign w:val="superscript"/>
        </w:rPr>
        <w:lastRenderedPageBreak/>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p>
    <w:p w14:paraId="0F008F1D" w14:textId="77777777" w:rsidR="00C96820" w:rsidRDefault="00000000">
      <w:pPr>
        <w:pStyle w:val="Bibliography"/>
      </w:pPr>
      <w:bookmarkStart w:id="49" w:name="ref-hayes1967two"/>
      <w:bookmarkEnd w:id="48"/>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237EF6FF" w14:textId="77777777" w:rsidR="00C96820" w:rsidRDefault="00000000">
      <w:pPr>
        <w:pStyle w:val="Bibliography"/>
      </w:pPr>
      <w:bookmarkStart w:id="50" w:name="ref-hoogeveen2018did"/>
      <w:bookmarkEnd w:id="49"/>
      <w:r>
        <w:rPr>
          <w:vertAlign w:val="superscript"/>
        </w:rPr>
        <w:t>*</w:t>
      </w:r>
      <w:r>
        <w:t xml:space="preserve"> Hoogeveen, S., </w:t>
      </w:r>
      <w:proofErr w:type="spellStart"/>
      <w:r>
        <w:t>Schjoedt</w:t>
      </w:r>
      <w:proofErr w:type="spellEnd"/>
      <w:r>
        <w:t xml:space="preserve">, U., &amp; Elk, M. van. (2018). Did </w:t>
      </w:r>
      <w:proofErr w:type="spellStart"/>
      <w:r>
        <w:t>i</w:t>
      </w:r>
      <w:proofErr w:type="spellEnd"/>
      <w:r>
        <w:t xml:space="preserve"> do that? Expectancy effects of brain stimulation on error-related negativity and sense of agency. </w:t>
      </w:r>
      <w:r>
        <w:rPr>
          <w:i/>
          <w:iCs/>
        </w:rPr>
        <w:t>Journal of Cognitive Neuroscience</w:t>
      </w:r>
      <w:r>
        <w:t xml:space="preserve">, </w:t>
      </w:r>
      <w:r>
        <w:rPr>
          <w:i/>
          <w:iCs/>
        </w:rPr>
        <w:t>30</w:t>
      </w:r>
      <w:r>
        <w:t>(11), 1720–1733.</w:t>
      </w:r>
    </w:p>
    <w:p w14:paraId="58D65599" w14:textId="77777777" w:rsidR="00C96820" w:rsidRDefault="00000000">
      <w:pPr>
        <w:pStyle w:val="Bibliography"/>
      </w:pPr>
      <w:bookmarkStart w:id="51" w:name="ref-hyman1954interviewing"/>
      <w:bookmarkEnd w:id="50"/>
      <w:r>
        <w:t xml:space="preserve">Hyman, H. H. (1954). </w:t>
      </w:r>
      <w:r>
        <w:rPr>
          <w:i/>
          <w:iCs/>
        </w:rPr>
        <w:t>Interviewing in social research</w:t>
      </w:r>
      <w:r>
        <w:t>. Chicago, IL: University of Chicago Press.</w:t>
      </w:r>
    </w:p>
    <w:p w14:paraId="319EBAEE" w14:textId="77777777" w:rsidR="00C96820" w:rsidRDefault="00000000">
      <w:pPr>
        <w:pStyle w:val="Bibliography"/>
      </w:pPr>
      <w:bookmarkStart w:id="52" w:name="ref-isager2022student"/>
      <w:bookmarkEnd w:id="51"/>
      <w:r>
        <w:rPr>
          <w:vertAlign w:val="superscript"/>
        </w:rPr>
        <w:t>*</w:t>
      </w:r>
      <w:r>
        <w:t xml:space="preserve"> Isager, P. (2022). </w:t>
      </w:r>
      <w:r>
        <w:rPr>
          <w:i/>
          <w:iCs/>
        </w:rPr>
        <w:t xml:space="preserve">Student replication of </w:t>
      </w:r>
      <w:proofErr w:type="spellStart"/>
      <w:r>
        <w:rPr>
          <w:i/>
          <w:iCs/>
        </w:rPr>
        <w:t>coles</w:t>
      </w:r>
      <w:proofErr w:type="spellEnd"/>
      <w:r>
        <w:rPr>
          <w:i/>
          <w:iCs/>
        </w:rPr>
        <w:t xml:space="preserve"> et al. 2022</w:t>
      </w:r>
      <w:r>
        <w:t>.</w:t>
      </w:r>
    </w:p>
    <w:p w14:paraId="317608F7" w14:textId="77777777" w:rsidR="00C96820" w:rsidRDefault="00000000">
      <w:pPr>
        <w:pStyle w:val="Bibliography"/>
      </w:pPr>
      <w:bookmarkStart w:id="53" w:name="ref-kanter2004experimental"/>
      <w:bookmarkEnd w:id="52"/>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1842B0AB" w14:textId="77777777" w:rsidR="00C96820" w:rsidRDefault="00000000">
      <w:pPr>
        <w:pStyle w:val="Bibliography"/>
      </w:pPr>
      <w:bookmarkStart w:id="54" w:name="ref-kenealy1988validation"/>
      <w:bookmarkEnd w:id="53"/>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518047CB" w14:textId="77777777" w:rsidR="00C96820" w:rsidRDefault="00000000">
      <w:pPr>
        <w:pStyle w:val="Bibliography"/>
      </w:pPr>
      <w:bookmarkStart w:id="55" w:name="ref-kersbergen2019hypothesis"/>
      <w:bookmarkEnd w:id="54"/>
      <w:r>
        <w:rPr>
          <w:vertAlign w:val="superscript"/>
        </w:rPr>
        <w:t>*</w:t>
      </w:r>
      <w:r>
        <w:t xml:space="preserve"> Kersbergen, I., Whitelock, V., Haynes, A., </w:t>
      </w:r>
      <w:proofErr w:type="spellStart"/>
      <w:r>
        <w:t>Schroor</w:t>
      </w:r>
      <w:proofErr w:type="spellEnd"/>
      <w:r>
        <w:t xml:space="preserve">, M., &amp; Robinson, E. (2019). Hypothesis awareness as a demand characteristic in laboratory-based eating </w:t>
      </w:r>
      <w:proofErr w:type="spellStart"/>
      <w:r>
        <w:t>behaviour</w:t>
      </w:r>
      <w:proofErr w:type="spellEnd"/>
      <w:r>
        <w:t xml:space="preserve"> research: An experimental study. </w:t>
      </w:r>
      <w:r>
        <w:rPr>
          <w:i/>
          <w:iCs/>
        </w:rPr>
        <w:t>Appetite</w:t>
      </w:r>
      <w:r>
        <w:t xml:space="preserve">, </w:t>
      </w:r>
      <w:r>
        <w:rPr>
          <w:i/>
          <w:iCs/>
        </w:rPr>
        <w:t>141</w:t>
      </w:r>
      <w:r>
        <w:t>, 104318.</w:t>
      </w:r>
    </w:p>
    <w:p w14:paraId="414F0F03" w14:textId="77777777" w:rsidR="00C96820" w:rsidRDefault="00000000">
      <w:pPr>
        <w:pStyle w:val="Bibliography"/>
      </w:pPr>
      <w:bookmarkStart w:id="56" w:name="ref-lamberth1971similarity"/>
      <w:bookmarkEnd w:id="55"/>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10FFBEE2" w14:textId="77777777" w:rsidR="00C96820" w:rsidRDefault="00000000">
      <w:pPr>
        <w:pStyle w:val="Bibliography"/>
      </w:pPr>
      <w:bookmarkStart w:id="57" w:name="ref-larsen2011further"/>
      <w:bookmarkEnd w:id="56"/>
      <w:r>
        <w:rPr>
          <w:vertAlign w:val="superscript"/>
        </w:rPr>
        <w:lastRenderedPageBreak/>
        <w:t>*</w:t>
      </w:r>
      <w:r>
        <w:t xml:space="preserve"> Larsen, J. T., &amp; McGraw, A. P. (2011). Further evidence for mixed emotions. </w:t>
      </w:r>
      <w:r>
        <w:rPr>
          <w:i/>
          <w:iCs/>
        </w:rPr>
        <w:t>Journal of Personality and Social Psychology</w:t>
      </w:r>
      <w:r>
        <w:t xml:space="preserve">, </w:t>
      </w:r>
      <w:r>
        <w:rPr>
          <w:i/>
          <w:iCs/>
        </w:rPr>
        <w:t>100</w:t>
      </w:r>
      <w:r>
        <w:t>(6), 1095–1110.</w:t>
      </w:r>
    </w:p>
    <w:p w14:paraId="3E4AA0F2" w14:textId="77777777" w:rsidR="00C96820" w:rsidRDefault="00000000">
      <w:pPr>
        <w:pStyle w:val="Bibliography"/>
      </w:pPr>
      <w:bookmarkStart w:id="58" w:name="ref-martin2018attention"/>
      <w:bookmarkEnd w:id="57"/>
      <w:r>
        <w:rPr>
          <w:vertAlign w:val="superscript"/>
        </w:rPr>
        <w:t>*</w:t>
      </w:r>
      <w:r>
        <w:t xml:space="preserve"> Martin, J.-R., Sackur, J., &amp; Dienes, Z. (2018). Attention or instruction: Do sustained attentional abilities really differ between high and low </w:t>
      </w:r>
      <w:proofErr w:type="spellStart"/>
      <w:r>
        <w:t>hypnotisable</w:t>
      </w:r>
      <w:proofErr w:type="spellEnd"/>
      <w:r>
        <w:t xml:space="preserve"> persons? </w:t>
      </w:r>
      <w:r>
        <w:rPr>
          <w:i/>
          <w:iCs/>
        </w:rPr>
        <w:t>Psychological Research</w:t>
      </w:r>
      <w:r>
        <w:t xml:space="preserve">, </w:t>
      </w:r>
      <w:r>
        <w:rPr>
          <w:i/>
          <w:iCs/>
        </w:rPr>
        <w:t>82</w:t>
      </w:r>
      <w:r>
        <w:t>(4), 700–707.</w:t>
      </w:r>
    </w:p>
    <w:p w14:paraId="500D2A45" w14:textId="77777777" w:rsidR="00C96820" w:rsidRDefault="00000000">
      <w:pPr>
        <w:pStyle w:val="Bibliography"/>
      </w:pPr>
      <w:bookmarkStart w:id="59" w:name="ref-masling1966role"/>
      <w:bookmarkEnd w:id="58"/>
      <w:proofErr w:type="spellStart"/>
      <w:r>
        <w:t>Masling</w:t>
      </w:r>
      <w:proofErr w:type="spellEnd"/>
      <w:r>
        <w:t xml:space="preserve">, J. (1966). Role-related behavior of the subject and psychologist and its effects upon psychological data. </w:t>
      </w:r>
      <w:r>
        <w:rPr>
          <w:i/>
          <w:iCs/>
        </w:rPr>
        <w:t>Nebraska Symposium on Motivation</w:t>
      </w:r>
      <w:r>
        <w:t xml:space="preserve">, </w:t>
      </w:r>
      <w:r>
        <w:rPr>
          <w:i/>
          <w:iCs/>
        </w:rPr>
        <w:t>14</w:t>
      </w:r>
      <w:r>
        <w:t>, 67–103.</w:t>
      </w:r>
    </w:p>
    <w:p w14:paraId="241B8869" w14:textId="77777777" w:rsidR="00C96820" w:rsidRDefault="00000000">
      <w:pPr>
        <w:pStyle w:val="Bibliography"/>
      </w:pPr>
      <w:bookmarkStart w:id="60" w:name="ref-R-PublicationBias"/>
      <w:bookmarkEnd w:id="59"/>
      <w:r>
        <w:t xml:space="preserve">Mathur, M. B., &amp; VanderWeele, T. J. (2020a). </w:t>
      </w:r>
      <w:proofErr w:type="spellStart"/>
      <w:r>
        <w:rPr>
          <w:i/>
          <w:iCs/>
        </w:rPr>
        <w:t>PublicationBias</w:t>
      </w:r>
      <w:proofErr w:type="spellEnd"/>
      <w:r>
        <w:rPr>
          <w:i/>
          <w:iCs/>
        </w:rPr>
        <w:t>: Sensitivity analysis for publication bias in meta-analyses</w:t>
      </w:r>
      <w:r>
        <w:t xml:space="preserve">. Retrieved from </w:t>
      </w:r>
      <w:hyperlink r:id="rId14">
        <w:r w:rsidR="00C96820">
          <w:rPr>
            <w:rStyle w:val="Hyperlink"/>
          </w:rPr>
          <w:t>https://CRAN.R-project.org/package=PublicationBias</w:t>
        </w:r>
      </w:hyperlink>
    </w:p>
    <w:p w14:paraId="4F4CFAD6" w14:textId="77777777" w:rsidR="00C96820" w:rsidRDefault="00000000">
      <w:pPr>
        <w:pStyle w:val="Bibliography"/>
      </w:pPr>
      <w:bookmarkStart w:id="61" w:name="ref-mathur2020sensitivity"/>
      <w:bookmarkEnd w:id="60"/>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573FC3A6" w14:textId="77777777" w:rsidR="00C96820" w:rsidRDefault="00000000">
      <w:pPr>
        <w:pStyle w:val="Bibliography"/>
      </w:pPr>
      <w:bookmarkStart w:id="62" w:name="ref-mcginley1975subject"/>
      <w:bookmarkEnd w:id="61"/>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4441A453" w14:textId="77777777" w:rsidR="00C96820" w:rsidRDefault="00000000">
      <w:pPr>
        <w:pStyle w:val="Bibliography"/>
      </w:pPr>
      <w:bookmarkStart w:id="63" w:name="ref-mcglynn1972experimental"/>
      <w:bookmarkEnd w:id="62"/>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2549E902" w14:textId="77777777" w:rsidR="00C96820" w:rsidRDefault="00000000">
      <w:pPr>
        <w:pStyle w:val="Bibliography"/>
      </w:pPr>
      <w:bookmarkStart w:id="64" w:name="ref-mcguire2009suspiciousness"/>
      <w:bookmarkEnd w:id="63"/>
      <w:r>
        <w:t xml:space="preserve">McGuire, W. J. (2009). Suspiciousness of experimenter’s intent. </w:t>
      </w:r>
      <w:r>
        <w:rPr>
          <w:i/>
          <w:iCs/>
        </w:rPr>
        <w:t>Artifacts in Behavioral Research. New York: Oxford</w:t>
      </w:r>
      <w:r>
        <w:t>, 15–47.</w:t>
      </w:r>
    </w:p>
    <w:p w14:paraId="1F7CB7F0" w14:textId="77777777" w:rsidR="00C96820" w:rsidRDefault="00000000">
      <w:pPr>
        <w:pStyle w:val="Bibliography"/>
      </w:pPr>
      <w:bookmarkStart w:id="65" w:name="ref-mummolo2019demand"/>
      <w:bookmarkEnd w:id="64"/>
      <w:r>
        <w:rPr>
          <w:vertAlign w:val="superscript"/>
        </w:rPr>
        <w:t>*</w:t>
      </w:r>
      <w:r>
        <w:t xml:space="preserve"> </w:t>
      </w:r>
      <w:proofErr w:type="spellStart"/>
      <w:r>
        <w:t>Mummolo</w:t>
      </w:r>
      <w:proofErr w:type="spellEnd"/>
      <w:r>
        <w:t xml:space="preserve">, J., &amp; Peterson, E. (2019). Demand effects in survey experiments: An empirical assessment. </w:t>
      </w:r>
      <w:r>
        <w:rPr>
          <w:i/>
          <w:iCs/>
        </w:rPr>
        <w:t>American Political Science Review</w:t>
      </w:r>
      <w:r>
        <w:t xml:space="preserve">, </w:t>
      </w:r>
      <w:r>
        <w:rPr>
          <w:i/>
          <w:iCs/>
        </w:rPr>
        <w:t>113</w:t>
      </w:r>
      <w:r>
        <w:t>(2), 517–529.</w:t>
      </w:r>
    </w:p>
    <w:p w14:paraId="0EA92D3C" w14:textId="77777777" w:rsidR="00C96820" w:rsidRDefault="00000000">
      <w:pPr>
        <w:pStyle w:val="Bibliography"/>
      </w:pPr>
      <w:bookmarkStart w:id="66" w:name="ref-orne1962social"/>
      <w:bookmarkEnd w:id="65"/>
      <w:r>
        <w:lastRenderedPageBreak/>
        <w:t xml:space="preserve">Orne, M. T. (1962). On the social psychology of the psychological experiment: With </w:t>
      </w:r>
      <w:proofErr w:type="gramStart"/>
      <w:r>
        <w:t>particular reference</w:t>
      </w:r>
      <w:proofErr w:type="gramEnd"/>
      <w:r>
        <w:t xml:space="preserve"> to demand characteristics and their implications. </w:t>
      </w:r>
      <w:r>
        <w:rPr>
          <w:i/>
          <w:iCs/>
        </w:rPr>
        <w:t>American Psychologist</w:t>
      </w:r>
      <w:r>
        <w:t xml:space="preserve">, </w:t>
      </w:r>
      <w:r>
        <w:rPr>
          <w:i/>
          <w:iCs/>
        </w:rPr>
        <w:t>17</w:t>
      </w:r>
      <w:r>
        <w:t>(11), 776–783.</w:t>
      </w:r>
    </w:p>
    <w:p w14:paraId="0B390F5F" w14:textId="77777777" w:rsidR="00C96820" w:rsidRDefault="00000000">
      <w:pPr>
        <w:pStyle w:val="Bibliography"/>
      </w:pPr>
      <w:bookmarkStart w:id="67" w:name="ref-orne1964contribution"/>
      <w:bookmarkEnd w:id="66"/>
      <w:r>
        <w:rPr>
          <w:vertAlign w:val="superscript"/>
        </w:rPr>
        <w:t>*</w:t>
      </w:r>
      <w:r>
        <w:t xml:space="preserve"> Orne, M. T., &amp; Scheibe, K. E. (1964). The contribution of </w:t>
      </w:r>
      <w:proofErr w:type="spellStart"/>
      <w:r>
        <w:t>nondeprivation</w:t>
      </w:r>
      <w:proofErr w:type="spellEnd"/>
      <w:r>
        <w:t xml:space="preserve"> factors in the production of sensory deprivation effects: The psychology of the" panic button.". </w:t>
      </w:r>
      <w:r>
        <w:rPr>
          <w:i/>
          <w:iCs/>
        </w:rPr>
        <w:t>The Journal of Abnormal and Social Psychology</w:t>
      </w:r>
      <w:r>
        <w:t xml:space="preserve">, </w:t>
      </w:r>
      <w:r>
        <w:rPr>
          <w:i/>
          <w:iCs/>
        </w:rPr>
        <w:t>68</w:t>
      </w:r>
      <w:r>
        <w:t>(1), 3.</w:t>
      </w:r>
    </w:p>
    <w:p w14:paraId="270F684F" w14:textId="77777777" w:rsidR="00C96820" w:rsidRDefault="00000000">
      <w:pPr>
        <w:pStyle w:val="Bibliography"/>
      </w:pPr>
      <w:bookmarkStart w:id="68" w:name="ref-page2021prisma"/>
      <w:bookmarkEnd w:id="67"/>
      <w:r>
        <w:t xml:space="preserve">Page, M. J., McKenzie, J. E., Bossuyt, P. M., </w:t>
      </w:r>
      <w:proofErr w:type="spellStart"/>
      <w:r>
        <w:t>Boutron</w:t>
      </w:r>
      <w:proofErr w:type="spellEnd"/>
      <w:r>
        <w:t xml:space="preserve">, I., Hoffmann, T. C., Mulrow, C. D., et </w:t>
      </w:r>
      <w:proofErr w:type="spellStart"/>
      <w:proofErr w:type="gramStart"/>
      <w:r>
        <w:t>al.others</w:t>
      </w:r>
      <w:proofErr w:type="spellEnd"/>
      <w:proofErr w:type="gramEnd"/>
      <w:r>
        <w:t xml:space="preserve">. (2021). The PRISMA 2020 statement: An updated guideline for reporting systematic reviews. </w:t>
      </w:r>
      <w:r>
        <w:rPr>
          <w:i/>
          <w:iCs/>
        </w:rPr>
        <w:t>BMJ</w:t>
      </w:r>
      <w:r>
        <w:t xml:space="preserve">, </w:t>
      </w:r>
      <w:r>
        <w:rPr>
          <w:i/>
          <w:iCs/>
        </w:rPr>
        <w:t>372</w:t>
      </w:r>
      <w:r>
        <w:t>.</w:t>
      </w:r>
    </w:p>
    <w:p w14:paraId="15216C67" w14:textId="77777777" w:rsidR="00C96820" w:rsidRDefault="00000000">
      <w:pPr>
        <w:pStyle w:val="Bibliography"/>
      </w:pPr>
      <w:bookmarkStart w:id="69" w:name="ref-palomba1995dissociation"/>
      <w:bookmarkEnd w:id="68"/>
      <w:r>
        <w:rPr>
          <w:vertAlign w:val="superscript"/>
        </w:rPr>
        <w:t>*</w:t>
      </w:r>
      <w:r>
        <w:t xml:space="preserve"> Palomba, D., &amp; </w:t>
      </w:r>
      <w:proofErr w:type="spellStart"/>
      <w:r>
        <w:t>Stegagno</w:t>
      </w:r>
      <w:proofErr w:type="spellEnd"/>
      <w:r>
        <w:t xml:space="preserve">, L. (1995). Dissociation between actual and expected cardiac changes: Interoception and emotional experience. In D. </w:t>
      </w:r>
      <w:proofErr w:type="spellStart"/>
      <w:r>
        <w:t>Vaitl</w:t>
      </w:r>
      <w:proofErr w:type="spellEnd"/>
      <w:r>
        <w:t xml:space="preserve"> &amp; R. </w:t>
      </w:r>
      <w:proofErr w:type="spellStart"/>
      <w:r>
        <w:t>Schandry</w:t>
      </w:r>
      <w:proofErr w:type="spellEnd"/>
      <w:r>
        <w:t xml:space="preserve"> (Eds.), </w:t>
      </w:r>
      <w:r>
        <w:rPr>
          <w:i/>
          <w:iCs/>
        </w:rPr>
        <w:t>From the heart to the brain: The psychophysiology of circulation – brain interaction</w:t>
      </w:r>
      <w:r>
        <w:t xml:space="preserve"> (pp. 283–298). Peter Lang Publishing.</w:t>
      </w:r>
    </w:p>
    <w:p w14:paraId="3E486CC2" w14:textId="77777777" w:rsidR="00C96820" w:rsidRDefault="00000000">
      <w:pPr>
        <w:pStyle w:val="Bibliography"/>
      </w:pPr>
      <w:bookmarkStart w:id="70" w:name="ref-perry1978demand"/>
      <w:bookmarkEnd w:id="69"/>
      <w:r>
        <w:t xml:space="preserve">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7B8110EF" w14:textId="77777777" w:rsidR="00C96820" w:rsidRDefault="00000000">
      <w:pPr>
        <w:pStyle w:val="Bibliography"/>
      </w:pPr>
      <w:bookmarkStart w:id="71" w:name="ref-polivy1980laboratory"/>
      <w:bookmarkEnd w:id="70"/>
      <w:r>
        <w:rPr>
          <w:vertAlign w:val="superscript"/>
        </w:rPr>
        <w:t>*</w:t>
      </w:r>
      <w:r>
        <w:t xml:space="preserve"> </w:t>
      </w:r>
      <w:proofErr w:type="spellStart"/>
      <w:r>
        <w:t>Polivy</w:t>
      </w:r>
      <w:proofErr w:type="spellEnd"/>
      <w:r>
        <w:t xml:space="preserve">,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2173A573" w14:textId="77777777" w:rsidR="00C96820" w:rsidRDefault="00000000">
      <w:pPr>
        <w:pStyle w:val="Bibliography"/>
      </w:pPr>
      <w:bookmarkStart w:id="72" w:name="ref-pustejovsky2018small"/>
      <w:bookmarkEnd w:id="71"/>
      <w:r>
        <w:lastRenderedPageBreak/>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6C9EF395" w14:textId="77777777" w:rsidR="00C96820" w:rsidRDefault="00000000">
      <w:pPr>
        <w:pStyle w:val="Bibliography"/>
      </w:pPr>
      <w:bookmarkStart w:id="73" w:name="ref-R-base"/>
      <w:bookmarkEnd w:id="72"/>
      <w:r>
        <w:t xml:space="preserve">R Core Team. (2021). </w:t>
      </w:r>
      <w:r>
        <w:rPr>
          <w:i/>
          <w:iCs/>
        </w:rPr>
        <w:t>R: A language and environment for statistical computing</w:t>
      </w:r>
      <w:r>
        <w:t xml:space="preserve">. Vienna, Austria: R Foundation for Statistical Computing. Retrieved from </w:t>
      </w:r>
      <w:hyperlink r:id="rId15">
        <w:r w:rsidR="00C96820">
          <w:rPr>
            <w:rStyle w:val="Hyperlink"/>
          </w:rPr>
          <w:t>https://www.R-project.org/</w:t>
        </w:r>
      </w:hyperlink>
    </w:p>
    <w:p w14:paraId="28F38DEC" w14:textId="77777777" w:rsidR="00C96820" w:rsidRDefault="00000000">
      <w:pPr>
        <w:pStyle w:val="Bibliography"/>
      </w:pPr>
      <w:bookmarkStart w:id="74" w:name="ref-riecken1962program"/>
      <w:bookmarkEnd w:id="73"/>
      <w:r>
        <w:t xml:space="preserve">Riecken, H. W. (1962). A program for research on experiments in social psychology. In N. W. Washburne (Ed.), </w:t>
      </w:r>
      <w:r>
        <w:rPr>
          <w:i/>
          <w:iCs/>
        </w:rPr>
        <w:t>Decisions, values and groups</w:t>
      </w:r>
      <w:r>
        <w:t xml:space="preserve"> (Vol. 2, pp. 25–41). New York, NY: Pergamon Press.</w:t>
      </w:r>
    </w:p>
    <w:p w14:paraId="229854B4" w14:textId="77777777" w:rsidR="00C96820" w:rsidRDefault="00000000">
      <w:pPr>
        <w:pStyle w:val="Bibliography"/>
      </w:pPr>
      <w:bookmarkStart w:id="75" w:name="ref-rodgers2021evaluating"/>
      <w:bookmarkEnd w:id="74"/>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48F6392F" w14:textId="77777777" w:rsidR="00C96820" w:rsidRDefault="00000000">
      <w:pPr>
        <w:pStyle w:val="Bibliography"/>
      </w:pPr>
      <w:bookmarkStart w:id="76" w:name="ref-rose2014choice"/>
      <w:bookmarkEnd w:id="75"/>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28FC97F8" w14:textId="77777777" w:rsidR="00C96820" w:rsidRDefault="00000000">
      <w:pPr>
        <w:pStyle w:val="Bibliography"/>
      </w:pPr>
      <w:bookmarkStart w:id="77" w:name="ref-rosnow1973mediation"/>
      <w:bookmarkEnd w:id="76"/>
      <w:proofErr w:type="spellStart"/>
      <w:r>
        <w:t>Rosnow</w:t>
      </w:r>
      <w:proofErr w:type="spellEnd"/>
      <w:r>
        <w:t xml:space="preserve">, R. L., &amp; Aiken, L. S. (1973). Mediation of artifacts in behavioral research. </w:t>
      </w:r>
      <w:r>
        <w:rPr>
          <w:i/>
          <w:iCs/>
        </w:rPr>
        <w:t>Journal of Experimental Social Psychology</w:t>
      </w:r>
      <w:r>
        <w:t xml:space="preserve">, </w:t>
      </w:r>
      <w:r>
        <w:rPr>
          <w:i/>
          <w:iCs/>
        </w:rPr>
        <w:t>9</w:t>
      </w:r>
      <w:r>
        <w:t>(3), 181–201.</w:t>
      </w:r>
    </w:p>
    <w:p w14:paraId="7D5EBB0A" w14:textId="77777777" w:rsidR="00C96820" w:rsidRDefault="00000000">
      <w:pPr>
        <w:pStyle w:val="Bibliography"/>
      </w:pPr>
      <w:bookmarkStart w:id="78" w:name="ref-rosnow1997people"/>
      <w:bookmarkEnd w:id="77"/>
      <w:proofErr w:type="spellStart"/>
      <w:r>
        <w:t>Rosnow</w:t>
      </w:r>
      <w:proofErr w:type="spellEnd"/>
      <w:r>
        <w:t xml:space="preserve">, R. L., &amp; Rosenthal, R. (1997). </w:t>
      </w:r>
      <w:r>
        <w:rPr>
          <w:i/>
          <w:iCs/>
        </w:rPr>
        <w:t>People studying people: Artifacts and ethics in behavioral research</w:t>
      </w:r>
      <w:r>
        <w:t>. New York, NY: Freeman.</w:t>
      </w:r>
    </w:p>
    <w:p w14:paraId="363A6672" w14:textId="77777777" w:rsidR="00C96820" w:rsidRDefault="00000000">
      <w:pPr>
        <w:pStyle w:val="Bibliography"/>
      </w:pPr>
      <w:bookmarkStart w:id="79" w:name="ref-schardt2007utilization"/>
      <w:bookmarkEnd w:id="78"/>
      <w:r>
        <w:t xml:space="preserve">Schardt, C., Adams, M. B., Owens, T., Keitz, S., &amp; </w:t>
      </w:r>
      <w:proofErr w:type="spellStart"/>
      <w:r>
        <w:t>Fontelo</w:t>
      </w:r>
      <w:proofErr w:type="spellEnd"/>
      <w:r>
        <w:t xml:space="preserve">, P. (2007). Utilization of the PICO framework to improve searching PubMed for clinical questions. </w:t>
      </w:r>
      <w:r>
        <w:rPr>
          <w:i/>
          <w:iCs/>
        </w:rPr>
        <w:t>BMC Medical Informatics and Decision Making</w:t>
      </w:r>
      <w:r>
        <w:t xml:space="preserve">, </w:t>
      </w:r>
      <w:r>
        <w:rPr>
          <w:i/>
          <w:iCs/>
        </w:rPr>
        <w:t>7</w:t>
      </w:r>
      <w:r>
        <w:t>(1), 1–6.</w:t>
      </w:r>
    </w:p>
    <w:p w14:paraId="7978E7F8" w14:textId="77777777" w:rsidR="00C96820" w:rsidRDefault="00000000">
      <w:pPr>
        <w:pStyle w:val="Bibliography"/>
      </w:pPr>
      <w:bookmarkStart w:id="80" w:name="ref-schauer1969demand"/>
      <w:bookmarkEnd w:id="79"/>
      <w:r>
        <w:rPr>
          <w:vertAlign w:val="superscript"/>
        </w:rPr>
        <w:lastRenderedPageBreak/>
        <w:t>*</w:t>
      </w:r>
      <w:r>
        <w:t xml:space="preserve"> Schauer, E. (1969). </w:t>
      </w:r>
      <w:r>
        <w:rPr>
          <w:i/>
          <w:iCs/>
        </w:rPr>
        <w:t>Demand characteristics in a quasi-psychophysical experiment.</w:t>
      </w:r>
      <w:r>
        <w:t xml:space="preserve"> (PhD thesis).</w:t>
      </w:r>
    </w:p>
    <w:p w14:paraId="2E681D04" w14:textId="77777777" w:rsidR="00C96820" w:rsidRDefault="00000000">
      <w:pPr>
        <w:pStyle w:val="Bibliography"/>
      </w:pPr>
      <w:bookmarkStart w:id="81" w:name="ref-sharpe2016frightened"/>
      <w:bookmarkEnd w:id="80"/>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6B2DE8F5" w14:textId="77777777" w:rsidR="00C96820" w:rsidRDefault="00000000">
      <w:pPr>
        <w:pStyle w:val="Bibliography"/>
      </w:pPr>
      <w:bookmarkStart w:id="82" w:name="ref-siegel1982influence"/>
      <w:bookmarkEnd w:id="81"/>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5B4EFC48" w14:textId="77777777" w:rsidR="00C96820" w:rsidRDefault="00000000">
      <w:pPr>
        <w:pStyle w:val="Bibliography"/>
      </w:pPr>
      <w:bookmarkStart w:id="83" w:name="ref-sigall1970cooperative"/>
      <w:bookmarkEnd w:id="82"/>
      <w:r>
        <w:t xml:space="preserve">Sigall, H., Aronson, E., &amp; Van Hoose, T. (1970). The cooperative subject: Myth or reality? </w:t>
      </w:r>
      <w:r>
        <w:rPr>
          <w:i/>
          <w:iCs/>
        </w:rPr>
        <w:t>Journal of Experimental Social Psychology</w:t>
      </w:r>
      <w:r>
        <w:t xml:space="preserve">, </w:t>
      </w:r>
      <w:r>
        <w:rPr>
          <w:i/>
          <w:iCs/>
        </w:rPr>
        <w:t>6</w:t>
      </w:r>
      <w:r>
        <w:t>(1), 1–10.</w:t>
      </w:r>
    </w:p>
    <w:p w14:paraId="00314AF9" w14:textId="77777777" w:rsidR="00C96820" w:rsidRDefault="00000000">
      <w:pPr>
        <w:pStyle w:val="Bibliography"/>
      </w:pPr>
      <w:bookmarkStart w:id="84" w:name="ref-silverman1965demand"/>
      <w:bookmarkEnd w:id="83"/>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7E15ECBF" w14:textId="77777777" w:rsidR="00C96820" w:rsidRDefault="00000000">
      <w:pPr>
        <w:pStyle w:val="Bibliography"/>
      </w:pPr>
      <w:bookmarkStart w:id="85" w:name="ref-smith1986influence"/>
      <w:bookmarkEnd w:id="84"/>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2A2867BB" w14:textId="77777777" w:rsidR="00C96820" w:rsidRDefault="00000000">
      <w:pPr>
        <w:pStyle w:val="Bibliography"/>
      </w:pPr>
      <w:bookmarkStart w:id="86" w:name="ref-standing2008demonstration"/>
      <w:bookmarkEnd w:id="85"/>
      <w:r>
        <w:rPr>
          <w:vertAlign w:val="superscript"/>
        </w:rPr>
        <w:t>*</w:t>
      </w:r>
      <w:r>
        <w:t xml:space="preserve"> Standing, L. G., </w:t>
      </w:r>
      <w:proofErr w:type="spellStart"/>
      <w:r>
        <w:t>Verpaelst</w:t>
      </w:r>
      <w:proofErr w:type="spellEnd"/>
      <w:r>
        <w:t xml:space="preserve">, C. C., &amp; Ulmer, B. K. (2008). A demonstration of nonlinear demand characteristics in </w:t>
      </w:r>
      <w:proofErr w:type="spellStart"/>
      <w:r>
        <w:t>the’mozart</w:t>
      </w:r>
      <w:proofErr w:type="spellEnd"/>
      <w:r>
        <w:t xml:space="preserve"> </w:t>
      </w:r>
      <w:proofErr w:type="spellStart"/>
      <w:r>
        <w:t>effect’experimental</w:t>
      </w:r>
      <w:proofErr w:type="spellEnd"/>
      <w:r>
        <w:t xml:space="preserve"> paradigm. </w:t>
      </w:r>
      <w:r>
        <w:rPr>
          <w:i/>
          <w:iCs/>
        </w:rPr>
        <w:t>North American Journal of Psychology</w:t>
      </w:r>
      <w:r>
        <w:t xml:space="preserve">, </w:t>
      </w:r>
      <w:r>
        <w:rPr>
          <w:i/>
          <w:iCs/>
        </w:rPr>
        <w:t>10</w:t>
      </w:r>
      <w:r>
        <w:t>(3), 553–566.</w:t>
      </w:r>
    </w:p>
    <w:p w14:paraId="6B203AE3" w14:textId="77777777" w:rsidR="00C96820" w:rsidRDefault="00000000">
      <w:pPr>
        <w:pStyle w:val="Bibliography"/>
      </w:pPr>
      <w:bookmarkStart w:id="87" w:name="ref-stanley2014meta"/>
      <w:bookmarkEnd w:id="86"/>
      <w:r>
        <w:t xml:space="preserve">Stanley, T. D., &amp; </w:t>
      </w:r>
      <w:proofErr w:type="spellStart"/>
      <w:r>
        <w:t>Doucouliagos</w:t>
      </w:r>
      <w:proofErr w:type="spellEnd"/>
      <w:r>
        <w:t xml:space="preserve">, H. (2014). Meta-regression approximations to reduce publication selection bias. </w:t>
      </w:r>
      <w:r>
        <w:rPr>
          <w:i/>
          <w:iCs/>
        </w:rPr>
        <w:t>Research Synthesis Methods</w:t>
      </w:r>
      <w:r>
        <w:t xml:space="preserve">, </w:t>
      </w:r>
      <w:r>
        <w:rPr>
          <w:i/>
          <w:iCs/>
        </w:rPr>
        <w:t>5</w:t>
      </w:r>
      <w:r>
        <w:t>(1), 60–78.</w:t>
      </w:r>
    </w:p>
    <w:p w14:paraId="4E7FFB05" w14:textId="77777777" w:rsidR="00C96820" w:rsidRDefault="00000000">
      <w:pPr>
        <w:pStyle w:val="Bibliography"/>
      </w:pPr>
      <w:bookmarkStart w:id="88" w:name="ref-stewart2004placebo"/>
      <w:bookmarkEnd w:id="87"/>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1ECDBF84" w14:textId="77777777" w:rsidR="00C96820" w:rsidRDefault="00000000">
      <w:pPr>
        <w:pStyle w:val="Bibliography"/>
      </w:pPr>
      <w:bookmarkStart w:id="89" w:name="ref-strohmetz2008research"/>
      <w:bookmarkEnd w:id="88"/>
      <w:proofErr w:type="spellStart"/>
      <w:r>
        <w:lastRenderedPageBreak/>
        <w:t>Strohmetz</w:t>
      </w:r>
      <w:proofErr w:type="spellEnd"/>
      <w:r>
        <w:t xml:space="preserve">, D. B. (2008). Research artifacts and the social psychology of psychological experiments. </w:t>
      </w:r>
      <w:r>
        <w:rPr>
          <w:i/>
          <w:iCs/>
        </w:rPr>
        <w:t>Social and Personality Psychology Compass</w:t>
      </w:r>
      <w:r>
        <w:t xml:space="preserve">, </w:t>
      </w:r>
      <w:r>
        <w:rPr>
          <w:i/>
          <w:iCs/>
        </w:rPr>
        <w:t>2</w:t>
      </w:r>
      <w:r>
        <w:t>(2), 861–877.</w:t>
      </w:r>
    </w:p>
    <w:p w14:paraId="5638F67B" w14:textId="77777777" w:rsidR="00C96820" w:rsidRDefault="00000000">
      <w:pPr>
        <w:pStyle w:val="Bibliography"/>
      </w:pPr>
      <w:bookmarkStart w:id="90" w:name="ref-terhune2006induction"/>
      <w:bookmarkEnd w:id="89"/>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6254AA1E" w14:textId="77777777" w:rsidR="00C96820" w:rsidRDefault="00000000">
      <w:pPr>
        <w:pStyle w:val="Bibliography"/>
      </w:pPr>
      <w:bookmarkStart w:id="91" w:name="ref-tsai2018great"/>
      <w:bookmarkEnd w:id="90"/>
      <w:r>
        <w:rPr>
          <w:vertAlign w:val="superscript"/>
        </w:rPr>
        <w:t>*</w:t>
      </w:r>
      <w:r>
        <w:t xml:space="preserve"> Tsai, N., </w:t>
      </w:r>
      <w:proofErr w:type="spellStart"/>
      <w:r>
        <w:t>Buschkuehl</w:t>
      </w:r>
      <w:proofErr w:type="spellEnd"/>
      <w:r>
        <w:t xml:space="preserve">, M., </w:t>
      </w:r>
      <w:proofErr w:type="spellStart"/>
      <w:r>
        <w:t>Kamarsu</w:t>
      </w:r>
      <w:proofErr w:type="spellEnd"/>
      <w:r>
        <w:t xml:space="preserve">, S., Shah, P., </w:t>
      </w:r>
      <w:proofErr w:type="spellStart"/>
      <w:r>
        <w:t>Jonides</w:t>
      </w:r>
      <w:proofErr w:type="spellEnd"/>
      <w:r>
        <w:t xml:space="preserve">, J., &amp; Jaeggi, S. M. (2018). (Un) great expectations: The role of placebo effects in cognitive training. </w:t>
      </w:r>
      <w:r>
        <w:rPr>
          <w:i/>
          <w:iCs/>
        </w:rPr>
        <w:t>Journal of Applied Research in Memory and Cognition</w:t>
      </w:r>
      <w:r>
        <w:t xml:space="preserve">, </w:t>
      </w:r>
      <w:r>
        <w:rPr>
          <w:i/>
          <w:iCs/>
        </w:rPr>
        <w:t>7</w:t>
      </w:r>
      <w:r>
        <w:t>(4), 564–573.</w:t>
      </w:r>
    </w:p>
    <w:p w14:paraId="650F2E24" w14:textId="77777777" w:rsidR="00C96820" w:rsidRDefault="00000000">
      <w:pPr>
        <w:pStyle w:val="Bibliography"/>
      </w:pPr>
      <w:bookmarkStart w:id="92" w:name="ref-veitch1991demand"/>
      <w:bookmarkEnd w:id="91"/>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126A14D7" w14:textId="77777777" w:rsidR="00C96820" w:rsidRDefault="00000000">
      <w:pPr>
        <w:pStyle w:val="Bibliography"/>
      </w:pPr>
      <w:bookmarkStart w:id="93" w:name="ref-verpaelst2007demand"/>
      <w:bookmarkEnd w:id="92"/>
      <w:r>
        <w:rPr>
          <w:vertAlign w:val="superscript"/>
        </w:rPr>
        <w:t>*</w:t>
      </w:r>
      <w:r>
        <w:t xml:space="preserve"> </w:t>
      </w:r>
      <w:proofErr w:type="spellStart"/>
      <w:r>
        <w:t>Verpaelst</w:t>
      </w:r>
      <w:proofErr w:type="spellEnd"/>
      <w:r>
        <w:t xml:space="preserve">, C. C., &amp; Standing, L. G. (2007). Demand characteristics of music affect performance on the </w:t>
      </w:r>
      <w:proofErr w:type="spellStart"/>
      <w:r>
        <w:t>wonderlic</w:t>
      </w:r>
      <w:proofErr w:type="spellEnd"/>
      <w:r>
        <w:t xml:space="preserve"> personnel test of intelligence. </w:t>
      </w:r>
      <w:r>
        <w:rPr>
          <w:i/>
          <w:iCs/>
        </w:rPr>
        <w:t>Perceptual and Motor Skills</w:t>
      </w:r>
      <w:r>
        <w:t xml:space="preserve">, </w:t>
      </w:r>
      <w:r>
        <w:rPr>
          <w:i/>
          <w:iCs/>
        </w:rPr>
        <w:t>104</w:t>
      </w:r>
      <w:r>
        <w:t>(1), 153–154.</w:t>
      </w:r>
    </w:p>
    <w:p w14:paraId="0AAE35F4" w14:textId="77777777" w:rsidR="00C96820" w:rsidRDefault="00000000">
      <w:pPr>
        <w:pStyle w:val="Bibliography"/>
      </w:pPr>
      <w:bookmarkStart w:id="94" w:name="ref-vevea1995general"/>
      <w:bookmarkEnd w:id="93"/>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58588DCF" w14:textId="77777777" w:rsidR="00C96820" w:rsidRDefault="00000000">
      <w:pPr>
        <w:pStyle w:val="Bibliography"/>
      </w:pPr>
      <w:bookmarkStart w:id="95" w:name="ref-R-metafor"/>
      <w:bookmarkEnd w:id="94"/>
      <w:proofErr w:type="spellStart"/>
      <w:r>
        <w:t>Viechtbauer</w:t>
      </w:r>
      <w:proofErr w:type="spellEnd"/>
      <w:r>
        <w:t xml:space="preserve">,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24"/>
      <w:bookmarkEnd w:id="26"/>
      <w:bookmarkEnd w:id="95"/>
    </w:p>
    <w:sectPr w:rsidR="00C96820" w:rsidSect="00084144">
      <w:headerReference w:type="even" r:id="rId16"/>
      <w:headerReference w:type="default" r:id="rId17"/>
      <w:headerReference w:type="first" r:id="rId18"/>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74D1EC" w14:textId="77777777" w:rsidR="007B39B4" w:rsidRDefault="007B39B4">
      <w:pPr>
        <w:spacing w:before="0" w:after="0" w:line="240" w:lineRule="auto"/>
      </w:pPr>
      <w:r>
        <w:separator/>
      </w:r>
    </w:p>
  </w:endnote>
  <w:endnote w:type="continuationSeparator" w:id="0">
    <w:p w14:paraId="006702B1" w14:textId="77777777" w:rsidR="007B39B4" w:rsidRDefault="007B39B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70E1B" w14:textId="77777777" w:rsidR="007B39B4" w:rsidRDefault="007B39B4">
      <w:pPr>
        <w:spacing w:before="0" w:after="0" w:line="240" w:lineRule="auto"/>
      </w:pPr>
      <w:r>
        <w:separator/>
      </w:r>
    </w:p>
  </w:footnote>
  <w:footnote w:type="continuationSeparator" w:id="0">
    <w:p w14:paraId="4212FC0C" w14:textId="77777777" w:rsidR="007B39B4" w:rsidRDefault="007B39B4">
      <w:pPr>
        <w:spacing w:before="0" w:after="0" w:line="240" w:lineRule="auto"/>
      </w:pPr>
      <w:r>
        <w:continuationSeparator/>
      </w:r>
    </w:p>
  </w:footnote>
  <w:footnote w:id="1">
    <w:p w14:paraId="7DBEAFEE" w14:textId="77777777" w:rsidR="00C96820"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we worried participants in these scenarios could not unambiguously infer how the researcher expected their response to change. For example, if participants were told that an independent variable would “impact mood”, it is not clear if participants should infer that the mood will be boosted or dampened.</w:t>
      </w:r>
    </w:p>
  </w:footnote>
  <w:footnote w:id="2">
    <w:p w14:paraId="17703101" w14:textId="77777777" w:rsidR="00C96820"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3">
    <w:p w14:paraId="4614AA49" w14:textId="77777777" w:rsidR="00C96820"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708875CB"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1BDA4B" w14:textId="77777777" w:rsidR="000F6FF2" w:rsidRDefault="000F6FF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7D80FFE3"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E5B1DB" w14:textId="77777777" w:rsidR="000F6FF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33EE9223" w14:textId="77777777" w:rsidR="000F6FF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91F68" w14:textId="77777777" w:rsidR="000F6FF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786701763">
    <w:abstractNumId w:val="13"/>
  </w:num>
  <w:num w:numId="2" w16cid:durableId="1145901165">
    <w:abstractNumId w:val="13"/>
  </w:num>
  <w:num w:numId="3" w16cid:durableId="2147165657">
    <w:abstractNumId w:val="14"/>
  </w:num>
  <w:num w:numId="4" w16cid:durableId="1842814660">
    <w:abstractNumId w:val="1"/>
  </w:num>
  <w:num w:numId="5" w16cid:durableId="1671445585">
    <w:abstractNumId w:val="2"/>
  </w:num>
  <w:num w:numId="6" w16cid:durableId="1791045346">
    <w:abstractNumId w:val="3"/>
  </w:num>
  <w:num w:numId="7" w16cid:durableId="1695034555">
    <w:abstractNumId w:val="4"/>
  </w:num>
  <w:num w:numId="8" w16cid:durableId="2103984866">
    <w:abstractNumId w:val="9"/>
  </w:num>
  <w:num w:numId="9" w16cid:durableId="1358122328">
    <w:abstractNumId w:val="5"/>
  </w:num>
  <w:num w:numId="10" w16cid:durableId="24404043">
    <w:abstractNumId w:val="6"/>
  </w:num>
  <w:num w:numId="11" w16cid:durableId="868569794">
    <w:abstractNumId w:val="7"/>
  </w:num>
  <w:num w:numId="12" w16cid:durableId="1385325606">
    <w:abstractNumId w:val="8"/>
  </w:num>
  <w:num w:numId="13" w16cid:durableId="20398823">
    <w:abstractNumId w:val="10"/>
  </w:num>
  <w:num w:numId="14" w16cid:durableId="1503088817">
    <w:abstractNumId w:val="14"/>
  </w:num>
  <w:num w:numId="15" w16cid:durableId="2109617856">
    <w:abstractNumId w:val="0"/>
  </w:num>
  <w:num w:numId="16" w16cid:durableId="407115613">
    <w:abstractNumId w:val="0"/>
  </w:num>
  <w:num w:numId="17" w16cid:durableId="812604556">
    <w:abstractNumId w:val="11"/>
  </w:num>
  <w:num w:numId="18" w16cid:durableId="1423574097">
    <w:abstractNumId w:val="12"/>
  </w:num>
  <w:num w:numId="19" w16cid:durableId="822312849">
    <w:abstractNumId w:val="11"/>
  </w:num>
  <w:num w:numId="20" w16cid:durableId="2080395546">
    <w:abstractNumId w:val="12"/>
  </w:num>
  <w:num w:numId="21" w16cid:durableId="874846804">
    <w:abstractNumId w:val="11"/>
  </w:num>
  <w:num w:numId="22" w16cid:durableId="2071688482">
    <w:abstractNumId w:val="12"/>
  </w:num>
  <w:num w:numId="23" w16cid:durableId="858012249">
    <w:abstractNumId w:val="11"/>
  </w:num>
  <w:num w:numId="24" w16cid:durableId="568926477">
    <w:abstractNumId w:val="12"/>
  </w:num>
  <w:num w:numId="25" w16cid:durableId="8807034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23C86"/>
    <w:rsid w:val="0008141D"/>
    <w:rsid w:val="00084144"/>
    <w:rsid w:val="000E2567"/>
    <w:rsid w:val="000F6FF2"/>
    <w:rsid w:val="002539D1"/>
    <w:rsid w:val="00260130"/>
    <w:rsid w:val="00313569"/>
    <w:rsid w:val="00352BA1"/>
    <w:rsid w:val="003756FC"/>
    <w:rsid w:val="003D44B0"/>
    <w:rsid w:val="00420BCA"/>
    <w:rsid w:val="00435F1A"/>
    <w:rsid w:val="00472128"/>
    <w:rsid w:val="0048097B"/>
    <w:rsid w:val="00497F42"/>
    <w:rsid w:val="00506818"/>
    <w:rsid w:val="005403C4"/>
    <w:rsid w:val="005A55BB"/>
    <w:rsid w:val="005F1672"/>
    <w:rsid w:val="0063595A"/>
    <w:rsid w:val="006373B0"/>
    <w:rsid w:val="00693388"/>
    <w:rsid w:val="006E6812"/>
    <w:rsid w:val="00765533"/>
    <w:rsid w:val="007B39B4"/>
    <w:rsid w:val="00871062"/>
    <w:rsid w:val="008F587F"/>
    <w:rsid w:val="0094037A"/>
    <w:rsid w:val="009E05DE"/>
    <w:rsid w:val="009E3291"/>
    <w:rsid w:val="00B83FF4"/>
    <w:rsid w:val="00B8596D"/>
    <w:rsid w:val="00BB5854"/>
    <w:rsid w:val="00BE37A6"/>
    <w:rsid w:val="00BF4B6B"/>
    <w:rsid w:val="00C96820"/>
    <w:rsid w:val="00CF1051"/>
    <w:rsid w:val="00E634E8"/>
    <w:rsid w:val="00E753DB"/>
    <w:rsid w:val="00E80FDD"/>
    <w:rsid w:val="00EB1F7E"/>
    <w:rsid w:val="00EB3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DF21"/>
  <w15:docId w15:val="{1E6C24B1-146A-8745-90F7-9F10DCAD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paragraph" w:styleId="Revision">
    <w:name w:val="Revision"/>
    <w:hidden/>
    <w:semiHidden/>
    <w:rsid w:val="00E80FDD"/>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AN.R-project.org/package=weightr" TargetMode="External"/><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s://osf.io/3hkre/?view_only=2dc92af53f194e5eab0d7aecafaf01c2" TargetMode="External"/><Relationship Id="rId12" Type="http://schemas.openxmlformats.org/officeDocument/2006/relationships/hyperlink" Target="https://github.com/crsh/papaja"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R-project.org/"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CRAN.R-project.org/package=PublicationBi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41</Pages>
  <Words>8899</Words>
  <Characters>50729</Characters>
  <Application>Microsoft Office Word</Application>
  <DocSecurity>0</DocSecurity>
  <Lines>422</Lines>
  <Paragraphs>119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of the impact and heterogeneity of explicit demand characteristics</vt:lpstr>
      <vt:lpstr>Distorted estimates of implicit and explicit learning in applications of the process-dissociation procedure to the SRT task</vt:lpstr>
    </vt:vector>
  </TitlesOfParts>
  <Manager/>
  <Company/>
  <LinksUpToDate>false</LinksUpToDate>
  <CharactersWithSpaces>59509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the impact and heterogeneity of explicit demand characteristics</dc:title>
  <dc:creator/>
  <cp:keywords/>
  <cp:lastModifiedBy>Coles, Nicholas A.</cp:lastModifiedBy>
  <cp:revision>12</cp:revision>
  <dcterms:created xsi:type="dcterms:W3CDTF">2025-06-16T05:12:00Z</dcterms:created>
  <dcterms:modified xsi:type="dcterms:W3CDTF">2025-06-16T17:43:00Z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