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ТЕХНИЧЕСКОЕ ЗАДАНИЕ</w:t>
      </w:r>
    </w:p>
    <w:p>
      <w:pPr>
        <w:pStyle w:val="Title"/>
      </w:pPr>
      <w:r>
        <w:t>Конструктор БДДС</w:t>
      </w:r>
    </w:p>
    <w:p>
      <w:pPr>
        <w:pStyle w:val="Subtitle"/>
      </w:pPr>
      <w:r>
        <w:t>Для Афины, работающей на Hermes Agent</w:t>
      </w:r>
    </w:p>
    <w:p>
      <w:r>
        <w:t>Основано на bdds-constructor_staff_breakdown.html. Версия 1.0 от 14.10.2026.</w:t>
      </w:r>
    </w:p>
    <w:p>
      <w:pPr>
        <w:pStyle w:val="Technicaltext"/>
      </w:pPr>
      <w:r>
        <w:t>SHA-256 исходника: 93eb0646f500b2f60e12537e77fe14f167a983d1222feac778f57e41b5bbbbc7</w:t>
      </w:r>
    </w:p>
    <w:p>
      <w:r>
        <w:t>Контракт воспроизведения отделён от исправлений и внешней приёмки БИТ. Налоговые параметры исходника не являются подтверждёнными нормативами.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Назначение и границы продукта</w:t>
      </w:r>
    </w:p>
    <w:p>
      <w:r>
        <w:t>2. Иерархия источников и правила интерпретации</w:t>
      </w:r>
    </w:p>
    <w:p>
      <w:r>
        <w:t>3. Что не входит в задание</w:t>
      </w:r>
    </w:p>
    <w:p>
      <w:r>
        <w:t>4. Результаты работы Афины</w:t>
      </w:r>
    </w:p>
    <w:p>
      <w:r>
        <w:t>5. Интерфейс и навигация</w:t>
      </w:r>
    </w:p>
    <w:p>
      <w:r>
        <w:t>6. Шапка бюджета и период</w:t>
      </w:r>
    </w:p>
    <w:p>
      <w:r>
        <w:t>7. Модель состояния и совместимость</w:t>
      </w:r>
    </w:p>
    <w:p>
      <w:r>
        <w:t>8. Справочник статей</w:t>
      </w:r>
    </w:p>
    <w:p>
      <w:r>
        <w:t>9. Доходы</w:t>
      </w:r>
    </w:p>
    <w:p>
      <w:r>
        <w:t>10. Работы, услуги, платежи и материалы</w:t>
      </w:r>
    </w:p>
    <w:p>
      <w:r>
        <w:t>11. Реестр материалов</w:t>
      </w:r>
    </w:p>
    <w:p>
      <w:r>
        <w:t>12. Налоговый профиль: параметры, а не юридическое заключение</w:t>
      </w:r>
    </w:p>
    <w:p>
      <w:r>
        <w:t>13. Мини-ШР и режимы ФОТ</w:t>
      </w:r>
    </w:p>
    <w:p>
      <w:r>
        <w:t>14. Алгоритм персонала и доли объекта</w:t>
      </w:r>
    </w:p>
    <w:p>
      <w:r>
        <w:t>15. Округление: совместимость и обязательное согласование</w:t>
      </w:r>
    </w:p>
    <w:p>
      <w:r>
        <w:t>16. Расшифровка ШР — обязательная функция</w:t>
      </w:r>
    </w:p>
    <w:p>
      <w:r>
        <w:t>17. Обзор, НДС, реестр и матрица</w:t>
      </w:r>
    </w:p>
    <w:p>
      <w:r>
        <w:t>18. Сохранение и три индикатора</w:t>
      </w:r>
    </w:p>
    <w:p>
      <w:r>
        <w:t>19. Импорт, миграции и черновики</w:t>
      </w:r>
    </w:p>
    <w:p>
      <w:r>
        <w:t>20. Отчётный XLSX и CSV</w:t>
      </w:r>
    </w:p>
    <w:p>
      <w:r>
        <w:t>21. БИТ: структура и незавершённая совместимость</w:t>
      </w:r>
    </w:p>
    <w:p>
      <w:r>
        <w:t>22. Известный блокер БИТ и требуемая диагностика</w:t>
      </w:r>
    </w:p>
    <w:p>
      <w:r>
        <w:t>23. Внутренняя архитектура и безопасность</w:t>
      </w:r>
    </w:p>
    <w:p>
      <w:r>
        <w:t>24. Этапы исполнения для Афины</w:t>
      </w:r>
    </w:p>
    <w:p>
      <w:r>
        <w:t>25. Контрольные примеры и тест-план</w:t>
      </w:r>
    </w:p>
    <w:p>
      <w:r>
        <w:t>26. Критерии завершения и отчёт о готовности</w:t>
      </w:r>
    </w:p>
    <w:p>
      <w:r>
        <w:t>27. Входные материалы и вопросы, требующие решения заказчика</w:t>
      </w:r>
    </w:p>
    <w:p>
      <w:r>
        <w:t>28. Стартовое поручение Афине</w:t>
      </w:r>
    </w:p>
    <w:p>
      <w:r>
        <w:br w:type="page"/>
      </w:r>
    </w:p>
    <w:p>
      <w:pPr>
        <w:pStyle w:val="Heading1"/>
      </w:pPr>
      <w:r>
        <w:t>Техническое задание для Афины (Hermes Agent)</w:t>
      </w:r>
    </w:p>
    <w:p>
      <w:pPr>
        <w:pStyle w:val="Heading2"/>
      </w:pPr>
      <w:r>
        <w:t>Воспроизведение и развитие автономного «Конструктора БДДС»</w:t>
      </w:r>
    </w:p>
    <w:p>
      <w:r>
        <w:t>Версия ТЗ: 1.0. Дата: 14.10.2026.</w:t>
      </w:r>
    </w:p>
    <w:p>
      <w:r>
        <w:t>Заказчик: Андрей. Исполнитель: персональный помощник Афина, работающий в среде Hermes Agent.</w:t>
      </w:r>
    </w:p>
    <w:p>
      <w:r>
        <w:t>Основной источник: bdds-constructor_staff_breakdown.html. Предмет задания — готовый локальный HTML, а не серверная финансовая система.</w:t>
      </w:r>
    </w:p>
    <w:p>
      <w:pPr>
        <w:pStyle w:val="Heading1"/>
      </w:pPr>
      <w:r>
        <w:t>1. Назначение и границы продукта</w:t>
      </w:r>
    </w:p>
    <w:p>
      <w:r>
        <w:t>Создать воспроизводимый аналог переданного конструктора: простая форма подготовки бюджета движения денежных средств объекта для управляющих БЦ/ЖК и инженеров. Руководитель УК должен быстро проверить суммы, состав работ, материалы, ФОТ и расшифровку. БИТ.Финанс остаётся основной бюджетной системой.</w:t>
      </w:r>
    </w:p>
    <w:p>
      <w:r>
        <w:t>Приложение обязано работать одним HTML-файлом локально в современном браузере, без сервера, установки, интернета, CDN, внешних библиотек и отправки данных во внешние сервисы. Исходники разработчика и тесты можно организовать модульно; результат сборки — один автономный HTML. Сервер для разработки не является зависимостью конечного продукта.</w:t>
      </w:r>
    </w:p>
    <w:p>
      <w:r>
        <w:t>Один проект — один бюджет в открытой форме. Основной рабочий формат — JSON; XLSX/CSV — отчёты и загрузочные документы, не рабочая база. Многопользовательское редактирование и авторизация не требуются.</w:t>
      </w:r>
    </w:p>
    <w:p>
      <w:pPr>
        <w:pStyle w:val="Heading1"/>
      </w:pPr>
      <w:r>
        <w:t>2. Иерархия источников и правила интерпретации</w:t>
      </w:r>
    </w:p>
    <w:p>
      <w:r>
        <w:t>Приоритет: явные решения заказчика и это ТЗ → фактический исходный HTML для совместимости → неповреждённая исходная форма БИТ для конкретного документа → автоматизированные тесты → предположения разработчика.</w:t>
      </w:r>
    </w:p>
    <w:p>
      <w:r>
        <w:t>Термины в ТЗ:</w:t>
      </w:r>
    </w:p>
    <w:p>
      <w:pPr>
        <w:pStyle w:val="ListBullet"/>
      </w:pPr>
      <w:r>
        <w:t>«Как есть»: описание существующего поведения, полезное для воспроизведения и сравнения.</w:t>
      </w:r>
    </w:p>
    <w:p>
      <w:pPr>
        <w:pStyle w:val="ListBullet"/>
      </w:pPr>
      <w:r>
        <w:t>«Обязательно»: целевое требование приёмки.</w:t>
      </w:r>
    </w:p>
    <w:p>
      <w:pPr>
        <w:pStyle w:val="ListBullet"/>
      </w:pPr>
      <w:r>
        <w:t>«Известный дефект»: не переносить молча, оформить исправление и показать изменение результатов.</w:t>
      </w:r>
    </w:p>
    <w:p>
      <w:pPr>
        <w:pStyle w:val="ListBullet"/>
      </w:pPr>
      <w:r>
        <w:t>«Внешняя приёмка»: проверка, которую нельзя подтвердить только HTML/Excel-парсером.</w:t>
      </w:r>
    </w:p>
    <w:p>
      <w:r>
        <w:t>Не копировать известные ошибки ради побайтового совпадения. Любое отступление от исходных расчётов зафиксировать до изменения контрольных результатов. Не менять методологию по собственному усмотрению.</w:t>
      </w:r>
    </w:p>
    <w:p>
      <w:r>
        <w:t>Файл содержит 115 статей и 160 деклараций функций; это признаки проверенной версии, а не ограничения будущей внутренней архитектуры. Точная структура, справочник и исходные значения приведены в reference_contract.json.</w:t>
      </w:r>
    </w:p>
    <w:p>
      <w:pPr>
        <w:pStyle w:val="Heading1"/>
      </w:pPr>
      <w:r>
        <w:t>3. Что не входит в задание</w:t>
      </w:r>
    </w:p>
    <w:p>
      <w:r>
        <w:t>Не реализовывать план-факт и межгодовое сравнение: сценарий обсуждён и отложен. Не добавлять универсальный импорт произвольных Excel, полноценный платёжный календарь, авансы/отсрочки, ежедневные графики, рабочие календари, автоматическое распределение КУ, складской учёт, интеграцию с API БИТ или новую обработку 1С.</w:t>
      </w:r>
    </w:p>
    <w:p>
      <w:r>
        <w:t>Не показывать пользователям sourceId и прочие технические поля. Постоянные внутренние ID необходимы для целостности, но не являются реквизитами для заполнения управляющим.</w:t>
      </w:r>
    </w:p>
    <w:p>
      <w:r>
        <w:t>Связанные расходы допуслуг, индивидуальная наценка, автоматический график НДС и подробное подтверждение налоговых профилей — отложенные задачи, не обязательные условия текущего выпуска.</w:t>
      </w:r>
    </w:p>
    <w:p>
      <w:pPr>
        <w:pStyle w:val="Heading1"/>
      </w:pPr>
      <w:r>
        <w:t>4. Результаты работы Афины</w:t>
      </w:r>
    </w:p>
    <w:p>
      <w:r>
        <w:t>1. Автономный bdds-constructor.html с полной функциональностью, без заглушек и фрагментов «вставьте остальной код».</w:t>
      </w:r>
    </w:p>
    <w:p>
      <w:r>
        <w:t>2. Исходники/сборка, если применялась сборка; воспроизводимая команда сборки и краткая README.</w:t>
      </w:r>
    </w:p>
    <w:p>
      <w:r>
        <w:t>3. Описание JSON-схемы и матрица поддерживаемых миграций.</w:t>
      </w:r>
    </w:p>
    <w:p>
      <w:r>
        <w:t>4. Автоматические расчётные и браузерные тесты, тестовые JSON, протокол результатов.</w:t>
      </w:r>
    </w:p>
    <w:p>
      <w:r>
        <w:t>5. Примеры XLSX/CSV, созданные самим приложением.</w:t>
      </w:r>
    </w:p>
    <w:p>
      <w:r>
        <w:t>6. Журнал изменений относительно источника и реестр нерешённых вопросов.</w:t>
      </w:r>
    </w:p>
    <w:p>
      <w:r>
        <w:t>7. Краткая инструкция для управляющего: открыть → заполнить → проверить → сохранить JSON → выгрузить отчёт.</w:t>
      </w:r>
    </w:p>
    <w:p>
      <w:r>
        <w:t>8. Отдельный статус БИТ-адаптера: «структура проверена» не равно «загрузка в БИТ подтверждена».</w:t>
      </w:r>
    </w:p>
    <w:p>
      <w:r>
        <w:t>Если Hermes Agent не имеет нужного инструмента (например, браузера или 1С), Афина явно сообщает об ограничении; не выдумывает успешный тест и не заменяет полноценную проверку поиском названия функции.</w:t>
      </w:r>
    </w:p>
    <w:p>
      <w:pPr>
        <w:pStyle w:val="Heading1"/>
      </w:pPr>
      <w:r>
        <w:t>5. Интерфейс и навигация</w:t>
      </w:r>
    </w:p>
    <w:p>
      <w:r>
        <w:t>Русский интерфейс. Повторить компоновку исходника: тёмная шапка, сетка реквизитов, кнопки операций, три индикатора сохранения, строка вкладок, карточки и прокручиваемые таблицы. Палитра источника: фон #f5f7fa, текст #182430, акцент #1f6feb; допускаются небольшие улучшения читаемости без изменения сценариев.</w:t>
      </w:r>
    </w:p>
    <w:p>
      <w:r>
        <w:t>Девять вкладок:</w:t>
      </w:r>
    </w:p>
    <w:p>
      <w:r>
        <w:t>1. Обзор бюджета — dashboard.</w:t>
      </w:r>
    </w:p>
    <w:p>
      <w:r>
        <w:t>2. Справочники — dictionary.</w:t>
      </w:r>
    </w:p>
    <w:p>
      <w:r>
        <w:t>3. Доходы — incomes.</w:t>
      </w:r>
    </w:p>
    <w:p>
      <w:r>
        <w:t>4. Работы и платежи — expenses.</w:t>
      </w:r>
    </w:p>
    <w:p>
      <w:r>
        <w:t>5. Персонал — staff.</w:t>
      </w:r>
    </w:p>
    <w:p>
      <w:r>
        <w:t>6. Взаиморасчёты по НДС — vat.</w:t>
      </w:r>
    </w:p>
    <w:p>
      <w:r>
        <w:t>7. Реестр материалов — materials.</w:t>
      </w:r>
    </w:p>
    <w:p>
      <w:r>
        <w:t>8. Реестр — registry.</w:t>
      </w:r>
    </w:p>
    <w:p>
      <w:r>
        <w:t>9. БДДС и экспорт — bdds.</w:t>
      </w:r>
    </w:p>
    <w:p>
      <w:r>
        <w:t>Вкладки переключаются без перезагрузки и потери введённых данных. Модальное окно расшифровки — отдельный UI, не десятая вкладка.</w:t>
      </w:r>
    </w:p>
    <w:p>
      <w:r>
        <w:t>На узком экране реквизиты переносятся, широкие таблицы прокручиваются внутри контейнера. Все операции доступны клавиатурой, элементы имеют подписи. Цвет дополняется текстом, а не является единственным способом передачи статуса.</w:t>
      </w:r>
    </w:p>
    <w:p>
      <w:r>
        <w:t>Перечень 58 исходных элементов ввода с DOM ID, обработчиками и вариантами select приведён в reference_contract.json. При перепроектировании DOM не терять ни одного пользовательского поля; при сохранении тестов желательно сохранить ID.</w:t>
      </w:r>
    </w:p>
    <w:p>
      <w:pPr>
        <w:pStyle w:val="Heading1"/>
      </w:pPr>
      <w:r>
        <w:t>6. Шапка бюджета и период</w:t>
      </w:r>
    </w:p>
    <w:p>
      <w:r>
        <w:t>Поля: проект/объект, ЦФО, periodStart, periodEnd, unit (RUB/K), openingBalance (число или null).</w:t>
      </w:r>
    </w:p>
    <w:p>
      <w:r>
        <w:t>Значения источника по умолчанию: проект пустой; ЦФО «Управление коммерческой недвижимостью»; 01.01.2027–31.12.2027; RUB; начальный остаток null.</w:t>
      </w:r>
    </w:p>
    <w:p>
      <w:r>
        <w:t>Поддерживается один календарный год, включая его неполный диапазон месяцев. Проверять валидность ISO-дат, начало ≤ окончание, одинаковый год. При ошибке не создавать ложный годовой итог. Неполный период разрешён для внутреннего анализа и отчётного XLSX; БИТ-выгрузка разрешена только за 01.01–31.12 одного года.</w:t>
      </w:r>
    </w:p>
    <w:p>
      <w:r>
        <w:t>Это месячная, не дневная модель: если начало/конец внутри месяца, в исходнике выбираются затронутые месяцы целиком, без пропорции дням. Обязательно явно подписать это; не внедрять скрытый дневной перерасчёт. При необходимости предложить пользователю границы полных месяцев.</w:t>
      </w:r>
    </w:p>
    <w:p>
      <w:r>
        <w:t>Каждая исходная позиция хранит свои startMonth/endMonth 1–12. Денежный итог = пересечение диапазона позиции с месяцами бюджета. В таблицах различать «Исходные месяцы» и «Итого за период».</w:t>
      </w:r>
    </w:p>
    <w:p>
      <w:r>
        <w:t>Все хранимые и выгружаемые денежные значения — рубли. K влияет только на отображение денежных колонок. Количество, доля %, единицы, МРОТ и налоговые лимиты не делятся на 1000. Расшифровка ШР всегда в рублях.</w:t>
      </w:r>
    </w:p>
    <w:p>
      <w:r>
        <w:t>Начальный остаток = остаток на начало выбранного периода. При null не показывать выдуманный нулевой остаток: накопленные и конечный остатки — прочерк. При числе, в том числе 0, closing = openingBalance + inflow − outflow.</w:t>
      </w:r>
    </w:p>
    <w:p>
      <w:pPr>
        <w:pStyle w:val="Heading1"/>
      </w:pPr>
      <w:r>
        <w:t>7. Модель состояния и совместимость</w:t>
      </w:r>
    </w:p>
    <w:p>
      <w:r>
        <w:t>Текущая схема источника — schemaVersion 6. Исходник декларирует поддержку 3, 4, 5, 6; поддержку ранних версий нельзя заявлять без тестовых файлов и явной миграции.</w:t>
      </w:r>
    </w:p>
    <w:p>
      <w:r>
        <w:t>Верхний объект: schemaVersion, budget, settings, articles[], incomes[], expenses[], staff[]. Реальный начальный объект находится в reference_contract.json, поле initialState.</w:t>
      </w:r>
    </w:p>
    <w:p>
      <w:r>
        <w:t>Article: id, code, name, parentId, direction (in/out/root), isActive, sortOrder, origin, codeStatus.</w:t>
      </w:r>
    </w:p>
    <w:p>
      <w:r>
        <w:t>Income: id, section, articleId, base, tariff, vatRate, startMonth, endMonth, description.</w:t>
      </w:r>
    </w:p>
    <w:p>
      <w:r>
        <w:t>Expense: id, articleId, type, amount, vatRate, startMonth, endMonth, counterparty, contract, description, materialDescription, materialName, materialUnit, materialQty, materialPrice.</w:t>
      </w:r>
    </w:p>
    <w:p>
      <w:r>
        <w:t>Staff: id, position, schedule, units, allocation, netPerUnit, bonusFebPerUnit, bonusAugPerUnit, startMonth, endMonth.</w:t>
      </w:r>
    </w:p>
    <w:p>
      <w:r>
        <w:t>Settings: fotMode, fotMixedConfirmed, staffArticles{salary,bonus,ndfl,contrib}, taxProfile, bitFormCode, bitFormDateTime, bitNegSigns, bitGroupTotals. allowManualFot сохраняется для миграции старых бюджетов, а не как второй независимый режим.</w:t>
      </w:r>
    </w:p>
    <w:p>
      <w:r>
        <w:t>TaxProfile: isMSP, mspType, injuryRate, table[{year,mrot,epvb}], brackets[{upTo,rate}]. Последний upTo=null означает неограниченный верхний диапазон.</w:t>
      </w:r>
    </w:p>
    <w:p>
      <w:r>
        <w:t>ID не менять при редактировании и импорте корректного проекта. Новые ID создавать через crypto.randomUUID с резервным генератором. Проверять дубли и связи.</w:t>
      </w:r>
    </w:p>
    <w:p>
      <w:r>
        <w:t>calc и помесячные трассы не дублировать в рабочем JSON. При открытии пересчитать их из исходных данных. Метаданные последней выгрузки не должны рекурсивно включать сами себя.</w:t>
      </w:r>
    </w:p>
    <w:p>
      <w:r>
        <w:t>Новый schemaVersion вводить только при реальном изменении контракта; обеспечивать миграцию. Не присваивать текущую версию неизвестному файлу до проверки.</w:t>
      </w:r>
    </w:p>
    <w:p>
      <w:pPr>
        <w:pStyle w:val="Heading1"/>
      </w:pPr>
      <w:r>
        <w:t>8. Справочник статей</w:t>
      </w:r>
    </w:p>
    <w:p>
      <w:r>
        <w:t>Воспроизвести полный исходный справочник из reference_contract.json, initialState.articles. Коды хранить строками. Не восстанавливать названия по памяти и не заменять сокращения произвольно.</w:t>
      </w:r>
    </w:p>
    <w:p>
      <w:r>
        <w:t>Группы — узлы с детьми, листовые статьи — без детей. Прямой ввод разрешён только на допустимые листья. Групповые суммы — сумма собственного и дочерних потоков по правилам исходника; собственный ввод в группу не допускается.</w:t>
      </w:r>
    </w:p>
    <w:p>
      <w:r>
        <w:t>Операции: создание, редактирование, удаление, активация/деактивация. При редактировании ID сохраняется. Запретить самородительство, циклы любой длины и ссылку на отсутствующего родителя. Все обходы должны быть защищены от циклов, включая импортируемое дерево.</w:t>
      </w:r>
    </w:p>
    <w:p>
      <w:r>
        <w:t>Удаление запрещено при дочерних статьях, ссылках из доходов/расходов и назначении в персонале. При деактивации используемой статьи запросить подтверждение; связанные позиции не должны продолжать считаться незаметно.</w:t>
      </w:r>
    </w:p>
    <w:p>
      <w:r>
        <w:t>Коды должны быть уникальны. Используемая статья без кода — ошибка, неиспользуемая без кода — предупреждение. Пользовательские статьи допустимы во внутреннем бюджете, но ненулевые суммы вне поддерживаемого шаблона БИТ блокируют БИТ-выгрузку, а не молча теряются.</w:t>
      </w:r>
    </w:p>
    <w:p>
      <w:pPr>
        <w:pStyle w:val="Heading1"/>
      </w:pPr>
      <w:r>
        <w:t>9. Доходы</w:t>
      </w:r>
    </w:p>
    <w:p>
      <w:r>
        <w:t>Разделы и области выбора: exploitation → 701.100; utilities → 701.300; additional → 701.200; capex → 701.400. Выбор ограничивается активными листовыми статьями соответствующего поддерева. Дополнительно контролировать направление in, в том числе после правок справочника.</w:t>
      </w:r>
    </w:p>
    <w:p>
      <w:r>
        <w:t>Поля: раздел, статья, база, месячный тариф без НДС, ставка НДС, начало/окончание месяцев, описание услуги.</w:t>
      </w:r>
    </w:p>
    <w:p>
      <w:r>
        <w:t>Ставки в исходнике: 22, 10, 7, 5, none («Без НДС»). Это допустимые параметры приложения, не заключение о применимости к конкретной операции.</w:t>
      </w:r>
    </w:p>
    <w:p>
      <w:r>
        <w:t>Формулы: net = round2(base × tariff); vat = round2(net × rate/100), при none — 0; gross = round2(net + vat). На каждый месяц пересечения создать положительный денежный поток gross.</w:t>
      </w:r>
    </w:p>
    <w:p>
      <w:r>
        <w:t>База и тариф конечные, неотрицательные. Нулевые значения разрешены. Отрицательные и нечисловые — ошибка. «Пустое» нельзя бесконтрольно превращать в корректный ноль; политика обязательных полей должна быть явной.</w:t>
      </w:r>
    </w:p>
    <w:p>
      <w:r>
        <w:t>CRUD: сохранить новую, изменить с тем же ID, удалить с подтверждением, сбросить форму. Повторный пересчёт не создаёт дублей. При редактировании восстанавливаются все поля, включая НДС и месяцы.</w:t>
      </w:r>
    </w:p>
    <w:p>
      <w:r>
        <w:t>Автоматические расходы КУ не создавать. Автоматическую наценку допуслуг в этом релизе не добавлять.</w:t>
      </w:r>
    </w:p>
    <w:p>
      <w:pPr>
        <w:pStyle w:val="Heading1"/>
      </w:pPr>
      <w:r>
        <w:t>10. Работы, услуги, платежи и материалы</w:t>
      </w:r>
    </w:p>
    <w:p>
      <w:r>
        <w:t>Типы: service «Работа / услуга»; material «Материал / закупка»; payment «Платёж / прочее». По умолчанию service.</w:t>
      </w:r>
    </w:p>
    <w:p>
      <w:r>
        <w:t>Основные поля: статья выплаты, полная сумма с НДС в месяц, ставка НДС, месяцы, контрагент, договор, комментарий, описание материала до 2000 символов.</w:t>
      </w:r>
    </w:p>
    <w:p>
      <w:r>
        <w:t>Материальные поля: обязательная номенклатура; необязательные единица, количество и цена. Ручная итоговая сумма остаётся главным денежным параметром. Если количество × цена отличается от суммы больше чем на 0,01 руб., выдавать предупреждение, а не молча менять сумму.</w:t>
      </w:r>
    </w:p>
    <w:p>
      <w:r>
        <w:t>Формулы: gross = round2(amount); vat = round2(gross × rate/(100+rate)); net = round2(gross−vat). При none vat=0. Денежный поток = −gross за каждый месяц внутри бюджета.</w:t>
      </w:r>
    </w:p>
    <w:p>
      <w:r>
        <w:t>Даже если название вкладки «Работы и платежи», ежедневных актов/дат оплаты в текущей модели нет: это повторяющаяся месячная сумма. Разовая закупка задаётся одинаковыми месяцами начала и окончания. Не умножать количество материала на сумму повторно.</w:t>
      </w:r>
    </w:p>
    <w:p>
      <w:r>
        <w:t>Материал и услуга одной статьи — разные исходные записи, нельзя объединять при сохранении. В итоговой матрице они суммируются по статье.</w:t>
      </w:r>
    </w:p>
    <w:p>
      <w:r>
        <w:t>Проверять неотрицательные конечные суммы/количества/цены, месяцы, активную листовую статью direction=out, существующие связи. Неизвестный тип/ставка не должны проходить как неявное значение по умолчанию.</w:t>
      </w:r>
    </w:p>
    <w:p>
      <w:r>
        <w:t>Не обрезать описание незаметно: использовать ограничение ввода/счётчик либо понятное предупреждение. Существующее содержимое JSON не терять при редактировании.</w:t>
      </w:r>
    </w:p>
    <w:p>
      <w:pPr>
        <w:pStyle w:val="Heading1"/>
      </w:pPr>
      <w:r>
        <w:t>11. Реестр материалов</w:t>
      </w:r>
    </w:p>
    <w:p>
      <w:r>
        <w:t>Отдельная вкладка и общий источник данных для HTML, CSV и листа XLSX. Брать корректные рассчитанные материальные позиции и раскрывать по каждому месяцу пересечения, не по всему исходному диапазону.</w:t>
      </w:r>
    </w:p>
    <w:p>
      <w:r>
        <w:t>Колонки в порядке источника: месяц; статья; код; номенклатура; единица; количество; цена; сумма с НДС; НДС; сумма без НДС; ставка; контрагент; договор; описание материала; комментарий.</w:t>
      </w:r>
    </w:p>
    <w:p>
      <w:r>
        <w:t>Повтор одной номенклатуры в нескольких месяцах допустим. Количество в каждой строке трактуется как количество данной месячной закупки, а не как годовой итог; подписать это для диапазонных закупок.</w:t>
      </w:r>
    </w:p>
    <w:p>
      <w:r>
        <w:t>CSV: UTF-8 BOM, разделитель «;», CRLF, поля в кавычках, внутренние кавычки удваиваются. Не позволять пользовательским комментариям исполняться как Excel-формулы при открытии CSV; применять безопасное представление текстовых полей.</w:t>
      </w:r>
    </w:p>
    <w:p>
      <w:r>
        <w:t>Для MVP достаточно детального выгружаемого реестра; браузерные сводные таблицы и складские движения не обязательны.</w:t>
      </w:r>
    </w:p>
    <w:p>
      <w:pPr>
        <w:pStyle w:val="Heading1"/>
      </w:pPr>
      <w:r>
        <w:t>12. Налоговый профиль: параметры, а не юридическое заключение</w:t>
      </w:r>
    </w:p>
    <w:p>
      <w:r>
        <w:t>Показывать редактируемый профиль: общий/МСП, вид МСП, травматизм, таблица годов, шкала НДФЛ, назначение статей.</w:t>
      </w:r>
    </w:p>
    <w:p>
      <w:r>
        <w:t>В исходнике по умолчанию для 2026 и 2027: mrot=27093, epvb=2979000; injuryRate=0.2; isMSP=false. Это наследуемые технические значения, не подтверждённые нормативы 2027 года. Не выдавать их за актуальные обязательные нормы. Изменение значения в UI должно пересчитывать бюджет без изменения HTML и сохраняться в JSON.</w:t>
      </w:r>
    </w:p>
    <w:p>
      <w:r>
        <w:t>МРОТ 28935 обсуждался заказчиком как значение для планирования; автоматически не подменять сохранённые профили. Актуализацию параметров и изменение исходных дефолтов согласовать отдельно.</w:t>
      </w:r>
    </w:p>
    <w:p>
      <w:r>
        <w:t>Для года бюджета сначала искать ровно одну точную строку; дубли годов — ошибка. Если точной нет, исходник использует последний предшествующий год, затем первый доступный/дефолт; показывать использованный год и предупреждение. Не выдавать fallback за подтверждённый параметр.</w:t>
      </w:r>
    </w:p>
    <w:p>
      <w:r>
        <w:t>Шкала источника: 13% до 2400000; 15% до 5000000; 18% до 20000000; 20% до 50000000; 22% выше. Верхние пределы строго возрастают, последняя ступень открытая, ставки 0≤rate&lt;100. Не нормализовать повреждённую шкалу незаметным удалением строк.</w:t>
      </w:r>
    </w:p>
    <w:p>
      <w:r>
        <w:t>Режим взносов источника: general — 30% до годовой ЕПВБ на одну единицу и 15,1% сверх; msp — 30% до 1,5 МРОТ в месяц, 15% сверх; msp_manufacturing — 30% до 1,5 МРОТ, 7,6% сверх. Это контракт воспроизведения управленческой модели, не универсальный налоговый движок. Отдельную юридическую верификацию этих режимов не считать выполненной.</w:t>
      </w:r>
    </w:p>
    <w:p>
      <w:r>
        <w:t>Травматизм = полный gross × injuryRate/100, без ограничения ЕПВБ. Вне 0–8,5% — сообщение проверки; отрицательное/нечисловое не включать в расчёт.</w:t>
      </w:r>
    </w:p>
    <w:p>
      <w:pPr>
        <w:pStyle w:val="Heading1"/>
      </w:pPr>
      <w:r>
        <w:t>13. Мини-ШР и режимы ФОТ</w:t>
      </w:r>
    </w:p>
    <w:p>
      <w:r>
        <w:t>Поля: должность; график 5/2, 2/2, 1/3, 1/2, 6/1, иной; units; allocation%; полная netPerUnit; премия февраль на единицу; премия август на единицу; месяцы работы.</w:t>
      </w:r>
    </w:p>
    <w:p>
      <w:r>
        <w:t>График — аналитический текст, не рабочий календарь и не множитель зарплаты. Единицы могут быть дробными; доля 0–100%. Прогрессивная база рассчитывается на одну условную единицу, а не на сумму разных людей.</w:t>
      </w:r>
    </w:p>
    <w:p>
      <w:r>
        <w:t>Три режима: staff_only (по умолчанию), manual_only, mixed. В первом ручные ФОТ-расходы 702.0101–702.0105 не участвуют; во втором мини-ШР не участвует; в mixed оба источника разрешены только после явного подтверждения контроля задвоения. Неподтверждённый mixed — ошибка независимо от наличия ручных строк.</w:t>
      </w:r>
    </w:p>
    <w:p>
      <w:r>
        <w:t>Не удалять исключённые режимом записи. Показывать причину невключения. На обзоре отдельно мини-ШР, ручной ФОТ, сумма за период.</w:t>
      </w:r>
    </w:p>
    <w:p>
      <w:r>
        <w:t>Назначение статей: salary=702.0101; bonus=702.0102; ndfl=702.0103; contrib=702.0104 по умолчанию. Пользователь может переназначить на активный лист выплаты. Изменение действует на все строки. Некорректное назначение блокирует расчёт персонала и финальные выгрузки.</w:t>
      </w:r>
    </w:p>
    <w:p>
      <w:r>
        <w:t>Премии февраля/августа — согласованные отдельные выплаты: не входят в базу НДФЛ, страховых взносов и травматизма и не увеличивают накопленные базы. Они масштабируются на единицы и долю. Не исправлять это правило по собственной инициативе; отдельно обозначать как управленческую настройку.</w:t>
      </w:r>
    </w:p>
    <w:p>
      <w:pPr>
        <w:pStyle w:val="Heading1"/>
      </w:pPr>
      <w:r>
        <w:t>14. Алгоритм персонала и доли объекта</w:t>
      </w:r>
    </w:p>
    <w:p>
      <w:r>
        <w:t>Поле netPerUnit означает полную зарплату одной единицы на руки по компании. Полная налоговая база не уменьшается на долю объекта.</w:t>
      </w:r>
    </w:p>
    <w:p>
      <w:r>
        <w:t>В каждом месяце работы одной единицы:</w:t>
      </w:r>
    </w:p>
    <w:p>
      <w:r>
        <w:t>1. Получить fullNet = netPerUnit.</w:t>
      </w:r>
    </w:p>
    <w:p>
      <w:r>
        <w:t>2. Восстановить fullGross из fullNet по прогрессивной шкале с fullGrossYtd до данного месяца.</w:t>
      </w:r>
    </w:p>
    <w:p>
      <w:r>
        <w:t>3. fullNdfl = fullGross − fullNet; взносы и травматизм считать с fullGross и полной накопленной базы одной единицы.</w:t>
      </w:r>
    </w:p>
    <w:p>
      <w:r>
        <w:t>4. Выбрать премию февраля/августа, не включая её в облагаемую базу.</w:t>
      </w:r>
    </w:p>
    <w:p>
      <w:r>
        <w:t>5. Увеличить полные накопленные базы на fullGross независимо от принадлежности месяца горизонту бюджета.</w:t>
      </w:r>
    </w:p>
    <w:p>
      <w:r>
        <w:t>6. Применить factor = units × allocation/100 только к готовым денежным результатам.</w:t>
      </w:r>
    </w:p>
    <w:p>
      <w:r>
        <w:t>7. В бюджет/annual включить только месяцы пересечения с периодом. Остальные рассчитанные полные месяцы нужны для базы и пояснения.</w:t>
      </w:r>
    </w:p>
    <w:p>
      <w:r>
        <w:t>Нельзя сначала умножить net на 50%, затем искать ступень налога; нельзя объединить доход двух работников в одну шкалу; нельзя начислить 15% на всю зарплату месяца только потому, что порог пересечён внутри него.</w:t>
      </w:r>
    </w:p>
    <w:p>
      <w:r>
        <w:t>Gross-up: идти по ступеням, пропускать уже пройденные пределы без уменьшения позиции накопленного дохода. Для каждой ступени grossCapacity = upper−position; netCapacity = grossCapacity×(1−rate). Последовательно распределять net по доступным ступеням. Внутри месяца пересечения часть gross относится к нижней, часть к следующей ставке.</w:t>
      </w:r>
    </w:p>
    <w:p>
      <w:r>
        <w:t>Начальные базы в источнике равны нулю на начало указанного периода работы строки. Источник не знает облагаемых доходов вне строки и не различает дату найма в УК и начало участия в объекте. Не выдумывать недостающие доходы. Добавление отдельных периодов или входных баз — только отдельным согласованным изменением.</w:t>
      </w:r>
    </w:p>
    <w:p>
      <w:pPr>
        <w:pStyle w:val="Heading1"/>
      </w:pPr>
      <w:r>
        <w:t>15. Округление: совместимость и обязательное согласование</w:t>
      </w:r>
    </w:p>
    <w:p>
      <w:r>
        <w:t>Как есть: round2 реализован через Math.round((Number(n)+Number.EPSILON)×100)/100. Это управленческий расчёт в копейках, не бухгалтерский расчёт удержанного НДФЛ по полным рублям.</w:t>
      </w:r>
    </w:p>
    <w:p>
      <w:r>
        <w:t>Известный дефект №1: factor в источнике округляется до двух знаков до умножения. При доле 33,33% он превращается в 0,33. В целевой корректной модели не округлять промежуточный factor, округлять денежные суммы.</w:t>
      </w:r>
    </w:p>
    <w:p>
      <w:r>
        <w:t>Известный дефект №2: gross, net, ndfl, insurance, injury и contributions округляются независимо. Показанная колонка СВ вычисляется как annual.contributions−annual.injury и может не совпасть с отдельно накопленным annual.insurance.</w:t>
      </w:r>
    </w:p>
    <w:p>
      <w:r>
        <w:t>Обязательно принять явную политику: net и ndfl распределяются и округляются; gross объекта = net+ndfl; insurance и injury распределяются отдельно; contributions = insurance+injury; total = gross+contributions+bonus. Это устраняет копеечное рассогласование и изменит часть исторических итогов. Перед переключением представить заказчику таблицу «было/стало», не менять старые JSON молча.</w:t>
      </w:r>
    </w:p>
    <w:p>
      <w:r>
        <w:t>Регрессионные fixtures в reference_contract.json фиксируют поведение исходника, включая расхождения. Они служат доказательством исходной версии, а не требованием воспроизвести дефект. Для режима исправлений создать отдельные ожидаемые результаты.</w:t>
      </w:r>
    </w:p>
    <w:p>
      <w:r>
        <w:t>Не называть копеечный gross-up точным налоговым удержанием по НК РФ. Рублёвое округление НДФЛ и расчёт по датам фактических выплат — отдельное изменение методологии, не внедрять скрыто.</w:t>
      </w:r>
    </w:p>
    <w:p>
      <w:pPr>
        <w:pStyle w:val="Heading1"/>
      </w:pPr>
      <w:r>
        <w:t>16. Расшифровка ШР — обязательная функция</w:t>
      </w:r>
    </w:p>
    <w:p>
      <w:r>
        <w:t>В каждой рассчитанной строке мини-ШР кнопка «Расшифровка» рядом с изменением и удалением. Она связана с ID строки, не с её порядковым номером или названием. Нерассчитанная строка не показывает ложную детализацию.</w:t>
      </w:r>
    </w:p>
    <w:p>
      <w:r>
        <w:t>Открывается модальное окно с заголовком должности, количеством единиц, долей, периодом бюджета. Закрытие кнопкой и Escape; прокрутка таблицы; управление фокусом без потери исходной формы.</w:t>
      </w:r>
    </w:p>
    <w:p>
      <w:r>
        <w:t>Всегда 12 месячных строк + итог. Колонки:</w:t>
      </w:r>
    </w:p>
    <w:p>
      <w:r>
        <w:t>1. Месяц.</w:t>
      </w:r>
    </w:p>
    <w:p>
      <w:r>
        <w:t>2. Полная ЗП на руки / ед.</w:t>
      </w:r>
    </w:p>
    <w:p>
      <w:r>
        <w:t>3. Полный gross / ед.</w:t>
      </w:r>
    </w:p>
    <w:p>
      <w:r>
        <w:t>4. Полный НДФЛ / ед.</w:t>
      </w:r>
    </w:p>
    <w:p>
      <w:r>
        <w:t>5. Полный gross накопительно / ед.</w:t>
      </w:r>
    </w:p>
    <w:p>
      <w:r>
        <w:t>6. ЗП на руки объекта.</w:t>
      </w:r>
    </w:p>
    <w:p>
      <w:r>
        <w:t>7. Gross объекта.</w:t>
      </w:r>
    </w:p>
    <w:p>
      <w:r>
        <w:t>8. НДФЛ объекта.</w:t>
      </w:r>
    </w:p>
    <w:p>
      <w:r>
        <w:t>9. СВ объекта без травматизма.</w:t>
      </w:r>
    </w:p>
    <w:p>
      <w:r>
        <w:t>10. Травматизм объекта.</w:t>
      </w:r>
    </w:p>
    <w:p>
      <w:r>
        <w:t>11. Премии объекта.</w:t>
      </w:r>
    </w:p>
    <w:p>
      <w:r>
        <w:t>12. Итого объекта.</w:t>
      </w:r>
    </w:p>
    <w:p>
      <w:r>
        <w:t>Полные колонки — для одной условной единицы; объектные — умножены на units и allocation. Все суммы в рублях с двумя знаками. Месяц вне работы строки — пояснение «доход не моделируется», не придуманная база. Месяц внутри работы, но вне бюджета — полная база видна, объектные суммы нулевые. Итог накопленной базы не суммировать по месяцам; объектные итоги совпадают с ШР и реестром.</w:t>
      </w:r>
    </w:p>
    <w:p>
      <w:r>
        <w:t>Использовать monthlyTrace, полученную в том же расчётном цикле, не независимый пересчёт с другой логикой в UI. Изменение строки обновляет расшифровку; она не должна хранить устаревшую копию. После удаления связь не остаётся.</w:t>
      </w:r>
    </w:p>
    <w:p>
      <w:r>
        <w:t>Подсказка: доля применяется после полного расчёта; премии вне налоговых баз; данные других выплат и реальные даты в этой модели отсутствуют.</w:t>
      </w:r>
    </w:p>
    <w:p>
      <w:pPr>
        <w:pStyle w:val="Heading1"/>
      </w:pPr>
      <w:r>
        <w:t>17. Обзор, НДС, реестр и матрица</w:t>
      </w:r>
    </w:p>
    <w:p>
      <w:r>
        <w:t>Dashboard: поступления; выплаты; ЧДП; начальный/конечный остаток; пиковый месяц выплат; расчётный НДС; ошибки; предупреждения; черновики. Месячная таблица: поступления, выплаты, ЧДП, накопленный остаток. Вне периода — явная отметка/пустое представление, не включать в итог. Таблица сообщений и раздельный ФОТ.</w:t>
      </w:r>
    </w:p>
    <w:p>
      <w:r>
        <w:t>Расчётный НДС = выходной НДС доходов − входной НДС расходов, по месяцам и году. Разбивка входного по 22/10/7/5. «Без НДС» не попадает в ставки. Показатель не является автоматическим денежным платежом и не доказывает право на вычет/возмещение. Подписать ограничение. Ручную налоговую выплату можно вводить отдельно, без автоматического повторного НДС с самого налога.</w:t>
      </w:r>
    </w:p>
    <w:p>
      <w:r>
        <w:t>Реестр: месяц, направление, статья, источник (Доход/Расход/Персонал), описание, сумма со знаком. По каждому пересчёту строится заново; не накапливать историю как новые платежи.</w:t>
      </w:r>
    </w:p>
    <w:p>
      <w:r>
        <w:t>Матрица БДДС: код, название с отступом иерархии, 12 месяцев, итог. Поступления положительные, выплаты отрицательные. Группы для просмотра суммируются, но суммирование всех отображаемых строк для общего итога запрещено: это задвоит родителей и листья.</w:t>
      </w:r>
    </w:p>
    <w:p>
      <w:r>
        <w:t>Инварианты: inflow = сумма положительных событий; outflow = модуль суммы отрицательных; net=inflow−outflow. По каждой статье/месяцу реестр совпадает с матрицей. Сумма месячных итогов совпадает с годовым/периодным итогом.</w:t>
      </w:r>
    </w:p>
    <w:p>
      <w:pPr>
        <w:pStyle w:val="Heading1"/>
      </w:pPr>
      <w:r>
        <w:t>18. Сохранение и три индикатора</w:t>
      </w:r>
    </w:p>
    <w:p>
      <w:r>
        <w:t>Кнопки: Новый бюджет; Открыть проект JSON; Сохранить проект JSON; Сохранить копию с датой; Восстановить из браузера; Проверить.</w:t>
      </w:r>
    </w:p>
    <w:p>
      <w:r>
        <w:t>Обе кнопки сохранения выгружают одинаковый полный state в JSON, отличаются именем. Обычная: safeProject.json. Архивная: safeProject_копия_timestamp.json. Источник использует UTC timestamp для имени копии; для понятности допускается согласованный переход на локальное время, без заявления о перезаписи открытого файла.</w:t>
      </w:r>
    </w:p>
    <w:p>
      <w:r>
        <w:t>Обычный download не подтверждает запись на диск: статус «Выгрузка запущена», имя и время, а не гарантированное «файл сохранён». Не обращаться к произвольным путям пользователя.</w:t>
      </w:r>
    </w:p>
    <w:p>
      <w:r>
        <w:t>Три независимых индикатора с видимой точкой ss-dot:</w:t>
      </w:r>
    </w:p>
    <w:p>
      <w:pPr>
        <w:pStyle w:val="ListBullet"/>
      </w:pPr>
      <w:r>
        <w:t>Сессия: зелёный — нет новых изменений; жёлтый — требуется выгрузка JSON.</w:t>
      </w:r>
    </w:p>
    <w:p>
      <w:pPr>
        <w:pStyle w:val="ListBullet"/>
      </w:pPr>
      <w:r>
        <w:t>Браузер: зелёный — копия обновлена с временем; жёлтый — копии нет; красный — сбой хранения, предложение сохранить JSON.</w:t>
      </w:r>
    </w:p>
    <w:p>
      <w:pPr>
        <w:pStyle w:val="ListBullet"/>
      </w:pPr>
      <w:r>
        <w:t>Файл: зелёный — открытая/выгруженная версия соответствует state; жёлтый — нет файла, состояние изменилось или выполнена миграция.</w:t>
      </w:r>
    </w:p>
    <w:p>
      <w:r>
        <w:t>DOM панели — saveStatusPanel; точки должны быть реальными элементами, а не только CSS-классами контейнера. В тексте отображать актуальность; не полагаться только на цвет.</w:t>
      </w:r>
    </w:p>
    <w:p>
      <w:r>
        <w:t>Сравнение с fileSnapshot выполняется по стабильному представлению исходного state; производные calc не входят в сравнение. Восстановление браузера сохраняет dirty, имя и время, не объявляет всё актуальным автоматически.</w:t>
      </w:r>
    </w:p>
    <w:p>
      <w:r>
        <w:t>Ключи источника: bddsConstructorV6, bddsConstructorV6LastFile, bddsConstructorV6LastBrowser; fallback чтения bddsConstructorV5. При смене ключей реализовать перенос. Мета: name, at, snapshot, status, dirty.</w:t>
      </w:r>
    </w:p>
    <w:p>
      <w:r>
        <w:t>localStorage — страховочная копия, JSON — основной файл. Ошибки записи и квоты не игнорировать. Повреждённую копию не перезаписывать пустым бюджетом автоматически; дать возможность получить исходное содержимое для восстановления. Перед заменой несохранённой работы и уходом со страницы — предупреждение.</w:t>
      </w:r>
    </w:p>
    <w:p>
      <w:pPr>
        <w:pStyle w:val="Heading1"/>
      </w:pPr>
      <w:r>
        <w:t>19. Импорт, миграции и черновики</w:t>
      </w:r>
    </w:p>
    <w:p>
      <w:r>
        <w:t>Алгоритм: прочитать → JSON.parse → проверить версию и структуру → глубокая копия → поддерживаемая миграция → изолированный previewCompute → показать отчёт → подтверждение → applyProject → обновить браузерную копию и метаданные.</w:t>
      </w:r>
    </w:p>
    <w:p>
      <w:r>
        <w:t>previewCompute обязан восстановить прежние state/calc в finally даже при исключении. applyProject обеспечивает откат при ошибке применения/отрисовки. Нельзя менять current state или localStorage на этапе анализа кандидата.</w:t>
      </w:r>
    </w:p>
    <w:p>
      <w:r>
        <w:t>Структурные ошибки (неизвестная версия, не-массивы, дубли/отсутствующие ID, неверные типы, небезопасная иерархия) — отказ. Проблемы редактируемого содержимого (например, отрицательная сумма, невыбранная допустимая статья) — отчёт и возможность открыть как черновик для исправления, без финального экспорта. Не позволять «черновику» обойти защиту от циклов и повреждённой структуры.</w:t>
      </w:r>
    </w:p>
    <w:p>
      <w:r>
        <w:t>Поддержку версий 3/4 подтвердить реальными fixtures; иначе явно не заявлять. Версии 5/6 проверять обязательно.</w:t>
      </w:r>
    </w:p>
    <w:p>
      <w:r>
        <w:t>Миграция allowManualFot=true и отсутствие fotMode: без строк ШР → manual_only; со строками ШР → mixed, запросить подтверждение обоих источников до применения. Отмена полностью сохраняет прежнюю работу. После миграции dirty=true, требуется новый JSON.</w:t>
      </w:r>
    </w:p>
    <w:p>
      <w:r>
        <w:t>Открытие обычного JSON устанавливает имя открытого файла, а не имя предыдущей выгрузки. Браузерное восстановление допускает безопасные черновики, показывает ошибки для исправления. Экспорт с ошибками запрещён, сохранение JSON черновика разрешено.</w:t>
      </w:r>
    </w:p>
    <w:p>
      <w:pPr>
        <w:pStyle w:val="Heading1"/>
      </w:pPr>
      <w:r>
        <w:t>20. Отчётный XLSX и CSV</w:t>
      </w:r>
    </w:p>
    <w:p>
      <w:r>
        <w:t>Отчёт объекта — отдельная книга с восемью листами: Объект, Доходы, Расходы, Персонал, НДС, БДДС, Проверки, Материалы.</w:t>
      </w:r>
    </w:p>
    <w:p>
      <w:r>
        <w:t>Объект: реквизиты, период, исходные единицы отображения, явное уточнение «денежные суммы файла в рублях», остатки, потоки, НДС, режим/параметры налогов, использованный год и источник, назначения статей персонала, дата формирования.</w:t>
      </w:r>
    </w:p>
    <w:p>
      <w:r>
        <w:t>Доходы: раздел, статья, код, база, тариф, ставка, исходные месяцы, gross/НДС за месяц, итог за период, описание.</w:t>
      </w:r>
    </w:p>
    <w:p>
      <w:r>
        <w:t>Расходы: тип, статья, код, номенклатура, единица, количество, цена, контрагент, договор, ставка, gross/НДС/net за месяц, исходные месяцы, итог за период, описание материала и комментарий.</w:t>
      </w:r>
    </w:p>
    <w:p>
      <w:r>
        <w:t>Персонал: должность, график, единицы, доля, полная зарплата net/ед., gross/net/НДФЛ/СВ/травматизм/премии/итог за период. СВ отображать без повторного травматизма.</w:t>
      </w:r>
    </w:p>
    <w:p>
      <w:r>
        <w:t>НДС и БДДС — 12 месячных колонок, итог; за пределами периода суммы не включаются. Проверки — статусы и сообщения. Материалы — точный materialRows как в CSV/HTML.</w:t>
      </w:r>
    </w:p>
    <w:p>
      <w:r>
        <w:t>В XLSX числа хранить числами, коды — текстом; пользовательский текст — строкой, не формулой. Денежный формат #,##0.00. Совместимый OOXML; недопустим patternType=gray123, использовать допустимые стили. Проверка ZIP/CRC и чтение библиотекой не заменяют открытие в Excel.</w:t>
      </w:r>
    </w:p>
    <w:p>
      <w:r>
        <w:t>Экспорт XLSX/CSV при ошибках блокируется. Предупреждения видны, не объявляются отсутствующими; для БИТ подтверждаются. JSON черновика сохраняется независимо от расчётных ошибок.</w:t>
      </w:r>
    </w:p>
    <w:p>
      <w:r>
        <w:t>Расшифровка ШР в источнике — окно; отдельный экспорт этой расшифровки не обязателен.</w:t>
      </w:r>
    </w:p>
    <w:p>
      <w:pPr>
        <w:pStyle w:val="Heading1"/>
      </w:pPr>
      <w:r>
        <w:t>21. БИТ: структура и незавершённая совместимость</w:t>
      </w:r>
    </w:p>
    <w:p>
      <w:r>
        <w:t>Это критичный контракт, не произвольный Excel с похожими колонками. В исходнике встроены исходные части XLSX в EMBEDDED_BIT_TEMPLATE и точные строки EXACT_BIT_ROWS. Не генерировать заново упрощённую книгу через общий makeXlsx вместо шаблона.</w:t>
      </w:r>
    </w:p>
    <w:p>
      <w:r>
        <w:t>Фактическая встроенная форма: листы «Данные бюджета» и «Лист1»; A1 пустая; A2 служебный заголовок; строка 3 пустая; A4 «Кодификатор», B4 «Статья оборотов», C4:N4 месяцы, O4 «Итого»; статьи 5–119; 115 строк статей. Это факты данного файла, не универсальное число строк БИТ.</w:t>
      </w:r>
    </w:p>
    <w:p>
      <w:r>
        <w:t>Служебный заголовок: «Форма ввода бюджета {bitFormCode} от {bitFormDateTime} Выгружено: {текущая дата}».</w:t>
      </w:r>
    </w:p>
    <w:p>
      <w:r>
        <w:t>bitFormCode — исходный идентификатор формы, формат текущей валидации 00-000XXX (три цифры). bitFormDateTime — исходная дата/время создания формы, ДД.ММ.ГГГГ ЧЧ:ММ:СС. Оба вводятся отдельно и сохраняются в JSON. Нельзя заменять их названием проекта, текущим временем или фиктивным 00-000111. Поля не являются дополнительными колонками бюджета.</w:t>
      </w:r>
    </w:p>
    <w:p>
      <w:r>
        <w:t>Дата после «Выгружено» текущая, формируется жёстко с ведущими нулями, без locale-зависимой маски. Исходную дату проверять календарно, сохранять без подмены.</w:t>
      </w:r>
    </w:p>
    <w:p>
      <w:r>
        <w:t>Порядок/названия/коды/нулевые строки берутся из точного шаблона, не из пользовательского активного дерева. Расходы по умолчанию отрицательные; bitNegSigns=false — суммы по модулю. bitGroupTotals меняет только числовые значения существующих групповых ячеек, не состав и порядок строк.</w:t>
      </w:r>
    </w:p>
    <w:p>
      <w:r>
        <w:t>Сохранять имена ячеек, области видимости, стили, листы, связи и необходимые служебные части. При замене формул числами допускается удалить устаревшую calcChain и её ссылки согласованно. Не удалять другие части «ради упрощения».</w:t>
      </w:r>
    </w:p>
    <w:p>
      <w:r>
        <w:t>Экспорт блокируется при неполном годе, расчётных ошибках, неверных реквизитах и ненулевых событиях по кодам вне шаблона. Не терять деньги молча. Названия статей в экспортной форме брать из шаблона даже при других внутренних подписях.</w:t>
      </w:r>
    </w:p>
    <w:p>
      <w:pPr>
        <w:pStyle w:val="Heading1"/>
      </w:pPr>
      <w:r>
        <w:t>22. Известный блокер БИТ и требуемая диагностика</w:t>
      </w:r>
    </w:p>
    <w:p>
      <w:r>
        <w:t>Встроенный XLSX содержит 1637 определённых имён, из них 14 с #REF!. Примеры и полный список — reference_contract.json/templateAudit. Идентификатор в части повреждённых имён: bcb2e5a094dc11ee8376005056a1be4c. Это нельзя считать корректным промышленным шаблоном.</w:t>
      </w:r>
    </w:p>
    <w:p>
      <w:r>
        <w:t>Заказчик сообщает об исходной форме на 120 строк с ошибочной статьёй 706.102 «Расходы УК на содержание персонала клининга DEL», удалённой в варианте на 119 строк. Связь именно этой статьи с повреждённым GUID — гипотеза до получения нетронутого XLSX, не установленный факт.</w:t>
      </w:r>
    </w:p>
    <w:p>
      <w:r>
        <w:t>Отчёт report.json: 1С 8.3.27.1688, форма документа бит_ФормаВводаБюджета; строка 915 «ЗнчСтр = Лист.Range(ИмяЭксель).Value»; исключение 0x800a03ec. Отчёт не содержит фактического ИмяЭксель. Он подтверждает сбой разрешения/чтения диапазона, но сам по себе не доказывает конкретную причину.</w:t>
      </w:r>
    </w:p>
    <w:p>
      <w:r>
        <w:t>До производственной приёмки запросить: нетронутую проформу из того же документа БИТ, реально не загрузившийся XLSX, по возможности значение ИмяЭксель и имя листа в момент сбоя. Сопоставить имя→адрес→код статьи, найти отсутствующие и #REF!, проверить периодные префиксы и GUID.</w:t>
      </w:r>
    </w:p>
    <w:p>
      <w:r>
        <w:t>Если БИТ ожидает удалённую строку, можно сохранить её технически с нулями в загрузочном шаблоне, не показывая для ввода управляющему. Не удалять именованные диапазоны и не восстанавливать строку догадками. Долгосрочно исправить форму в БИТ и получить новую исходную выгрузку.</w:t>
      </w:r>
    </w:p>
    <w:p>
      <w:r>
        <w:t>Встроенные имена привязаны к 2027 и идентификаторам конкретной формы; замена видимых месяцев/кода не доказывает совместимость с другим годом/документом. Универсальность не заявлять без теста.</w:t>
      </w:r>
    </w:p>
    <w:p>
      <w:r>
        <w:t>До устранения проблемы явно маркировать адаптер как непроверенный на реальной загрузке. Это не блокирует внутреннюю форму и JSON/отчёт объекта, но блокирует обещание «готово к промышленной загрузке».</w:t>
      </w:r>
    </w:p>
    <w:p>
      <w:pPr>
        <w:pStyle w:val="Heading1"/>
      </w:pPr>
      <w:r>
        <w:t>23. Внутренняя архитектура и безопасность</w:t>
      </w:r>
    </w:p>
    <w:p>
      <w:r>
        <w:t>Разделить ответственность: исходный state; чистое расчётное ядро; валидация; миграции; сохранение; render; экспорт. Можно сохранить имена функций исходника для минимального diff, но не размножать одноимённые определения и исправления в конце файла.</w:t>
      </w:r>
    </w:p>
    <w:p>
      <w:r>
        <w:t>calc: issues[], events[], monthByArticle{}, monthIn[12], monthOut[12], inflow/outflow/net/closing/drafts, validIncomes/Expenses/Staff, staffRows, vatIncome/Expense/ExpenseByRate/Payable, fotStaffTotal, fotManualTotal, periodMonths, isFullYear.</w:t>
      </w:r>
    </w:p>
    <w:p>
      <w:r>
        <w:t>Event в источнике: articleId, month, amount, source, description. Внутренние ссылки на запись допустимы, но скрыты. Не хранить независимую копию событий в JSON.</w:t>
      </w:r>
    </w:p>
    <w:p>
      <w:r>
        <w:t>Экранировать пользовательский HTML/XML; избегать вставки ID в inline-JS без безопасного кодирования. Непроверенные строки не исполнять. JSON не должен менять прототипы и обработчики. Не делать fetch, аналитику или телеметрию в рабочем HTML. Полезно проверять отсутствие внешних URL-зависимостей автоматически.</w:t>
      </w:r>
    </w:p>
    <w:p>
      <w:r>
        <w:t>При невалидной записи не оставлять половину её событий после исключения. Расчёт строки выполнять в буфере и применять атомарно. Ошибки профиля должны выдавать сообщение пользователю, а не останавливать весь интерфейс необработанным исключением.</w:t>
      </w:r>
    </w:p>
    <w:p>
      <w:r>
        <w:t>Разработка может использовать инструменты среды Hermes, но требования не предполагают конкретных API, расширений или доступа к 1С у Афины. Изменения во внешних системах без отдельного поручения не выполнять.</w:t>
      </w:r>
    </w:p>
    <w:p>
      <w:pPr>
        <w:pStyle w:val="Heading1"/>
      </w:pPr>
      <w:r>
        <w:t>24. Этапы исполнения для Афины</w:t>
      </w:r>
    </w:p>
    <w:p>
      <w:r>
        <w:t>Этап A — инвентаризация: прочитать HTML целиком, отделить embedded XLSX от логики, сверить SHA, извлечь поля, функции, 115 статей; составить список as-is/дефектов. Не начинать с переписывания интерфейса.</w:t>
      </w:r>
    </w:p>
    <w:p>
      <w:r>
        <w:t>Этап B — воспроизвести автономную форму и контракт JSON; добавить тесты чистых формул и миграций. Сначала получить совместимый результат baseline, отдельно держать исправления округления.</w:t>
      </w:r>
    </w:p>
    <w:p>
      <w:r>
        <w:t>Этап C — реализовать все девять вкладок, CRUD, режимы ФОТ, 12-месячную трассу и окно; восстановление/индикацию; отчётный XLSX/CSV. Сравнить итоги.</w:t>
      </w:r>
    </w:p>
    <w:p>
      <w:r>
        <w:t>Этап D — проверить embedded экспорт структурно и подготовить диагностику БИТ; заменить на нетронутый шаблон только после получения. Не маскировать внешний блокер.</w:t>
      </w:r>
    </w:p>
    <w:p>
      <w:r>
        <w:t>Этап E — браузерная приёмка локального file://, сохранение/переоткрытие, отрицательные сценарии; журнал результатов.</w:t>
      </w:r>
    </w:p>
    <w:p>
      <w:r>
        <w:t>Этап F — передача HTML, README, схемы, fixtures, отчёта; затем ограниченный пилот и внешняя приёмка БИТ.</w:t>
      </w:r>
    </w:p>
    <w:p>
      <w:r>
        <w:t>На каждом этапе сообщать: изменённые блоки, проведённые тесты, что не проверено, риски. Не объявлять функцию реализованной только по наличию её имени. Не сокращать рабочий код ради длины ответа: писать файлы средствами среды, проверять их наличие и целостность.</w:t>
      </w:r>
    </w:p>
    <w:p>
      <w:pPr>
        <w:pStyle w:val="Heading1"/>
      </w:pPr>
      <w:r>
        <w:t>25. Контрольные примеры и тест-план</w:t>
      </w:r>
    </w:p>
    <w:p>
      <w:r>
        <w:t>T01 Запуск file:// без сети: форма открыта, нет необработанных JS-ошибок, все вкладки доступны.</w:t>
      </w:r>
    </w:p>
    <w:p>
      <w:r>
        <w:t>T02 CRUD статей: создать/переименовать/деактивировать/удалить свободную; используемую и родительскую удалить нельзя.</w:t>
      </w:r>
    </w:p>
    <w:p>
      <w:r>
        <w:t>T03 Цикл/дубли ID/будущая версия: отказ без изменения текущего проекта, calc и браузерной копии.</w:t>
      </w:r>
    </w:p>
    <w:p>
      <w:r>
        <w:t>T04 Доход: база 1000, тариф 120, НДС 22%, один месяц → net 120000, НДС 26400, поступление 146400.</w:t>
      </w:r>
    </w:p>
    <w:p>
      <w:r>
        <w:t>T05 Расход: amount 122000, ставка 22%, один месяц → НДС 22000, net 100000, выплата −122000.</w:t>
      </w:r>
    </w:p>
    <w:p>
      <w:r>
        <w:t>T06 «Без НДС»: vat=0, сумма не теряется. Ноль разрешён, NaN/Infinity/отрицательное — ошибка.</w:t>
      </w:r>
    </w:p>
    <w:p>
      <w:r>
        <w:t>T07 Пересчёт 10 раз: число записей/событий и итоги не растут.</w:t>
      </w:r>
    </w:p>
    <w:p>
      <w:r>
        <w:t>T08 Годовая позиция 1000/месяц, бюджет июль → БДДС, детализация, материалы и ручной ФОТ 1000, не 12000.</w:t>
      </w:r>
    </w:p>
    <w:p>
      <w:r>
        <w:t>T09 Период декабрь–январь того же года → ошибка и отсутствие фиктивного годового потока. Разные годы → ошибка.</w:t>
      </w:r>
    </w:p>
    <w:p>
      <w:r>
        <w:t>T10 Начальный остаток null → прочерк; 0 → рассчитанный остаток. Сверить накопление по месяцам.</w:t>
      </w:r>
    </w:p>
    <w:p>
      <w:r>
        <w:t>T11 Режимы ФОТ: staff_only/manual_only/mixed; mixed без подтверждения → ошибка; исключённые записи остаются редактируемыми.</w:t>
      </w:r>
    </w:p>
    <w:p>
      <w:r>
        <w:t>T12 Изменить МРОТ строки года через UI → пересчёт МСП без изменения HTML; JSON сохраняет параметр. Общий режим не зависит от МРОТ.</w:t>
      </w:r>
    </w:p>
    <w:p>
      <w:r>
        <w:t>T13 На одну единицу net=180000, январь–декабрь: full gross 2484705.86, full tax 324705.86 в копеечном baseline. Доля 50%: net объекта 1080000, gross 1242352.99, tax 162352.99.</w:t>
      </w:r>
    </w:p>
    <w:p>
      <w:r>
        <w:t>T14 Для T13 январь–ноябрь: full gross 206896.55, full tax 26896.55; декабрь: full gross 208843.81, full tax 28843.81, YTD 2484705.86; декабрьский tax объекта 14421.91.</w:t>
      </w:r>
    </w:p>
    <w:p>
      <w:r>
        <w:t>T15 Для T13 и премии 150000 на полную единицу в феврале: объектная премия 75000; налог не меняется. Baseline total 1692543.59; отображённые СВ 372705.85, травматизм 2484.75. Эти копейки отмечены дефектом, не нормативом.</w:t>
      </w:r>
    </w:p>
    <w:p>
      <w:r>
        <w:t>T16 После согласованного исправления округления в T15: insurance 372705.96, injury 2484.75, total 1692543.70. Разницу явно показать; не смешивать baseline и fixed.</w:t>
      </w:r>
    </w:p>
    <w:p>
      <w:r>
        <w:t>T17 Доли 100/50/0: полный gross и full YTD одной единицы не меняются; объектные суммы масштабируются, при 0 нулевые.</w:t>
      </w:r>
    </w:p>
    <w:p>
      <w:r>
        <w:t>T18 Доля 33.33%: factor 0.3333, не 0.33. Для нескольких одинаковых единиц нет объединения их налоговых баз.</w:t>
      </w:r>
    </w:p>
    <w:p>
      <w:r>
        <w:t>T19 Порог gross-up: prior=4950000, net=85000 → gross=101829.27; не 100000.</w:t>
      </w:r>
    </w:p>
    <w:p>
      <w:r>
        <w:t>T20 Net=250000, работа январь–декабрь: НДФЛ сентября объекта при 100% 41737.66 и при годовом горизонте, и при горизонте только сентября.</w:t>
      </w:r>
    </w:p>
    <w:p>
      <w:r>
        <w:t>T21 Расшифровка: 12 месяцев+итог; полный YTD не суммируется; вне горизонта объектные суммы нулевые, полные сохраняются; вне работы — пояснение.</w:t>
      </w:r>
    </w:p>
    <w:p>
      <w:r>
        <w:t>T22 Итоги окна = ШР = персональные события = матрица; закрытие/повторное открытие после редактирования без устаревших данных.</w:t>
      </w:r>
    </w:p>
    <w:p>
      <w:r>
        <w:t>T23 Материалы и услуги одной статьи — две записи, в БДДС сумма общая. Количество 10 остаётся 10 в режиме K.</w:t>
      </w:r>
    </w:p>
    <w:p>
      <w:r>
        <w:t>T24 materialRows одинаков для HTML/CSV/XLSX: период, описание, договор, суммы, НДС сохранены. Кавычки/переносы/кириллица корректны.</w:t>
      </w:r>
    </w:p>
    <w:p>
      <w:r>
        <w:t>T25 JSON download → изменить → reload браузера: восстановлены изменения и dirty; открыть сохранённый JSON — старые данные и правильное имя.</w:t>
      </w:r>
    </w:p>
    <w:p>
      <w:r>
        <w:t>T26 Сбой localStorage → красный индикатор, работа продолжается, ручное сохранение доступно. Не заявлять гарантированное сохранение download.</w:t>
      </w:r>
    </w:p>
    <w:p>
      <w:r>
        <w:t>T27 Старый JSON с allowManualFot=true без ШР → manual_only; с ШР → подтверждённый пользователем mixed; отмена не меняет state.</w:t>
      </w:r>
    </w:p>
    <w:p>
      <w:r>
        <w:t>T28 Черновик с расчётной ошибкой можно открыть/сохранить для исправления, но XLSX/CSV/БИТ не выгрузить до исправления. Структурный мусор не принимается как черновик.</w:t>
      </w:r>
    </w:p>
    <w:p>
      <w:r>
        <w:t>T29 Три ss-dot реально видны; зелёные/жёлтые/красные соответствуют текстам; после миграции требуется JSON.</w:t>
      </w:r>
    </w:p>
    <w:p>
      <w:r>
        <w:t>T30 Отчёт XLSX: 8 листов; числовые ячейки не текст; все деньги в рублях, даже при K; формулы из пользовательского текста не исполняются.</w:t>
      </w:r>
    </w:p>
    <w:p>
      <w:r>
        <w:t>T31 БИТ: два листа, A2, A4:O4, 115 исходных строк 5–119 для legacy-шаблона. Чекбокс групп не меняет координаты. Новая форма может иметь 120 строк — проверяется по реальному входу.</w:t>
      </w:r>
    </w:p>
    <w:p>
      <w:r>
        <w:t>T32 БИТ: исходные code/dateTime сохраняются после JSON/reload; текущая дата только после «Выгружено»; неверные реквизиты блокируют.</w:t>
      </w:r>
    </w:p>
    <w:p>
      <w:r>
        <w:t>T33 БИТ: при знаках − расход −1000; по модулю +1000. Ненулевая неизвестная статья блокирует, не исчезает.</w:t>
      </w:r>
    </w:p>
    <w:p>
      <w:r>
        <w:t>T34 Аудит имён: перечислить 14 #REF! в legacy; не сообщать об успешной совместимости, пока не устранён/не объяснён сбой Range.</w:t>
      </w:r>
    </w:p>
    <w:p>
      <w:r>
        <w:t>T35 Внешняя приёмка: создать проформу БИТ, заполнить контрольную сумму в нетронутом XLSX и проверить обратную загрузку; затем сравнить с экспортом конструктора. Результат приложить отдельно.</w:t>
      </w:r>
    </w:p>
    <w:p>
      <w:r>
        <w:t>T36 Мобильная ширина и клавиатура: форма доступна, модальное окно закрывается Escape, таблицы прокручиваются без разрушения интерфейса.</w:t>
      </w:r>
    </w:p>
    <w:p>
      <w:pPr>
        <w:pStyle w:val="Heading1"/>
      </w:pPr>
      <w:r>
        <w:t>26. Критерии завершения и отчёт о готовности</w:t>
      </w:r>
    </w:p>
    <w:p>
      <w:r>
        <w:t>Внутренняя форма принята, когда проходят расчётные инварианты, CRUD, JSON round-trip, режимы/миграции, индикаторы, материалы, окно и отчётные выгрузки. Отдельно фиксируется режим округления и согласованные отличия от baseline.</w:t>
      </w:r>
    </w:p>
    <w:p>
      <w:r>
        <w:t>БИТ-адаптер принят только после реальной обратной загрузки в нужный документ; открытие в Excel/openpyxl — необходимая, но недостаточная проверка.</w:t>
      </w:r>
    </w:p>
    <w:p>
      <w:r>
        <w:t>Готовность представлять по уровням: «код проверен», «расчётные тесты», «браузер file://», «Excel-книга», «реальная БИТ-загрузка». Непроверенный уровень не обозначать зелёным автоматически.</w:t>
      </w:r>
    </w:p>
    <w:p>
      <w:r>
        <w:t>Оригинал держать неизменяемым. Новые сборки именовать версионно; хранить SHA-256. Не удалять рабочие JSON заказчика. Сначала работать на тестовых копиях.</w:t>
      </w:r>
    </w:p>
    <w:p>
      <w:pPr>
        <w:pStyle w:val="Heading1"/>
      </w:pPr>
      <w:r>
        <w:t>27. Входные материалы и вопросы, требующие решения заказчика</w:t>
      </w:r>
    </w:p>
    <w:p>
      <w:r>
        <w:t>Обязательные входы: этот документ, исходный HTML и reference_contract.json. Дополнительно доступны legacy XLSX-шаблон и report.json ошибки загрузки; при отсутствии запросить их, не симулировать наличие.</w:t>
      </w:r>
    </w:p>
    <w:p>
      <w:r>
        <w:t>До изменения методологии округления согласовать: оставляем исходный baseline ради воспроизведения или переходим на исправленные денежные инварианты с журналом отличий? Предлагается исправленный режим, но не скрытая замена.</w:t>
      </w:r>
    </w:p>
    <w:p>
      <w:r>
        <w:t>Для БИТ запросить нетронутую форму на 120 строк из текущего документа и не загрузившийся Excel. Узнать, требуется ли технически сохранять 706.102 с нулевыми суммами.</w:t>
      </w:r>
    </w:p>
    <w:p>
      <w:r>
        <w:t>Для реальных зарплат уточнить, являются ли месяцы строки периодом работы в УК или только участия в объекте. При разных периодах это отдельная доработка, не предположение алгоритма.</w:t>
      </w:r>
    </w:p>
    <w:p>
      <w:r>
        <w:t>Афина не должна блокировать воспроизведение внутренней формы из-за отсутствия БИТ-доступа, но обязана оставить прозрачный внешний блокер интеграции.</w:t>
      </w:r>
    </w:p>
    <w:p>
      <w:pPr>
        <w:pStyle w:val="Heading1"/>
      </w:pPr>
      <w:r>
        <w:t>28. Стартовое поручение Афине</w:t>
      </w:r>
    </w:p>
    <w:p>
      <w:r>
        <w:t>Афина, воспроизведи автономный HTML-конструктор по этому ТЗ и переданному исходному файлу. Сначала изучи исходник и машинный контракт, подготовь карту функций и тестов; затем реализуй полную версию без сокращений. Не превращай форму в систему вместо БИТ. Не меняй правило премий и порядок «полная налоговая база → распределение по доле». Сохрани все девять вкладок, три индикатора и 12-месячную расшифровку.</w:t>
      </w:r>
    </w:p>
    <w:p>
      <w:r>
        <w:t>Отдельно покажи известные дефекты baseline и предлагаемые исправления. До согласования не меняй контрольные результаты скрыто. БИТ-интеграцию не объявляй готовой по одному визуальному совпадению: используй исходную проформу, проверь именованные диапазоны и реальную загрузку. Передай готовые файлы, тесты и честный отчёт о проверенных и непроверенных сценариях.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АФИНА / HERMES AGENT  •  КОНСТРУКТОР БДДС  •  ТЗ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7365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nicaltext">
    <w:name w:val="Technical text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Афины: воспроизведение Конструктора БДДС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