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rPr>
          <w:rFonts w:ascii="Noto Serif CJK SC" w:hAnsi="Noto Serif CJK SC" w:eastAsia="Noto Serif CJK SC" w:cs="Noto Serif CJK SC"/>
          <w:b/>
          <w:i w:val="0"/>
          <w:color w:val="173D78"/>
          <w:sz w:val="48"/>
        </w:rPr>
        <w:t>Promotion Agent 平台</w:t>
      </w:r>
    </w:p>
    <w:p>
      <w:pPr>
        <w:pStyle w:val="CustomSubtitle"/>
      </w:pPr>
      <w:r>
        <w:rPr>
          <w:rFonts w:ascii="Noto Sans CJK SC" w:hAnsi="Noto Sans CJK SC" w:eastAsia="Noto Sans CJK SC" w:cs="Noto Sans CJK SC"/>
          <w:b/>
          <w:i w:val="0"/>
          <w:color w:val="128F90"/>
          <w:sz w:val="28"/>
        </w:rPr>
        <w:t>产品需求文档（PRD）</w:t>
      </w:r>
    </w:p>
    <w:p>
      <w:pPr>
        <w:pStyle w:val="CustomSubtitle"/>
      </w:pPr>
      <w:r>
        <w:rPr>
          <w:rFonts w:ascii="Noto Sans CJK SC" w:hAnsi="Noto Sans CJK SC" w:eastAsia="Noto Sans CJK SC" w:cs="Noto Sans CJK SC"/>
          <w:b w:val="0"/>
          <w:i w:val="0"/>
          <w:color w:val="5F6B7A"/>
          <w:sz w:val="23"/>
        </w:rPr>
        <w:t>面向 Agent-to-Agent 的可发现、可授权、可披露的 Sponsored Recommendation Network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版本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v0.9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状态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内部讨论稿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日期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2026-03-11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适用对象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产品、技术、风控、商务、运营</w:t>
            </w:r>
          </w:p>
        </w:tc>
      </w:tr>
    </w:tbl>
    <w:p>
      <w:pPr>
        <w:pStyle w:val="SmallTex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F8"/>
            <w:tcBorders>
              <w:left w:val="single" w:sz="8" w:space="0" w:color="128F90"/>
              <w:top w:val="single" w:sz="8" w:space="0" w:color="128F90"/>
              <w:right w:val="single" w:sz="8" w:space="0" w:color="128F90"/>
              <w:bottom w:val="single" w:sz="8" w:space="0" w:color="128F9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一句话定义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该平台帮助广告主自动发现匹配的 buyer / user agent，在满足相关性、用户效用和披露要求的前提下，将自家产品以结构化 Offer 的形式送入对方 agent 的优先候选集，并通过可验证的归因与奖惩机制形成闭环。</w:t>
            </w:r>
          </w:p>
        </w:tc>
      </w:tr>
    </w:tbl>
    <w:p>
      <w:pPr>
        <w:pStyle w:val="SmallTex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F3EB"/>
            <w:tcBorders>
              <w:left w:val="single" w:sz="8" w:space="0" w:color="E07A2B"/>
              <w:top w:val="single" w:sz="8" w:space="0" w:color="E07A2B"/>
              <w:right w:val="single" w:sz="8" w:space="0" w:color="E07A2B"/>
              <w:bottom w:val="single" w:sz="8" w:space="0" w:color="E07A2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产品立场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本产品不以“秘密买排序”为目标，而是把赞助机制建立在用户价值、真实性和可披露的合作关系上。奖励长期稳定、真实可信、被用户接受的供给方；惩罚虚假、骚扰、低相关和不可验证的投放行为。</w:t>
            </w:r>
          </w:p>
        </w:tc>
      </w:tr>
    </w:tbl>
    <w:p>
      <w:pPr>
        <w:pStyle w:val="SmallText"/>
      </w:pPr>
    </w:p>
    <w:p>
      <w:pPr>
        <w:pStyle w:val="SmallText"/>
      </w:pPr>
      <w:r>
        <w:rPr>
          <w:rFonts w:ascii="Noto Sans CJK SC" w:hAnsi="Noto Sans CJK SC" w:eastAsia="Noto Sans CJK SC" w:cs="Noto Sans CJK SC"/>
          <w:b w:val="0"/>
          <w:i/>
          <w:color w:val="5F6B7A"/>
          <w:sz w:val="18"/>
        </w:rPr>
        <w:t>建议从结构化程度高、转化可验证的单一垂类切入，例如 SaaS 采购、教育产品、旅游或消费电子。</w:t>
      </w:r>
    </w:p>
    <w:p>
      <w:r>
        <w:br w:type="page"/>
      </w:r>
    </w:p>
    <w:p>
      <w:pPr>
        <w:pStyle w:val="Heading1"/>
      </w:pPr>
      <w:r>
        <w:t>1. 文档摘要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1FC"/>
            <w:tcBorders>
              <w:left w:val="single" w:sz="8" w:space="0" w:color="2B63B5"/>
              <w:top w:val="single" w:sz="8" w:space="0" w:color="2B63B5"/>
              <w:right w:val="single" w:sz="8" w:space="0" w:color="2B63B5"/>
              <w:bottom w:val="single" w:sz="8" w:space="0" w:color="2B63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产品目标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建立一套面向 agent 的推广与分发平台：自动发现可合作的 buyer agents，向其返回可计算、可验证、可披露的商业提案，并通过质量校正后的 sponsored ranking 机制，让真正适合用户的产品优先呈现。</w:t>
            </w:r>
          </w:p>
        </w:tc>
      </w:tr>
    </w:tbl>
    <w:p>
      <w:pPr>
        <w:pStyle w:val="SmallText"/>
      </w:pPr>
    </w:p>
    <w:p>
      <w:pPr>
        <w:pStyle w:val="Heading2"/>
      </w:pPr>
      <w:r>
        <w:t>1.1 业务问题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传统广告主要面向“人”投放，而在 agent 时代，很多筛选、比较、推荐与购买动作将由用户侧 agent 先行完成。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如果继续沿用面向人的文案广告模式，buyer agent 很难稳定理解商品能力、适用边界、价格约束与证明材料。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如果完全采用“付费置顶”逻辑，又会迅速损害 buyer agent 对平台的信任，长期导致 spam、虚假 claim 和低价值曝光。</w:t>
      </w:r>
    </w:p>
    <w:p>
      <w:pPr>
        <w:pStyle w:val="Heading2"/>
      </w:pPr>
      <w:r>
        <w:t>1.2 核心方案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将推广对象从“人”转换为“对方 agent”，并将投放内容从“文案”转换为结构化 OfferCard、ProofBundle 和可执行 Action。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用 OpportunityRequest / BidResponse 的方式建立 buyer agent 与 seller agent 的机会交换机制。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排序上采用“先过线、再赞助”的原则：先满足相关性、预期用户效用、可信度与披露要求，再允许商业激励影响合格候选的相对顺序。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奖惩机制主要作用于供给质量、信誉与可见度，而不是直接绕过用户价值去操纵最终结果。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决策项</w:t>
            </w:r>
          </w:p>
        </w:tc>
        <w:tc>
          <w:tcPr>
            <w:tcW w:type="dxa" w:w="725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默认方案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产品入口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优先接入公开 registry、platform gallery、marketplace 与合作 buyer agents，不以扫描私有个人 agent 为目标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交互对象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推送结构化 Offer，而非仅推送广告文案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排序原则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相关性与用户效用先过线，再进入 sponsored reranking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计费方式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MVP 以 CPQR / CPA 为主，不以 CPM 为核心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奖惩对象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惩罚虚假、骚扰、低相关；奖励稳定转化与高满意度供给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协议选择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外部接入兼容 A2A + MCP，内部热路径使用自有 RPC / event bus</w:t>
            </w:r>
          </w:p>
        </w:tc>
      </w:tr>
    </w:tbl>
    <w:p>
      <w:pPr>
        <w:pStyle w:val="SmallText"/>
      </w:pPr>
    </w:p>
    <w:p>
      <w:pPr>
        <w:pStyle w:val="Heading1"/>
      </w:pPr>
      <w:r>
        <w:t>2. 背景、目标与边界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未来越来越多的搜索、比较、筛选和交易前动作，会先由 agent 代表用户完成。广告与推荐机制必须适配 agent 的输入与决策逻辑。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agent 比人更依赖结构化事实、可验证证据、清晰约束和协议级互操作，而不适合只依赖情绪化、模糊化文案。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但是用户偏好并不只有理性维度，因此平台需要同时建模“理性匹配”和“感性表达适配”，并把后者约束在合规与用户价值边界内。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目标</w:t>
            </w:r>
          </w:p>
        </w:tc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定义</w:t>
            </w:r>
          </w:p>
        </w:tc>
        <w:tc>
          <w:tcPr>
            <w:tcW w:type="dxa" w:w="6009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成功判断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G1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高效发现与接入目标 agent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自动发现、解析、评分并管理潜在 buyer / user agent 合作入口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G2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把商品编译为 agent 可消费对象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支持 OfferCard、ProofBundle、Narrative 变体、Action 接口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G3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建立高质量 sponsored shortlist 机制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使广告主产品在满足用户价值前提下获得更高展示优先级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G4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形成可验证的归因和奖惩闭环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以事件回执、信誉账本、保证金和申诉机制保障生态质量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不以渗透或接管用户的私有 agent 为目标。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不允许低相关、低可信的商品仅凭出价越过高质量候选。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MVP 阶段不追求开放互联网级别的实时广告交易网络。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不以点击率为唯一优化目标，避免系统学出标题党、骚扰式或误导性推荐。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角色</w:t>
            </w:r>
          </w:p>
        </w:tc>
        <w:tc>
          <w:tcPr>
            <w:tcW w:type="dxa" w:w="294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在系统中的职责</w:t>
            </w:r>
          </w:p>
        </w:tc>
        <w:tc>
          <w:tcPr>
            <w:tcW w:type="dxa" w:w="442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核心诉求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广告主 / 品牌运营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配置商品、预算、激励策略和证据材料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低门槛配置活动，清楚知道哪些 agent 值得接入，结果可追踪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BD / Partner 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拓展 buyer agent 合作方并完成接入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快速识别高价值 agent，跟踪审核、谈判和上线状态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Buyer Agent 运营方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接收商业提案并服务终端用户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确保推荐质量、可披露、可结算、不会被 spam 污染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风控 / 平台运营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审核类目、claim、合作方信誉和争议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有证据链、可处罚、可申诉、可恢复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1"/>
      </w:pPr>
      <w:r>
        <w:t>3. 产品范围与模块划分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8F1"/>
            <w:tcBorders>
              <w:left w:val="single" w:sz="8" w:space="0" w:color="5E9E6E"/>
              <w:top w:val="single" w:sz="8" w:space="0" w:color="5E9E6E"/>
              <w:right w:val="single" w:sz="8" w:space="0" w:color="5E9E6E"/>
              <w:bottom w:val="single" w:sz="8" w:space="0" w:color="5E9E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MVP 只做三件事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① 找到并接入少量高价值 buyer agents；② 把广告主产品编译为结构化 Offer 并参与 shortlist；③ 跑通“入围 → 展示 → 详情 → 行动 → 结算”的闭环。其余能力如复杂 bandit 优化、开放竞价市场、大规模第三方 self-serve 可放到后续版本。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2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名称</w:t>
            </w:r>
          </w:p>
        </w:tc>
        <w:tc>
          <w:tcPr>
            <w:tcW w:type="dxa" w:w="5216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  <w:tc>
          <w:tcPr>
            <w:tcW w:type="dxa" w:w="102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优先级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M1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Discovery &amp; Registry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抓取公开 registry / partner feed / agent card，生成 AgentLead，支持评分与筛选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M2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Verification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校验身份、协议、认证方式、支持的 sponsored / disclosure 能力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M3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 Compiler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将商品、价格、证据、叙事变体和 action 编译为 OfferCard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M4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 Exchange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接收 buyer agent 机会请求，筛选 eligible campaign，并返回 BidResponse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M5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Ranking &amp; Policy Engine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执行相关性门槛、utility floor、trust gate 与 sponsored reranking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M6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Measurement &amp; Settlement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记录事件回执，支持 CPQR / CPA / CPS 归因与结算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M7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Reputation Ledger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维护信誉分、保证金、惩罚、恢复和申诉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M8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Admin Console &amp; Dashboard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供运营查看 agent 漏斗、活动表现、争议与风控状态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</w:tbl>
    <w:p>
      <w:pPr>
        <w:pStyle w:val="SmallText"/>
      </w:pP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下图为平台推荐的 MVP 技术形态。外部面向 buyer agent / seller agent 采用开放协议兼容层，内部则拆分为发现、编译、机会交换、排序、计量、信誉和风控等服务。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8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age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xt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F6B7A"/>
          <w:sz w:val="17"/>
        </w:rPr>
        <w:t>图 1  Promotion Agent 平台核心技术架构（示意）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可发现：合作入口必须可以被发现、被标注、被审核，而不是黑箱接入。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可授权：所有需要访问资源或代表用户执行动作的链路必须有显式授权模型。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可披露：赞助推荐必须可识别、可解释、可审计。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可验证：价格、库存、claim、转化和结算必须有证据或回执支持。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可治理：处罚、恢复、申诉、手动复核要内建，而非事后拼接。</w:t>
      </w:r>
    </w:p>
    <w:p>
      <w:pPr>
        <w:pStyle w:val="Heading1"/>
      </w:pPr>
      <w:r>
        <w:t>4. 关键业务流程</w:t>
      </w:r>
    </w:p>
    <w:p>
      <w:pPr>
        <w:pStyle w:val="Heading2"/>
      </w:pPr>
      <w:r>
        <w:t>4.1 流程 A：发现并接入目标 agent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Discovery Service 定期从 registry、marketplace、合作方目录或公开 Agent Card 抓取候选 agent。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系统将原始信息标准化为 AgentLead，并计算 ICP 匹配、skill 匹配、reach proxy、认证难度等评分。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运营按分数、类目、地区、协议能力、是否接受 sponsored / disclosure 等条件筛选潜在线索。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对通过初筛的 agent 进行身份与能力验证，确认是否支持披露、回执、授权、速率限制和结算条款。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验证通过的 agent 进入 Partner 状态，可被活动定向选择。</w:t>
      </w:r>
    </w:p>
    <w:p>
      <w:pPr>
        <w:pStyle w:val="Heading2"/>
      </w:pPr>
      <w:r>
        <w:t>4.2 流程 B：广告主创建可投放 Offer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广告主在控制台配置产品、价格、类目、地区、适用人群、证明材料、行动接口和激励模型。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Offer Compiler 将原始商品信息编译为 OfferCard，并生成 rational / premium / simple 等叙事变体。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Policy Engine 对类目限制、claim 完整性、缺失证据、禁止词或风险素材进行预检查。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审核通过后，活动进入 Active 状态，可参与后续 opportunity exchange。</w:t>
      </w:r>
    </w:p>
    <w:p>
      <w:pPr>
        <w:pStyle w:val="Heading2"/>
      </w:pPr>
      <w:r>
        <w:t>4.3 流程 C：buyer agent 产生机会并请求商业候选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当 buyer agent 识别到其主人存在明确意图时，向平台发起 OpportunityRequest。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系统依据 category、预算、地区、任务类型、约束条件和 policy 先做 eligibility 过滤。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符合门槛的活动返回 BidResponse，内容包含 offer、证据、预计效用特征、披露文案、激励金额和 action。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Ranking Engine 按 relevance、expected utility、trust、affective fit、bid 等综合分排序。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buyer agent 仅在 disclosure_required 为 true 且 disclosure 可呈现时展示 sponsored shortlist。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阶段</w:t>
            </w:r>
          </w:p>
        </w:tc>
        <w:tc>
          <w:tcPr>
            <w:tcW w:type="dxa" w:w="357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主要输入</w:t>
            </w:r>
          </w:p>
        </w:tc>
        <w:tc>
          <w:tcPr>
            <w:tcW w:type="dxa" w:w="493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主要输出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发现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Registry / Agent Card / Partner Feed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AgentLead、验证状态、可接入 buyer agent 列表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投放准备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商品数据、证明材料、预算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OfferCard、Campaign、Policy 预检结果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机会交换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OpportunityRequest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BidResponse、shortlist 候选、排序结果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结果闭环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Event receipt、争议单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归因、结算、信誉更新、处罚/申诉记录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1"/>
      </w:pPr>
      <w:r>
        <w:t>5.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ID</w:t>
            </w:r>
          </w:p>
        </w:tc>
        <w:tc>
          <w:tcPr>
            <w:tcW w:type="dxa" w:w="102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4365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需求描述</w:t>
            </w:r>
          </w:p>
        </w:tc>
        <w:tc>
          <w:tcPr>
            <w:tcW w:type="dxa" w:w="357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验收标准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FR-01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支持从至少 2 类来源导入候选 agent（如公开 registry 与合作方目录）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系统可创建 AgentLead，并记录来源与抓取时间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FR-02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解析 AgentLead 的类目、skill、地区、认证方式、接入地址和联系方式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关键信息缺失项可被标记并进入人工补全队列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FR-03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维护 partner 生命周期：New / Reviewing / Verified / Active / Suspended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状态变更有操作日志与责任人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FR-04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支持广告主配置商品、价格、地区、证据、行动接口和激励模型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生成可发布的 OfferCard 版本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FR-05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Policy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预检类目限制、claim 缺失、披露文案缺失和高风险素材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高风险活动不能进入 Active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FR-06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接收 OpportunityRequest 并完成 eligibility 过滤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只返回满足硬约束与 policy 的候选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FR-07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Ranking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执行 relevance floor、utility floor、trust gate 和 sponsored reranking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输出排序解释字段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FR-08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Measurement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支持至少 5 类回执事件：shortlisted、shown、detail_view、handoff、conversion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事件可按 intent_id / offer_id 关联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FR-09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CPQR 与 CPA 两种结算策略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可导出结算明细与账单草案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FR-10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Console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提供活动、agent、结果漏斗和风控状态的后台看板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运营可按 agent / campaign / 垂类筛选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ID</w:t>
            </w:r>
          </w:p>
        </w:tc>
        <w:tc>
          <w:tcPr>
            <w:tcW w:type="dxa" w:w="1020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4309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需求描述</w:t>
            </w:r>
          </w:p>
        </w:tc>
        <w:tc>
          <w:tcPr>
            <w:tcW w:type="dxa" w:w="3628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FR-11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引入保证金与 slashing 机制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对 claim mismatch 与严重违规可自动冻结部分金额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FR-12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partner 申诉与人工复核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处罚记录可追溯、可恢复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FR-13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优化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引入 contextual bandit 或多臂实验提升排序效果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在 guardrail 指标不恶化的前提下提升核心转化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FR-14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自动估计 reach proxy 与 monetization readiness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提升 BD 线索优先级准确率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FR-15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扩展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CPS 或更复杂的混合激励模型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结算规则可配置且可审计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FR-16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平台化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self-serve partner onboarding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合作方可提交资料并完成基础验证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页面</w:t>
            </w:r>
          </w:p>
        </w:tc>
        <w:tc>
          <w:tcPr>
            <w:tcW w:type="dxa" w:w="725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主要内容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工作台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线索总览、活动概览、异常提醒、待审核事项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 CRM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AgentLead 列表、状态流转、分数、协议能力、合作备注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Campaign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商品配置、预算、激励方式、目标 agent、运行状态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Evidence Center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价格证明、案例、资质证书、截图、更新时间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Measurement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事件漏斗、归因、账单明细、争议队列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Risk Center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投诉、claim mismatch、spam、人工复核、处罚记录</w:t>
            </w:r>
          </w:p>
        </w:tc>
      </w:tr>
    </w:tbl>
    <w:p>
      <w:pPr>
        <w:pStyle w:val="SmallText"/>
      </w:pPr>
    </w:p>
    <w:p>
      <w:pPr>
        <w:pStyle w:val="Heading1"/>
      </w:pPr>
      <w:r>
        <w:t>6. 排序、奖惩与治理机制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8F1"/>
            <w:tcBorders>
              <w:left w:val="single" w:sz="8" w:space="0" w:color="5E9E6E"/>
              <w:top w:val="single" w:sz="8" w:space="0" w:color="5E9E6E"/>
              <w:right w:val="single" w:sz="8" w:space="0" w:color="5E9E6E"/>
              <w:bottom w:val="single" w:sz="8" w:space="0" w:color="5E9E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先过线，再赞助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所有商业候选必须先通过相关性门槛、用户效用门槛、信誉门槛和披露能力要求。赞助金额只能影响合格候选之间的相对顺序，不能让明显不适配或高风险候选越级。</w:t>
            </w:r>
          </w:p>
        </w:tc>
      </w:tr>
    </w:tbl>
    <w:p>
      <w:pPr>
        <w:pStyle w:val="SmallText"/>
      </w:pPr>
    </w:p>
    <w:p>
      <w:pPr>
        <w:pStyle w:val="Mono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eligible_i = policy_pass ∧ relevance_i ≥ τr ∧ expected_user_utility_i ≥ τu ∧ trust_i ≥ τt</w:t>
      </w:r>
    </w:p>
    <w:p>
      <w:pPr>
        <w:pStyle w:val="Mono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priority_score_i = 0.35*relevance + 0.25*utility + 0.15*trust + 0.15*affective_fit + 0.10*bid_norm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更高入围率：高信誉、高满意度供给方获得更高 eligible 概率。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更低成本：对优质 partner 可降低 reserve floor 或开放更高价值展示位。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能力增益：开放更多 action surface，例如试用申请、预约、直达下单。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信任增益：在 buyer agent 侧得到更高默认可信度和更少人工复核。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信誉惩罚：claim mismatch、虚假价格、虚假库存导致 trust score 下调。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经济惩罚：保证金冻结或 slashing，用于覆盖争议成本和生态风险。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流量惩罚：对低相关轰炸、重复投放、超频请求进行限流、cooldown 或封禁。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治理惩罚：严重违规进入人工审查，必要时永久拉黑。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字段</w:t>
            </w:r>
          </w:p>
        </w:tc>
        <w:tc>
          <w:tcPr>
            <w:tcW w:type="dxa" w:w="6690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用途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sponsored_flag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标识该结果是否为商业合作结果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disclosure_text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呈现给终端用户的披露文案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ranking_reason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对 buyer agent 返回的排序解释摘要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proof_bundle_ref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与 claim 相关的证据引用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audit_trace_id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用于追踪整条决策链路的审计 ID</w:t>
            </w:r>
          </w:p>
        </w:tc>
      </w:tr>
    </w:tbl>
    <w:p>
      <w:pPr>
        <w:pStyle w:val="SmallText"/>
      </w:pPr>
    </w:p>
    <w:p>
      <w:pPr>
        <w:pStyle w:val="Heading1"/>
      </w:pPr>
      <w:r>
        <w:t>7. 核心数据模型与接口对象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对象</w:t>
            </w:r>
          </w:p>
        </w:tc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  <w:tc>
          <w:tcPr>
            <w:tcW w:type="dxa" w:w="4989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关键字段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AgentLead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潜在 buyer / user agent 线索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来源、类目、skills、地区、认证方式、合作状态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PartnerAgent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已验证的合作 agent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能力声明、endpoint、security、SLA、披露能力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Campaign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一次商业投放活动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预算、目标类目、目标 agent、结算模型、状态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OfferCard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可消费的商品对象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价格、适用对象、约束、claim、action、叙事变体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ProofBundle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支撑 claim 的证据集合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案例、证书、FAQ、产品文档、更新时间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OpportunityRequest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buyer agent 发来的机会对象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用户意图、约束、placement、policy、sponsored slot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BidResponse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平台返回给 buyer agent 的商业候选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offer、预计效用、出价、披露文案、TTL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EventReceipt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结果回执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事件类型、时间、intent_id、offer_id、签名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SettlementReceipt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结算结果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费用、归因窗口、状态、争议标签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ReputationRecord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信誉账本记录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加分、扣分、原因、证据、申诉状态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对象</w:t>
            </w:r>
          </w:p>
        </w:tc>
        <w:tc>
          <w:tcPr>
            <w:tcW w:type="dxa" w:w="7143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最小字段建议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AgentLead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agent_id, source, provider_org, card_url, verticals[], skills[], geo[], auth_modes[], accepts_sponsored, supports_disclosure, trust_seed, lead_score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OpportunityRequest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intent_id, category, task_type, constraints{}, placement, relevance_floor, utility_floor, sponsored_slots, disclosure_required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BidResponse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bid_id, offer_id, campaign_id, bid_value, expected_utility, affective_fit, trust_score, disclosure_text, action_endpoints[], ttl_seconds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SettlementReceipt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settlement_id, billing_model, event_type, amount, currency, attribution_window, status, dispute_flag, generated_at</w:t>
            </w:r>
          </w:p>
        </w:tc>
      </w:tr>
    </w:tbl>
    <w:p>
      <w:pPr>
        <w:pStyle w:val="SmallTex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>{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"intent_id": "int_001",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"category": "crm_software",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"task_type": "compare_and_shortlist",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"constraints": {"company_size": "50-200", "budget_max": 80000, "geo": ["CN"]},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"placement": "shortlist",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"relevance_floor": 0.72,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"utility_floor": 0.68,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"sponsored_slots": 1,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"disclosure_required": true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pStyle w:val="SmallText"/>
      </w:pPr>
    </w:p>
    <w:p>
      <w:pPr>
        <w:pStyle w:val="Heading1"/>
      </w:pPr>
      <w:r>
        <w:t>8. 技术实现建议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外部发现、任务协商、artifact 交换采用 A2A 兼容思路，便于和 buyer agent / partner agent 对接。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对外暴露 catalog、proof verification、measurement、billing、policy 查询等能力时，采用 MCP 工具/资源模式更利于标准化接入。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内部高频热路径（排序、竞价、事件处理）不直接依赖协议层，而使用低延迟内部 RPC + event bus 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服务</w:t>
            </w:r>
          </w:p>
        </w:tc>
        <w:tc>
          <w:tcPr>
            <w:tcW w:type="dxa" w:w="6123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职责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agent-discovery-service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抓取、标准化、评分、去重 AgentLead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partner-crm-service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维护合作方信息、审核状态、合同与备注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offer-compiler-service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把商品编译为 OfferCard / ProofBundle / Narrative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opportunity-exchange-service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接收请求、过滤 eligible 活动、返回 BidResponse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ranking-service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计算 relevance、utility、trust、bid 综合分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measurement-service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接收回执、归因、出具结算明细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reputation-ledger-service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更新信誉、保证金、惩罚和申诉状态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policy-risk-service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类目、披露、反作弊、claim 校验、异常检测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组件</w:t>
            </w:r>
          </w:p>
        </w:tc>
        <w:tc>
          <w:tcPr>
            <w:tcW w:type="dxa" w:w="6803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用途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campaign、partner、settlement、audit 数据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Redis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短时状态、节流、机会请求缓存、排序窗口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Kafka / Pulsar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事件流、回执、异步风控、结算任务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向量库 / pgvector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意图与 offer 检索、agent 相似度计算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Object Storage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证据包、截图、文档、审计附件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Feature Store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在线特征与模型服务特征管理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维度</w:t>
            </w:r>
          </w:p>
        </w:tc>
        <w:tc>
          <w:tcPr>
            <w:tcW w:type="dxa" w:w="7370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要求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P0 目标：单次机会请求在 800ms 内返回 shortlist（不含对端展示耗时）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可靠性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关键链路幂等；event receipt 至少一次投递；排序服务可水平扩展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所有受保护资源必须走标准授权；禁止 token 透传与不受控代理调用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审计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从请求、排序、披露到结算的每一步都要保留 trace_id 和操作者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可解释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对外返回 ranking_reason，对内保留完整特征与版本信息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赞助结果必须可披露，并且 buyer agent 必须具备展示披露信息的能力。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对价格、库存、认证、疗效、收益等高风险 claim，必须要求证据与更新时间。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所有惩罚都要能解释，并且保留人工复核与申诉入口，避免误伤优质 partner。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用户相关数据最小化处理，只消费完成排序和结算所必需的意图与约束信息。</w:t>
      </w:r>
    </w:p>
    <w:p>
      <w:r>
        <w:br w:type="page"/>
      </w:r>
    </w:p>
    <w:p>
      <w:pPr>
        <w:pStyle w:val="Heading1"/>
      </w:pPr>
      <w:r>
        <w:t>9. 指标、里程碑与待决事项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指标类型</w:t>
            </w:r>
          </w:p>
        </w:tc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指标名</w:t>
            </w:r>
          </w:p>
        </w:tc>
        <w:tc>
          <w:tcPr>
            <w:tcW w:type="dxa" w:w="4535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定义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北极星指标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Recommendation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进入合格 shortlist 并被 buyer agent 正式呈现给主人 的次数 / 机会请求次数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Detail View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被用户要求展开详情的比例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Action Conversion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预约、试用、咨询、购买等动作转化率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 Shown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有赞助关系的结果中，披露被正常展示的比例，应接近 100%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Claim Mismatch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经复核后判定 claim 与实际不符的比例，应尽量低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Complaint / Spam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用户或 buyer agent 对骚扰、误导、低相关的投诉率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运营指标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Agent Coverage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已验证且可上线的目标 agent 数量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082"/>
            <w:shd w:fill="EFF8F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</w:t>
            </w:r>
          </w:p>
        </w:tc>
        <w:tc>
          <w:tcPr>
            <w:tcW w:type="dxa" w:w="4989"/>
            <w:shd w:fill="EFF8F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建议目标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已验证合作 buyer agents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10 个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每个垂类可投放 Offer 数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50 个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 展示率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99%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Claim mismatch rate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&lt; 1%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平均请求返回时延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&lt; 800ms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shortlist rate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在目标垂类内形成稳定基线，首月重点看趋势而非绝对值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阶段</w:t>
            </w:r>
          </w:p>
        </w:tc>
        <w:tc>
          <w:tcPr>
            <w:tcW w:type="dxa" w:w="669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目标交付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0（0–4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定义垂类、完成数据 schema、手动接入 2–3 个合作方、完成 PRD 与技术方案评审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1（4–10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上线 Discovery、Offer Compiler、Opportunity Exchange、基础排序与手动结算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2（10–16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补齐事件回执、信誉账本、披露审计、风险规则、运营看板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3（16–24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引入保证金、申诉、bandit 优化、多垂类扩展与更丰富激励模型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我们第一阶段聚焦哪个垂类，是否优先选择结构化程度高、转化可验证的 B2B 软件？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buyer agent 的最终排序控制权归谁：平台统一策略、合作方自定义策略，还是混合模式？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保证金与 slashing 何时上线，是否会影响早期 partner 接入阻力？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哪些事件可作为付费事件，是否优先采用 CPQR 而非更复杂的 CPS？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披露文案与 UI 呈现标准由谁定义，是否允许 buyer agent 做二次包装？</w:t>
      </w:r>
    </w:p>
    <w:p>
      <w:pPr>
        <w:pStyle w:val="Heading1"/>
      </w:pPr>
      <w:r>
        <w:t>10. 结论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Promotion Agent 平台的关键，不是“帮广告主买到别人的 agent 排名”，而是搭建一套可持续的 agent 商业分发生态：</w:t>
      </w:r>
      <w:r>
        <w:rPr>
          <w:rFonts w:ascii="Noto Sans CJK SC" w:hAnsi="Noto Sans CJK SC" w:eastAsia="Noto Sans CJK SC" w:cs="Noto Sans CJK SC"/>
          <w:b/>
          <w:i w:val="0"/>
          <w:color w:val="173D78"/>
          <w:sz w:val="21"/>
        </w:rPr>
        <w:t>先保证用户价值，再允许商业激励优化分发效率。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MVP 应该围绕“高质量供给 + 可验证结果 + 可治理合作关系”三个支点展开，优先跑通单一垂类的闭环，然后再扩展到更开放的合作网络。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669"/>
          <w:tcBorders>
            <w:left w:val="nil"/>
            <w:top w:val="nil"/>
            <w:right w:val="nil"/>
            <w:bottom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SC" w:hAnsi="Noto Sans CJK SC" w:eastAsia="Noto Sans CJK SC" w:cs="Noto Sans CJK SC"/>
              <w:b w:val="0"/>
              <w:i w:val="0"/>
              <w:color w:val="5F6B7A"/>
              <w:sz w:val="17"/>
            </w:rPr>
            <w:t>Promotion Agent 平台 PRD｜内部讨论稿</w:t>
          </w:r>
        </w:p>
      </w:tc>
      <w:tc>
        <w:tcPr>
          <w:tcW w:type="dxa" w:w="3969"/>
          <w:tcBorders>
            <w:left w:val="nil"/>
            <w:top w:val="nil"/>
            <w:right w:val="nil"/>
            <w:bottom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 w:cs="Noto Sans CJK SC"/>
              <w:b w:val="0"/>
              <w:i w:val="0"/>
              <w:color w:val="5F6B7A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8F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20"/>
    </w:pPr>
    <w:rPr>
      <w:rFonts w:ascii="Noto Serif CJK SC" w:hAnsi="Noto Serif CJK SC" w:eastAsia="Noto Serif CJK SC"/>
      <w:b/>
      <w:color w:val="173D78"/>
      <w:sz w:val="48"/>
    </w:rPr>
  </w:style>
  <w:style w:type="paragraph" w:customStyle="1" w:styleId="CustomSubtitle">
    <w:name w:val="CustomSubtitle"/>
    <w:pPr>
      <w:spacing w:after="80"/>
    </w:pPr>
    <w:rPr>
      <w:rFonts w:ascii="Noto Sans CJK SC" w:hAnsi="Noto Sans CJK SC" w:eastAsia="Noto Sans CJK SC"/>
      <w:color w:val="5F6B7A"/>
      <w:sz w:val="23"/>
    </w:rPr>
  </w:style>
  <w:style w:type="paragraph" w:customStyle="1" w:styleId="BulletCustom">
    <w:name w:val="BulletCustom"/>
    <w:pPr>
      <w:spacing w:after="40" w:line="300" w:lineRule="auto"/>
      <w:ind w:left="312" w:hanging="181"/>
    </w:pPr>
    <w:rPr>
      <w:rFonts w:ascii="Noto Sans CJK SC" w:hAnsi="Noto Sans CJK SC" w:eastAsia="Noto Sans CJK SC"/>
      <w:sz w:val="21"/>
    </w:rPr>
  </w:style>
  <w:style w:type="paragraph" w:customStyle="1" w:styleId="SmallText">
    <w:name w:val="SmallText"/>
    <w:pPr>
      <w:spacing w:after="40"/>
    </w:pPr>
    <w:rPr>
      <w:rFonts w:ascii="Noto Sans CJK SC" w:hAnsi="Noto Sans CJK SC" w:eastAsia="Noto Sans CJK SC"/>
      <w:color w:val="5F6B7A"/>
      <w:sz w:val="17"/>
    </w:rPr>
  </w:style>
  <w:style w:type="paragraph" w:customStyle="1" w:styleId="Mono">
    <w:name w:val="Mono"/>
    <w:pPr>
      <w:spacing w:line="276" w:lineRule="auto" w:after="20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