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rPr>
          <w:rFonts w:ascii="Noto Serif CJK SC" w:hAnsi="Noto Serif CJK SC" w:eastAsia="Noto Serif CJK SC" w:cs="Noto Serif CJK SC"/>
          <w:b/>
          <w:i w:val="0"/>
          <w:color w:val="173D78"/>
          <w:sz w:val="48"/>
        </w:rPr>
        <w:t>Promotion Agent 平台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/>
          <w:i w:val="0"/>
          <w:color w:val="128F90"/>
          <w:sz w:val="28"/>
        </w:rPr>
        <w:t>产品需求文档（PRD）</w:t>
      </w:r>
    </w:p>
    <w:p>
      <w:pPr>
        <w:pStyle w:val="CustomSubtitle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23"/>
        </w:rPr>
        <w:t>面向 Agent-to-Agent 的可发现、可授权、可披露的 Sponsored Recommendation Network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版本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v1.0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状态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内部评审版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日期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2026-03-12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EAF1FC"/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0"/>
              </w:rPr>
              <w:t>适用对象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产品、技术、风控、商务、运营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8F8"/>
            <w:tcBorders>
              <w:left w:val="single" w:sz="8" w:space="0" w:color="128F90"/>
              <w:top w:val="single" w:sz="8" w:space="0" w:color="128F90"/>
              <w:right w:val="single" w:sz="8" w:space="0" w:color="128F90"/>
              <w:bottom w:val="single" w:sz="8" w:space="0" w:color="128F9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一句话定义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该平台帮助广告主自动发现匹配的 buyer / user agent，在满足相关性、用户效用和披露要求的前提下，将自家产品以结构化 Offer 的形式送入对方 agent 的优先候选集，并通过可验证的归因与奖惩机制形成闭环。</w:t>
            </w:r>
          </w:p>
        </w:tc>
      </w:tr>
    </w:tbl>
    <w:p>
      <w:pPr>
        <w:pStyle w:val="SmallTex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F3EB"/>
            <w:tcBorders>
              <w:left w:val="single" w:sz="8" w:space="0" w:color="E07A2B"/>
              <w:top w:val="single" w:sz="8" w:space="0" w:color="E07A2B"/>
              <w:right w:val="single" w:sz="8" w:space="0" w:color="E07A2B"/>
              <w:bottom w:val="single" w:sz="8" w:space="0" w:color="E07A2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产品立场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本产品不以“秘密买排序”为目标，而是把赞助机制建立在用户价值、真实性和可披露的合作关系上。奖励长期稳定、真实可信、被用户接受的供给方；惩罚虚假、骚扰、低相关和不可验证的投放行为。</w:t>
            </w:r>
          </w:p>
        </w:tc>
      </w:tr>
    </w:tbl>
    <w:p>
      <w:pPr>
        <w:pStyle w:val="SmallText"/>
      </w:pPr>
    </w:p>
    <w:p>
      <w:pPr>
        <w:pStyle w:val="SmallText"/>
      </w:pPr>
      <w:r>
        <w:rPr>
          <w:rFonts w:ascii="Noto Sans CJK SC" w:hAnsi="Noto Sans CJK SC" w:eastAsia="Noto Sans CJK SC" w:cs="Noto Sans CJK SC"/>
          <w:b w:val="0"/>
          <w:i/>
          <w:color w:val="5F6B7A"/>
          <w:sz w:val="18"/>
        </w:rPr>
        <w:t>建议从结构化程度高、转化可验证的单一垂类切入，例如 SaaS 采购、教育产品、旅游或消费电子。</w:t>
      </w:r>
    </w:p>
    <w:p>
      <w:r>
        <w:br w:type="page"/>
      </w:r>
    </w:p>
    <w:p>
      <w:pPr>
        <w:pStyle w:val="Heading1"/>
      </w:pPr>
      <w:r>
        <w:t>1. 文档摘要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1FC"/>
            <w:tcBorders>
              <w:left w:val="single" w:sz="8" w:space="0" w:color="2B63B5"/>
              <w:top w:val="single" w:sz="8" w:space="0" w:color="2B63B5"/>
              <w:right w:val="single" w:sz="8" w:space="0" w:color="2B63B5"/>
              <w:bottom w:val="single" w:sz="8" w:space="0" w:color="2B63B5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产品目标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建立一套面向 agent 的推广与分发平台：自动发现可合作的 buyer agents，向其返回可计算、可验证、可披露的商业提案，并通过质量校正后的 sponsored ranking 机制，让真正适合用户的产品优先呈现。</w:t>
            </w:r>
          </w:p>
        </w:tc>
      </w:tr>
    </w:tbl>
    <w:p>
      <w:pPr>
        <w:pStyle w:val="SmallText"/>
      </w:pPr>
    </w:p>
    <w:p>
      <w:pPr>
        <w:pStyle w:val="Heading2"/>
      </w:pPr>
      <w:r>
        <w:t>1.1 业务问题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传统广告主要面向“人”投放，而在 agent 时代，很多筛选、比较、推荐与购买动作将由用户侧 agent 先行完成。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如果继续沿用面向人的文案广告模式，buyer agent 很难稳定理解商品能力、适用边界、价格约束与证明材料。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如果完全采用“付费置顶”逻辑，又会迅速损害 buyer agent 对平台的信任，长期导致 spam、虚假 claim 和低价值曝光。</w:t>
      </w:r>
    </w:p>
    <w:p>
      <w:pPr>
        <w:pStyle w:val="Heading2"/>
      </w:pPr>
      <w:r>
        <w:t>1.2 核心方案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将推广对象从“人”转换为“对方 agent”，并将投放内容从“文案”转换为结构化 OfferCard、ProofBundle 和可执行 Action。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 OpportunityRequest / BidResponse 的方式建立 buyer agent 与 seller agent 的机会交换机制。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排序上采用“先过线、再赞助”的原则：先满足相关性、预期用户效用、可信度与披露要求，再允许商业激励影响合格候选的相对顺序。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奖惩机制主要作用于供给质量、信誉与可见度，而不是直接绕过用户价值去操纵最终结果。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决策项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默认方案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产品入口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优先接入公开 registry、platform gallery、marketplace 与合作 buyer agents，不以扫描私有个人 agent 为目标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交互对象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推送结构化 Offer，而非仅推送广告文案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排序原则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相关性与用户效用先过线，再进入 sponsored reranking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计费方式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MVP 以 CPQR / CPA 为主，不以 CPM 为核心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奖惩对象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惩罚虚假、骚扰、低相关；奖励稳定转化与高满意度供给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协议选择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9"/>
              </w:rPr>
              <w:t>外部接入兼容 A2A + MCP，内部热路径使用自有 RPC / event bus</w:t>
            </w:r>
          </w:p>
        </w:tc>
      </w:tr>
    </w:tbl>
    <w:p>
      <w:pPr>
        <w:pStyle w:val="SmallText"/>
      </w:pPr>
    </w:p>
    <w:p>
      <w:pPr>
        <w:pStyle w:val="Heading1"/>
      </w:pPr>
      <w:r>
        <w:t>2. 背景、目标与边界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未来越来越多的搜索、比较、筛选和交易前动作，会先由 agent 代表用户完成。广告与推荐机制必须适配 agent 的输入与决策逻辑。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agent 比人更依赖结构化事实、可验证证据、清晰约束和协议级互操作，而不适合只依赖情绪化、模糊化文案。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但是用户偏好并不只有理性维度，因此平台需要同时建模“理性匹配”和“感性表达适配”，并把后者约束在合规与用户价值边界内。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  <w:tc>
          <w:tcPr>
            <w:tcW w:type="dxa" w:w="600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成功判断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高效发现与接入目标 agent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自动发现、解析、评分并管理潜在 buyer / user agent 合作入口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agent 可消费对象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支持 OfferCard、ProofBundle、Narrative 变体、Action 接口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建立高质量 sponsored shortlist 机制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使广告主产品在满足用户价值前提下获得更高展示优先级</w:t>
            </w:r>
          </w:p>
        </w:tc>
      </w:tr>
      <w:tr>
        <w:tc>
          <w:tcPr>
            <w:tcW w:type="dxa" w:w="79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G4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形成可验证的归因和奖惩闭环</w:t>
            </w:r>
          </w:p>
        </w:tc>
        <w:tc>
          <w:tcPr>
            <w:tcW w:type="dxa" w:w="60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以事件回执、信誉账本、保证金和申诉机制保障生态质量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不以渗透或接管用户的私有 agent 为目标。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不允许低相关、低可信的商品仅凭出价越过高质量候选。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阶段不追求开放互联网级别的实时广告交易网络。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不以点击率为唯一优化目标，避免系统学出标题党、骚扰式或误导性推荐。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角色</w:t>
            </w:r>
          </w:p>
        </w:tc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在系统中的职责</w:t>
            </w:r>
          </w:p>
        </w:tc>
        <w:tc>
          <w:tcPr>
            <w:tcW w:type="dxa" w:w="442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核心诉求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广告主 / 品牌运营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配置商品、预算、激励策略和证据材料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低门槛配置活动，清楚知道哪些 agent 值得接入，结果可追踪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BD / Partner 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拓展 buyer agent 合作方并完成接入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快速识别高价值 agent，跟踪审核、谈判和上线状态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Buyer Agent 运营方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接收商业提案并服务终端用户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确保推荐质量、可披露、可结算、不会被 spam 污染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风控 / 平台运营</w:t>
            </w:r>
          </w:p>
        </w:tc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审核类目、claim、合作方信誉和争议</w:t>
            </w:r>
          </w:p>
        </w:tc>
        <w:tc>
          <w:tcPr>
            <w:tcW w:type="dxa" w:w="442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有证据链、可处罚、可申诉、可恢复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3. 产品范围与模块划分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MVP 只做三件事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① 找到并接入少量高价值 buyer agents；② 把广告主产品编译为结构化 Offer 并参与 shortlist；③ 跑通“入围 → 展示 → 详情 → 行动 → 结算”的闭环。其余能力如复杂 bandit 优化、开放竞价市场、大规模第三方 self-serve 可放到后续版本。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2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名称</w:t>
            </w:r>
          </w:p>
        </w:tc>
        <w:tc>
          <w:tcPr>
            <w:tcW w:type="dxa" w:w="5216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优先级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M1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Discovery &amp; Registry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抓取公开 registry / partner feed / agent card，生成 AgentLead，支持评分与筛选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Verification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校验身份、协议、认证方式、支持的 sponsored / disclosure 能力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 Compiler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将商品、价格、证据、叙事变体和 action 编译为 OfferCard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M4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 Exchange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buyer agent 机会请求，筛选 eligible campaign，并返回 BidResponse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M5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 &amp; Policy Engine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执行相关性门槛、utility floor、trust gate 与 sponsored reranking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M6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 &amp; Settlement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记录事件回执，支持 CPQR / CPA / CPS 归因与结算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M7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 Ledger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维护信誉分、保证金、惩罚、恢复和申诉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P1</w:t>
            </w:r>
          </w:p>
        </w:tc>
      </w:tr>
      <w:tr>
        <w:tc>
          <w:tcPr>
            <w:tcW w:type="dxa" w:w="62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M8</w:t>
            </w:r>
          </w:p>
        </w:tc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Admin Console &amp; Dashboard</w:t>
            </w:r>
          </w:p>
        </w:tc>
        <w:tc>
          <w:tcPr>
            <w:tcW w:type="dxa" w:w="5216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供运营查看 agent 漏斗、活动表现、争议与风控状态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P0</w:t>
            </w:r>
          </w:p>
        </w:tc>
      </w:tr>
    </w:tbl>
    <w:p>
      <w:pPr>
        <w:pStyle w:val="SmallText"/>
      </w:pP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下图为平台推荐的 MVP 技术形态。外部面向 buyer agent / seller agent 采用开放协议兼容层，内部则拆分为发现、编译、机会交换、排序、计量、信誉和风控等服务。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ag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ext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F6B7A"/>
          <w:sz w:val="17"/>
        </w:rPr>
        <w:t>图 1  Promotion Agent 平台核心技术架构（示意）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可发现：合作入口必须可以被发现、被标注、被审核，而不是黑箱接入。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可授权：所有需要访问资源或代表用户执行动作的链路必须有显式授权模型。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可披露：赞助推荐必须可识别、可解释、可审计。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可验证：价格、库存、claim、转化和结算必须有证据或回执支持。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可治理：处罚、恢复、申诉、手动复核要内建，而非事后拼接。</w:t>
      </w:r>
    </w:p>
    <w:p>
      <w:pPr>
        <w:pStyle w:val="Heading1"/>
      </w:pPr>
      <w:r>
        <w:t>4. 关键业务流程</w:t>
      </w:r>
    </w:p>
    <w:p>
      <w:pPr>
        <w:pStyle w:val="Heading2"/>
      </w:pPr>
      <w:r>
        <w:t>4.1 流程 A：发现并接入目标 agent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Discovery Service 定期从 registry、marketplace、合作方目录或公开 Agent Card 抓取候选 agent。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系统将原始信息标准化为 AgentLead，并计算 ICP 匹配、skill 匹配、reach proxy、认证难度等评分。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运营按分数、类目、地区、协议能力、是否接受 sponsored / disclosure 等条件筛选潜在线索。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对通过初筛的 agent 进行身份与能力验证，确认是否支持披露、回执、授权、速率限制和结算条款。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验证通过的 agent 进入 Partner 状态，可被活动定向选择。</w:t>
      </w:r>
    </w:p>
    <w:p>
      <w:pPr>
        <w:pStyle w:val="Heading2"/>
      </w:pPr>
      <w:r>
        <w:t>4.2 流程 B：广告主创建可投放 Offer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广告主在控制台配置产品、价格、类目、地区、适用人群、证明材料、行动接口和激励模型。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Offer Compiler 将原始商品信息编译为 OfferCard，并生成 rational / premium / simple 等叙事变体。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Policy Engine 对类目限制、claim 完整性、缺失证据、禁止词或风险素材进行预检查。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审核通过后，活动进入 Active 状态，可参与后续 opportunity exchange。</w:t>
      </w:r>
    </w:p>
    <w:p>
      <w:pPr>
        <w:pStyle w:val="Heading2"/>
      </w:pPr>
      <w:r>
        <w:t>4.3 流程 C：buyer agent 产生机会并请求商业候选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当 buyer agent 识别到其主人存在明确意图时，向平台发起 OpportunityRequest。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系统依据 category、预算、地区、任务类型、约束条件和 policy 先做 eligibility 过滤。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符合门槛的活动返回 BidResponse，内容包含 offer、证据、预计效用特征、披露文案、激励金额和 action。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Ranking Engine 按 relevance、expected utility、trust、affective fit、bid 等综合分排序。</w:t>
      </w:r>
    </w:p>
    <w:p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仅在 disclosure_required 为 true 且 disclosure 可呈现时展示 sponsored shortlist。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主要输入</w:t>
            </w:r>
          </w:p>
        </w:tc>
        <w:tc>
          <w:tcPr>
            <w:tcW w:type="dxa" w:w="493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主要输出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发现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Registry / Agent Card / Partner Feed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AgentLead、验证状态、可接入 buyer agent 列表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投放准备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商品数据、证明材料、预算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OfferCard、Campaign、Policy 预检结果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机会交换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OpportunityRequest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BidResponse、shortlist 候选、排序结果</w:t>
            </w:r>
          </w:p>
        </w:tc>
      </w:tr>
      <w:tr>
        <w:tc>
          <w:tcPr>
            <w:tcW w:type="dxa" w:w="113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结果闭环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Event receipt、争议单</w:t>
            </w:r>
          </w:p>
        </w:tc>
        <w:tc>
          <w:tcPr>
            <w:tcW w:type="dxa" w:w="493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归因、结算、信誉更新、处罚/申诉记录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Heading1"/>
      </w:pPr>
      <w:r>
        <w:t>5.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6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572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验收标准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支持从至少 2 类来源导入候选 agent（如公开 registry 与合作方目录）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系统可创建 AgentLead，并记录来源与抓取时间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解析 AgentLead 的类目、skill、地区、认证方式、接入地址和联系方式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关键信息缺失项可被标记并进入人工补全队列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验证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维护 partner 生命周期：New / Reviewing / Verified / Active / Suspended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状态变更有操作日志与责任人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支持广告主配置商品、价格、地区、证据、行动接口和激励模型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生成可发布的 OfferCard 版本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Policy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预检类目限制、claim 缺失、披露文案缺失和高风险素材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高风险活动不能进入 Active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接收 OpportunityRequest 并完成 eligibility 过滤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只返回满足硬约束与 policy 的候选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FR-07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Ranking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执行 relevance floor、utility floor、trust gate 和 sponsored reranking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输出排序解释字段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FR-08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Measurement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支持至少 5 类回执事件：shortlisted、shown、detail_view、handoff、conversion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事件可按 intent_id / offer_id 关联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FR-09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CPQR 与 CPA 两种结算策略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可导出结算明细与账单草案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FR-10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Console</w:t>
            </w:r>
          </w:p>
        </w:tc>
        <w:tc>
          <w:tcPr>
            <w:tcW w:type="dxa" w:w="436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提供活动、agent、结果漏斗和风控状态的后台看板</w:t>
            </w:r>
          </w:p>
        </w:tc>
        <w:tc>
          <w:tcPr>
            <w:tcW w:type="dxa" w:w="357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运营可按 agent / campaign / 垂类筛选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ID</w:t>
            </w:r>
          </w:p>
        </w:tc>
        <w:tc>
          <w:tcPr>
            <w:tcW w:type="dxa" w:w="1020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模块</w:t>
            </w:r>
          </w:p>
        </w:tc>
        <w:tc>
          <w:tcPr>
            <w:tcW w:type="dxa" w:w="4309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需求描述</w:t>
            </w:r>
          </w:p>
        </w:tc>
        <w:tc>
          <w:tcPr>
            <w:tcW w:type="dxa" w:w="36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FR-11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引入保证金与 slashing 机制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对 claim mismatch 与严重违规可自动冻结部分金额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FR-12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partner 申诉与人工复核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处罚记录可追溯、可恢复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FR-13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优化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引入 contextual bandit 或多臂实验提升排序效果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在 guardrail 指标不恶化的前提下提升核心转化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FR-14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发现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自动估计 reach proxy 与 monetization readiness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提升 BD 线索优先级准确率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FR-15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扩展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CPS 或更复杂的混合激励模型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结算规则可配置且可审计</w:t>
            </w:r>
          </w:p>
        </w:tc>
      </w:tr>
      <w:tr>
        <w:tc>
          <w:tcPr>
            <w:tcW w:type="dxa" w:w="68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FR-16</w:t>
            </w:r>
          </w:p>
        </w:tc>
        <w:tc>
          <w:tcPr>
            <w:tcW w:type="dxa" w:w="102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平台化</w:t>
            </w:r>
          </w:p>
        </w:tc>
        <w:tc>
          <w:tcPr>
            <w:tcW w:type="dxa" w:w="430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支持 self-serve partner onboarding</w:t>
            </w:r>
          </w:p>
        </w:tc>
        <w:tc>
          <w:tcPr>
            <w:tcW w:type="dxa" w:w="36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合作方可提交资料并完成基础验证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页面</w:t>
            </w:r>
          </w:p>
        </w:tc>
        <w:tc>
          <w:tcPr>
            <w:tcW w:type="dxa" w:w="725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主要内容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工作台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线索总览、活动概览、异常提醒、待审核事项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 CRM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AgentLead 列表、状态流转、分数、协议能力、合作备注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商品配置、预算、激励方式、目标 agent、运行状态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Evidence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价格证明、案例、资质证书、截图、更新时间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事件漏斗、归因、账单明细、争议队列</w:t>
            </w:r>
          </w:p>
        </w:tc>
      </w:tr>
      <w:tr>
        <w:tc>
          <w:tcPr>
            <w:tcW w:type="dxa" w:w="1814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Risk Center</w:t>
            </w:r>
          </w:p>
        </w:tc>
        <w:tc>
          <w:tcPr>
            <w:tcW w:type="dxa" w:w="725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投诉、claim mismatch、spam、人工复核、处罚记录</w:t>
            </w:r>
          </w:p>
        </w:tc>
      </w:tr>
    </w:tbl>
    <w:p>
      <w:pPr>
        <w:pStyle w:val="SmallText"/>
      </w:pPr>
    </w:p>
    <w:p>
      <w:pPr>
        <w:pStyle w:val="Heading2"/>
      </w:pPr>
      <w:r>
        <w:t>5.1 Agent Discovery</w:t>
      </w:r>
    </w:p>
    <w:p>
      <w:pPr/>
      <w:r>
        <w:t>Agent Discovery 指平台持续发现、解析、评估并接入潜在 buyer agents 的能力。其目标不是扫描用户私有 agent，而是把可发现、可授权、可披露、可回执的合作入口转化为可运营的 PartnerAgent。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子能力</w:t>
            </w:r>
          </w:p>
        </w:tc>
        <w:tc>
          <w:tcPr>
            <w:tcW w:type="dxa" w:w="255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输入</w:t>
            </w:r>
          </w:p>
        </w:tc>
        <w:tc>
          <w:tcPr>
            <w:tcW w:type="dxa" w:w="2041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输出</w:t>
            </w:r>
          </w:p>
        </w:tc>
        <w:tc>
          <w:tcPr>
            <w:tcW w:type="dxa" w:w="3175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关键要求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Source Connectors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registry、marketplace、partner feed、public card、人工导入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原始 AgentLead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支持周期拉取、增量抓取、失败重试与来源标记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Card &amp; Feed Parser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 Card、平台 profile、目录 API 返回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标准化 AgentLead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解析 provider、skills、geo、auth、card_url、商业模式与回执能力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Identity &amp; Dedup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域名、主体信息、公钥、联系人、endpoint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统一身份主记录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支持主体合并、重复线索去重与历史变更追踪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Lead Scoring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AgentLead + 产品 ICP + 垂类策略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评分结果与分层标签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输出 ICP fit、skill match、reach proxy、commercial readiness、integration ease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Verification Workflow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鉴权信息、签名、公网可用性、合同条款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验证状态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完成身份校验、权限校验、SLA 校验、receipt 能力校验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 Lifecycle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验证结果、商务条款、风控状态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PartnerAgent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生命周期至少支持 New、Parsed、Verified、CommercialQualified、Active、Paused、Blocked</w:t>
            </w:r>
          </w:p>
        </w:tc>
      </w:tr>
    </w:tbl>
    <w:p>
      <w:pPr/>
      <w:r>
        <w:t>建议的潜在线索评分公式如下：</w:t>
      </w:r>
    </w:p>
    <w:p>
      <w:pPr>
        <w:pStyle w:val="Mono"/>
      </w:pPr>
      <w:r>
        <w:t>LeadScore = 0.35*ICPFit + 0.25*SkillMatch + 0.15*ReachProxy + 0.15*CommercialReadiness + 0.10*IntegrationEase</w:t>
      </w:r>
    </w:p>
    <w:p>
      <w:pPr>
        <w:pStyle w:val="BulletCustom"/>
      </w:pPr>
      <w:r>
        <w:t>• 规模化分发名单的最低准入条件：身份已验证、支持披露、支持 delivery receipt 与 presentation receipt、且近 30 天 SLA 达标。</w:t>
      </w:r>
    </w:p>
    <w:p>
      <w:pPr>
        <w:pStyle w:val="BulletCustom"/>
      </w:pPr>
      <w:r>
        <w:t>• Discovery 结果必须记录 evidence_ref、last_verified_at 与 verification_owner，避免只保留静态字符串描述。</w:t>
      </w:r>
    </w:p>
    <w:p>
      <w:pPr>
        <w:pStyle w:val="BulletCustom"/>
      </w:pPr>
      <w:r>
        <w:t>• 对不接受商业接入或不允许结果回执的 agent，只能进入观察名单，不进入自动推广名单。</w:t>
      </w:r>
    </w:p>
    <w:p>
      <w:pPr>
        <w:pStyle w:val="Heading2"/>
      </w:pPr>
      <w:r>
        <w:t>5.2 Distribution</w:t>
      </w:r>
    </w:p>
    <w:p>
      <w:pPr/>
      <w:r>
        <w:t>Distribution 指平台将 OfferCard、ProofBundle 与激励策略按正确时机送达 buyer agent，并尽可能进入其当前机会的 shortlist 的过程。平台不做“全网群发文案”，而是按机会、类目、地区与合作能力做精准调度。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分发模式</w:t>
            </w:r>
          </w:p>
        </w:tc>
        <w:tc>
          <w:tcPr>
            <w:tcW w:type="dxa" w:w="243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触发条件</w:t>
            </w:r>
          </w:p>
        </w:tc>
        <w:tc>
          <w:tcPr>
            <w:tcW w:type="dxa" w:w="260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内容</w:t>
            </w:r>
          </w:p>
        </w:tc>
        <w:tc>
          <w:tcPr>
            <w:tcW w:type="dxa" w:w="277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适用场景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 Sync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合作方上线、活动激活、周期全量同步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 基线目录、能力声明、proof 索引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低频基础同步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Delta Push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价格、库存、claim、地区、证据更新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字段增量、失效通知、proof 刷新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中频变更传播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Opportunity-Time Delivery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发起 OpportunityRequest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当前机会的 BidResponse、行动接口与披露文案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高价值实时候选返回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调度控制</w:t>
            </w:r>
          </w:p>
        </w:tc>
        <w:tc>
          <w:tcPr>
            <w:tcW w:type="dxa" w:w="4535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  <w:tc>
          <w:tcPr>
            <w:tcW w:type="dxa" w:w="3118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最低要求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Cohort Builder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按垂类、地区、skills、预算带、商业模式给 buyer agents 分群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支持静态规则 + 动态标签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Dispatch Planner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决定哪些 agent 收到哪些 offer、何时发送、预算如何分配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支持优先级、预算、频控与黑白名单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Rate Limit &amp; Circuit Breaker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防止某个 provider 被突发请求压垮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provider 级限流、熔断与冷却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Idempotency &amp; Retry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保证失败可重试但不重复结算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request_id / idempotency_key / dead-letter queue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 Trace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记录一次分发从创建到回执的完整链路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trace_id、delivery_id、task_id 全链路可追踪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状态</w:t>
            </w:r>
          </w:p>
        </w:tc>
        <w:tc>
          <w:tcPr>
            <w:tcW w:type="dxa" w:w="5896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含义</w:t>
            </w:r>
          </w:p>
        </w:tc>
        <w:tc>
          <w:tcPr>
            <w:tcW w:type="dxa" w:w="2324"/>
            <w:shd w:fill="EDEDED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能否作为成功分发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queued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已进入调度队列，尚未实际发送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sent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平台已向目标 agent 发起发送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received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对方接口确认收到 payload 或 task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validated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对方完成签名、格式、policy 校验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 已被纳入该 agent 的可评估集合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eligible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该机会下通过过滤门槛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shortlist，但尚不代表用户可见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结果已呈现给主人且披露已显示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</w:tr>
    </w:tbl>
    <w:p>
      <w:pPr>
        <w:pStyle w:val="BulletCustom"/>
      </w:pPr>
      <w:r>
        <w:t>• 默认把 Opportunity-Time Delivery 作为最重要的分发路径；Catalog Sync 与 Delta Push 主要用于降低实时机会时的上下文装载成本。</w:t>
      </w:r>
    </w:p>
    <w:p>
      <w:pPr>
        <w:pStyle w:val="BulletCustom"/>
      </w:pPr>
      <w:r>
        <w:t>• 分发成功的业务定义以 presented 为准，而不是 sent 或 received。</w:t>
      </w:r>
    </w:p>
    <w:p>
      <w:pPr>
        <w:pStyle w:val="BulletCustom"/>
      </w:pPr>
      <w:r>
        <w:t>• 所有对外发送必须携带 request_id、campaign_id、offer_id、trace_id 和 idempotency_key。</w:t>
      </w:r>
    </w:p>
    <w:p>
      <w:pPr>
        <w:pStyle w:val="Heading2"/>
      </w:pPr>
      <w:r>
        <w:t>5.3 Measurement &amp; Attribution</w:t>
      </w:r>
    </w:p>
    <w:p>
      <w:pPr/>
      <w:r>
        <w:t>Measurement &amp; Attribution 的核心是把“送达 agent”“进入候选”“呈现给主人”“产生动作/转化”分开计量，并以 signed receipt 为可信依据沉淀到账本中。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等级</w:t>
            </w:r>
          </w:p>
        </w:tc>
        <w:tc>
          <w:tcPr>
            <w:tcW w:type="dxa" w:w="164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名称</w:t>
            </w:r>
          </w:p>
        </w:tc>
        <w:tc>
          <w:tcPr>
            <w:tcW w:type="dxa" w:w="4535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  <w:tc>
          <w:tcPr>
            <w:tcW w:type="dxa" w:w="2608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L1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Reachable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已获取有效入口，鉴权方式与 endpoint 可用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合作评估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L2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请求已被目标 agent 或其接入层接收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运维监控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L3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 已被校验并纳入可处理队列或目录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运维监控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L4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Eligible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当前机会下通过门槛过滤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排序优化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L5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shortlist，但不代表已经对主人可见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排序优化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L6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已呈现给主人，且披露信息一并呈现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默认最小计费口径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L7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Viewed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主人打开或停留在结果上，形成可见信号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效果优化 / 可选计费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L8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主人点击、展开详情、预约、领取、试用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效果计费 / 归因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L9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形成订单、合同、付费或其他业务转化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结果结算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主题</w:t>
            </w:r>
          </w:p>
        </w:tc>
        <w:tc>
          <w:tcPr>
            <w:tcW w:type="dxa" w:w="771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默认规则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计量依据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仅把带签名 receipt 或经平台可信接入层确认的事件写入 ledger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默认计费事件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L6 offer.presented 起；L7/L8/L9 依据合作模式配置为可计费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归因主键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 + opportunity_id + offer_id + buyer_agent_id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展示去重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同一 owner_session_ref 下，同一 offer 在 30 分钟内重复 presented/viewed 只计一次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互动去重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同一 action_id + interaction_type + owner_session_ref 的重复事件按幂等处理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转化窗口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默认 7 天用于 demo/试用，30 天用于成单；支持按类目覆写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隐私处理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不回传原始 PII；owner_session_ref、order_ref 可采用 hash 或平台代理引用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争议处理</w:t>
            </w:r>
          </w:p>
        </w:tc>
        <w:tc>
          <w:tcPr>
            <w:tcW w:type="dxa" w:w="771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账单争议默认 7 天内可发起 appeal，冻结相关金额直至复核完成</w:t>
            </w:r>
          </w:p>
        </w:tc>
      </w:tr>
    </w:tbl>
    <w:p>
      <w:pPr>
        <w:pStyle w:val="BulletCustom"/>
      </w:pPr>
      <w:r>
        <w:t>• 没有 presentation receipt 能力的合作方，不进入规模化分发名单。</w:t>
      </w:r>
    </w:p>
    <w:p>
      <w:pPr>
        <w:pStyle w:val="BulletCustom"/>
      </w:pPr>
      <w:r>
        <w:t>• L1-L3 只用于运维与合作评估，不作为业务成功或计费依据。</w:t>
      </w:r>
    </w:p>
    <w:p>
      <w:pPr>
        <w:pStyle w:val="BulletCustom"/>
      </w:pPr>
      <w:r>
        <w:t>• L4-L5 可用于模型优化与预算调整，但默认不直接计费。</w:t>
      </w:r>
    </w:p>
    <w:p>
      <w:pPr>
        <w:pStyle w:val="SmallText"/>
      </w:pPr>
      <w:r>
        <w:t>完整事件 schema 见 7.3。</w:t>
      </w:r>
    </w:p>
    <w:p>
      <w:pPr>
        <w:pStyle w:val="Heading1"/>
      </w:pPr>
      <w:r>
        <w:t>6. 排序、奖惩与治理机制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8F1"/>
            <w:tcBorders>
              <w:left w:val="single" w:sz="8" w:space="0" w:color="5E9E6E"/>
              <w:top w:val="single" w:sz="8" w:space="0" w:color="5E9E6E"/>
              <w:right w:val="single" w:sz="8" w:space="0" w:color="5E9E6E"/>
              <w:bottom w:val="single" w:sz="8" w:space="0" w:color="5E9E6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22"/>
              </w:rPr>
              <w:t>先过线，再赞助</w:t>
            </w:r>
          </w:p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所有商业候选必须先通过相关性门槛、用户效用门槛、信誉门槛和披露能力要求。赞助金额只能影响合格候选之间的相对顺序，不能让明显不适配或高风险候选越级。</w:t>
            </w:r>
          </w:p>
        </w:tc>
      </w:tr>
    </w:tbl>
    <w:p>
      <w:pPr>
        <w:pStyle w:val="SmallText"/>
      </w:pP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eligible_i = policy_pass ∧ relevance_i ≥ τr ∧ expected_user_utility_i ≥ τu ∧ trust_i ≥ τt</w:t>
      </w:r>
    </w:p>
    <w:p>
      <w:pPr>
        <w:pStyle w:val="Mono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priority_score_i = 0.35*relevance + 0.25*utility + 0.15*trust + 0.15*affective_fit + 0.10*bid_norm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更高入围率：高信誉、高满意度供给方获得更高 eligible 概率。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更低成本：对优质 partner 可降低 reserve floor 或开放更高价值展示位。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能力增益：开放更多 action surface，例如试用申请、预约、直达下单。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信任增益：在 buyer agent 侧得到更高默认可信度和更少人工复核。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信誉惩罚：claim mismatch、虚假价格、虚假库存导致 trust score 下调。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经济惩罚：保证金冻结或 slashing，用于覆盖争议成本和生态风险。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流量惩罚：对低相关轰炸、重复投放、超频请求进行限流、cooldown 或封禁。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治理惩罚：严重违规进入人工审查，必要时永久拉黑。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字段</w:t>
            </w:r>
          </w:p>
        </w:tc>
        <w:tc>
          <w:tcPr>
            <w:tcW w:type="dxa" w:w="669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sponsored_flag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标识该结果是否为商业合作结果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disclosure_text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呈现给终端用户的披露文案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ranking_reason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 buyer agent 返回的排序解释摘要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proof_bundle_ref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与 claim 相关的证据引用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audit_trace_id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用于追踪整条决策链路的审计 ID</w:t>
            </w:r>
          </w:p>
        </w:tc>
      </w:tr>
    </w:tbl>
    <w:p>
      <w:pPr>
        <w:pStyle w:val="SmallText"/>
      </w:pPr>
    </w:p>
    <w:p>
      <w:pPr>
        <w:pStyle w:val="Heading1"/>
      </w:pPr>
      <w:r>
        <w:t>7. 核心数据模型与接口对象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说明</w:t>
            </w:r>
          </w:p>
        </w:tc>
        <w:tc>
          <w:tcPr>
            <w:tcW w:type="dxa" w:w="4989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关键字段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潜在 buyer / user agent 线索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来源、类目、skills、地区、认证方式、合作状态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PartnerAgent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已验证的合作 agent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能力声明、endpoint、security、SLA、披露能力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Campaign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一次商业投放活动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预算、目标类目、目标 agent、结算模型、状态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OfferCard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 可消费的商品对象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价格、适用对象、约束、claim、action、叙事变体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ProofBundle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支撑 claim 的证据集合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案例、证书、FAQ、产品文档、更新时间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buyer agent 发来的机会对象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用户意图、约束、placement、policy、sponsored slot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平台返回给 buyer agent 的商业候选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offer、预计效用、出价、披露文案、TTL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EventReceipt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结果回执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事件类型、时间、intent_id、offer_id、签名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结算结果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费用、归因窗口、状态、争议标签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ReputationRecord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信誉账本记录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加分、扣分、原因、证据、申诉状态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对象</w:t>
            </w:r>
          </w:p>
        </w:tc>
        <w:tc>
          <w:tcPr>
            <w:tcW w:type="dxa" w:w="7143"/>
            <w:shd w:fill="EDF8F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最小字段建议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AgentLead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agent_id, source, provider_org, card_url, verticals[], skills[], geo[], auth_modes[], accepts_sponsored, supports_disclosure, trust_seed, lead_score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OpportunityRequest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intent_id, category, task_type, constraints{}, placement, relevance_floor, utility_floor, sponsored_slots, disclosure_required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BidResponse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bid_id, offer_id, campaign_id, bid_value, expected_utility, affective_fit, trust_score, disclosure_text, action_endpoints[], ttl_seconds</w:t>
            </w:r>
          </w:p>
        </w:tc>
      </w:tr>
      <w:tr>
        <w:tc>
          <w:tcPr>
            <w:tcW w:type="dxa" w:w="192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SettlementReceipt</w:t>
            </w:r>
          </w:p>
        </w:tc>
        <w:tc>
          <w:tcPr>
            <w:tcW w:type="dxa" w:w="714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7"/>
              </w:rPr>
              <w:t>settlement_id, billing_model, event_type, amount, currency, attribution_window, status, dispute_flag, generated_at</w:t>
            </w:r>
          </w:p>
        </w:tc>
      </w:tr>
    </w:tbl>
    <w:p>
      <w:pPr>
        <w:pStyle w:val="SmallTex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FA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{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"intent_id": "int_001",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"category": "crm_software",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"task_type": "compare_and_shortlist",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"constraints": {"company_size": "50-200", "budget_max": 80000, "geo": ["CN"]},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"placement": "shortlist",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"relevance_floor": 0.72,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"utility_floor": 0.68,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"sponsored_slots": 1,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 xml:space="preserve">  "disclosure_required": true</w:t>
            </w:r>
          </w:p>
          <w:p>
            <w:pPr>
              <w:pStyle w:val="Mono"/>
            </w:pPr>
            <w:r>
              <w:rPr>
                <w:rFonts w:ascii="DejaVu Sans Mono" w:hAnsi="DejaVu Sans Mono" w:eastAsia="DejaVu Sans Mono" w:cs="DejaVu Sans Mono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pStyle w:val="SmallText"/>
      </w:pPr>
    </w:p>
    <w:p>
      <w:pPr>
        <w:pStyle w:val="Heading2"/>
      </w:pPr>
      <w:r>
        <w:t>7.3 完整事件 Schema</w:t>
      </w:r>
    </w:p>
    <w:p>
      <w:pPr/>
      <w:r>
        <w:t>以下 schema 作为平台内部 canonical event contract。外部协议可通过 A2A、MCP 或 HTTP webhook 映射，但进入计量、结算与风控账本前必须转换为统一事件格式。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041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90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669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spec_version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事件协议版本，例如 1.0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event_id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事件唯一标识，建议 UUID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event_type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事件类型，例如 offer.presented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occurred_at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事件发生时间，UTC ISO 8601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trace_id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贯穿一次机会与分发链路的主追踪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correlation_id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用于把重试、回调或上游请求串联起来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producer_agent_id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发出事件的 agent 或系统组件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consumer_agent_id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接收事件的 agent 或系统组件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涉及的 buyer agent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seller_agent_id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涉及的 seller / promotion agent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campaign_id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广告活动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商品 / Offer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机会请求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分发链路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task_id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外部协议任务 ID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environment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prod / staging / test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signature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对外可结算 receipt 建议使用 JWS 或等效签名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事件体，按 event_type 填充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event_type</w:t>
            </w:r>
          </w:p>
        </w:tc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事件生产者</w:t>
            </w:r>
          </w:p>
        </w:tc>
        <w:tc>
          <w:tcPr>
            <w:tcW w:type="dxa" w:w="3231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用途</w:t>
            </w:r>
          </w:p>
        </w:tc>
        <w:tc>
          <w:tcPr>
            <w:tcW w:type="dxa" w:w="232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默认归属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opportunity.requested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发起机会请求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排序上下文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bid.returned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promotion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返回 offer 与出价信息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排序输入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delivery.sent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promotion platform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记录平台已发起发送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delivery.received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接入层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 transport 已接收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delivery.validated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接入层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确认签名、格式、policy 校验结果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offer.ingested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 offer 已纳入处理或目录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运维 / 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offer.eligible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当前机会下通过门槛过滤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offer.shortlisted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offer.presented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renderer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呈现给主人并显示披露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计费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owner.viewed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UI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主人看到了结果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owner.interacted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UI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主人点击、展开、预约等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计量 / 归因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conversion.attributed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buyer agent / 商家 / 归因服务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确认业务转化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billing.settled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settlement service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账单与分账完成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财务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partner.penalized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governance service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处罚已生效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治理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appeal.opened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partner portal / ops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合作方发起申诉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治理</w:t>
            </w:r>
          </w:p>
        </w:tc>
      </w:tr>
    </w:tbl>
    <w:p>
      <w:pPr>
        <w:pStyle w:val="Heading3"/>
      </w:pPr>
      <w:r>
        <w:t>7.3.1 Opportunity 与 Bid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category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机会所属类目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task_type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compare、recommend、book、buy 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placement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organic / sponsored / shortlist / card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constraints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object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预算、地区、品类禁入、时间窗等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relevance_floor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相关性最低阈值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utility_floor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预期用户效用最低阈值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sponsored_slots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本次机会允许的赞助位数量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disclosure_required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是否必须展示披露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匿名化的会话引用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expires_at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机会失效时间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一次返回候选的唯一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offer_snapshot_ref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对应的 Offer 快照引用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predicted_relevance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预测相关性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predicted_utility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预测用户效用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predicted_affective_fit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预测感性适配度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商业激励金额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bid_currency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币种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action_set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array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可执行动作集合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disclosure_text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呈现给主人的披露文案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ttl_seconds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该返回可被复用的有效期</w:t>
            </w:r>
          </w:p>
        </w:tc>
      </w:tr>
    </w:tbl>
    <w:p>
      <w:pPr>
        <w:pStyle w:val="Heading3"/>
      </w:pPr>
      <w:r>
        <w:t>7.3.2 Delivery 与 Validation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channel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catalog_sync / delta_push / opportunity_time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attempt_no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第几次发送尝试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payload_hash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发送内容摘要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idempotency_key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幂等键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sent_to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目标 endpoint 或 channel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transport_status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HTTP / webhook / queue 的状态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receipt_status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accepted / rejected / timeout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received_at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对方接收时间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DDEBF7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validation_result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pass / fail / partial_pass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signature_verified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签名是否通过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policy_result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policy 校验结果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reject_reason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拒绝原因编码或描述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normalized_offer_ref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标准化后的 offer 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ingestion_ref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对方系统内的 ingestion 或 catalog 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catalog_version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目录版本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accepted_fields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array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被接受的字段列表</w:t>
            </w:r>
          </w:p>
        </w:tc>
      </w:tr>
    </w:tbl>
    <w:p>
      <w:pPr>
        <w:pStyle w:val="Heading3"/>
      </w:pPr>
      <w:r>
        <w:t>7.3.3 Shortlist、Presentation 与 User Action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eligibility_reason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通过门槛的原因或标签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relevance_score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该机会下的相关性得分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utility_score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该机会下的效用得分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trust_score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当前信任得分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 引用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shortlist_rank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进入 shortlist 的排序名次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placement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最终展示位类型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presented_rank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展示给主人的排序名次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disclosure_shown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boolean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披露是否实际展示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render_hash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展示内容摘要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owner_session_ref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主人会话匿名引用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ui_surface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chat_card、sidebar、email_digest 等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FCE4D6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view_id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一次 view 的唯一标识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dwell_ms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停留时长，毫秒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visibility_ratio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可见比例或等效 viewability 指标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interaction_type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click、expand、save、book_demo 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action_id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触发的动作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interaction_value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可选数值，例如优惠券面额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source_event_id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通常指 offer.presented 或 owner.viewed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owner_session_ref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主人会话匿名引用</w:t>
            </w:r>
          </w:p>
        </w:tc>
      </w:tr>
    </w:tbl>
    <w:p>
      <w:pPr>
        <w:pStyle w:val="Heading3"/>
      </w:pPr>
      <w:r>
        <w:t>7.3.4 Conversion、Billing 与 Governance 事件体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是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业务转化 ID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order_ref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订单或合同引用，可哈希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value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currency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币种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attribution_model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last_touch、multi_touch、qualified_recommendation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attribution_window_hours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integer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归因窗口，小时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conversion_time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datetime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转化发生时间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billable_event_type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实际触发结算的事件类型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bill_amount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结算金额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settlement_status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pending、approved、paid、reversed</w:t>
            </w:r>
          </w:p>
        </w:tc>
      </w:tr>
    </w:tbl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字段</w:t>
            </w:r>
          </w:p>
        </w:tc>
        <w:tc>
          <w:tcPr>
            <w:tcW w:type="dxa" w:w="850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必填</w:t>
            </w:r>
          </w:p>
        </w:tc>
        <w:tc>
          <w:tcPr>
            <w:tcW w:type="dxa" w:w="1417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类型</w:t>
            </w:r>
          </w:p>
        </w:tc>
        <w:tc>
          <w:tcPr>
            <w:tcW w:type="dxa" w:w="5556"/>
            <w:shd w:fill="E2F0D9" w:val="clear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E3A5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penalty_id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处罚单号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reason_code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处罚原因编码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severity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low / medium / high / critical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trust_delta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信任分变动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frozen_amount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number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冻结或扣减金额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target_penalty_id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申诉针对的处罚单号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appeal_status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opened、reviewing、upheld、reversed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related_event_id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string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关联的证据事件</w:t>
            </w:r>
          </w:p>
        </w:tc>
      </w:tr>
    </w:tbl>
    <w:p>
      <w:pPr>
        <w:pStyle w:val="SmallText"/>
      </w:pPr>
      <w:r>
        <w:t>关键约束：所有进入 ledger 的外部回执事件，必须携带可验证的 event_id、trace_id、occurred_at 和 signature；若缺少这四项，则只能作为运维日志，不作为结算依据。</w:t>
      </w:r>
    </w:p>
    <w:p>
      <w:pPr>
        <w:pStyle w:val="Heading1"/>
      </w:pPr>
      <w:r>
        <w:t>8. 技术实现建议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外部发现、任务协商、artifact 交换采用 A2A 兼容思路，便于和 buyer agent / partner agent 对接。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对外暴露 catalog、proof verification、measurement、billing、policy 查询等能力时，采用 MCP 工具/资源模式更利于标准化接入。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内部高频热路径（排序、竞价、事件处理）不直接依赖协议层，而使用低延迟内部 RPC + event bus 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服务</w:t>
            </w:r>
          </w:p>
        </w:tc>
        <w:tc>
          <w:tcPr>
            <w:tcW w:type="dxa" w:w="612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职责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agent-discovery-service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抓取、标准化、评分、去重 AgentLead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partner-crm-service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维护合作方信息、审核状态、合同与备注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offer-compiler-service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把商品编译为 OfferCard / ProofBundle / Narrative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opportunity-exchange-service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接收请求、过滤 eligible 活动、返回 BidResponse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ranking-service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计算 relevance、utility、trust、bid 综合分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measurement-service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接收回执、归因、出具结算明细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reputation-ledger-service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更新信誉、保证金、惩罚和申诉状态</w:t>
            </w:r>
          </w:p>
        </w:tc>
      </w:tr>
      <w:tr>
        <w:tc>
          <w:tcPr>
            <w:tcW w:type="dxa" w:w="294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policy-risk-service</w:t>
            </w:r>
          </w:p>
        </w:tc>
        <w:tc>
          <w:tcPr>
            <w:tcW w:type="dxa" w:w="612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类目、披露、反作弊、claim 校验、异常检测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组件</w:t>
            </w:r>
          </w:p>
        </w:tc>
        <w:tc>
          <w:tcPr>
            <w:tcW w:type="dxa" w:w="6803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用途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campaign、partner、settlement、audit 数据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Redis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短时状态、节流、机会请求缓存、排序窗口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Kafka / Pulsar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事件流、回执、异步风控、结算任务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向量库 / pgvector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意图与 offer 检索、agent 相似度计算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Object Storage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证据包、截图、文档、审计附件</w:t>
            </w:r>
          </w:p>
        </w:tc>
      </w:tr>
      <w:tr>
        <w:tc>
          <w:tcPr>
            <w:tcW w:type="dxa" w:w="2268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Feature Store</w:t>
            </w:r>
          </w:p>
        </w:tc>
        <w:tc>
          <w:tcPr>
            <w:tcW w:type="dxa" w:w="6803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在线特征与模型服务特征管理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维度</w:t>
            </w:r>
          </w:p>
        </w:tc>
        <w:tc>
          <w:tcPr>
            <w:tcW w:type="dxa" w:w="7370"/>
            <w:shd w:fill="FCF3EB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要求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P0 目标：单次机会请求在 800ms 内返回 shortlist（不含对端展示耗时）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关键链路幂等；event receipt 至少一次投递；排序服务可水平扩展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所有受保护资源必须走标准授权；禁止 token 透传与不受控代理调用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审计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从请求、排序、披露到结算的每一步都要保留 trace_id 和操作者</w:t>
            </w:r>
          </w:p>
        </w:tc>
      </w:tr>
      <w:tr>
        <w:tc>
          <w:tcPr>
            <w:tcW w:type="dxa" w:w="170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可解释</w:t>
            </w:r>
          </w:p>
        </w:tc>
        <w:tc>
          <w:tcPr>
            <w:tcW w:type="dxa" w:w="737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对外返回 ranking_reason，对内保留完整特征与版本信息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赞助结果必须可披露，并且 buyer agent 必须具备展示披露信息的能力。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对价格、库存、认证、疗效、收益等高风险 claim，必须要求证据与更新时间。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所有惩罚都要能解释，并且保留人工复核与申诉入口，避免误伤优质 partner。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用户相关数据最小化处理，只消费完成排序和结算所必需的意图与约束信息。</w:t>
      </w:r>
    </w:p>
    <w:p>
      <w:r>
        <w:br w:type="page"/>
      </w:r>
    </w:p>
    <w:p>
      <w:pPr>
        <w:pStyle w:val="Heading1"/>
      </w:pPr>
      <w:r>
        <w:t>9. 指标、里程碑与待决事项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指标类型</w:t>
            </w:r>
          </w:p>
        </w:tc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指标名</w:t>
            </w:r>
          </w:p>
        </w:tc>
        <w:tc>
          <w:tcPr>
            <w:tcW w:type="dxa" w:w="4535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定义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北极星指标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Recommendation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进入合格 shortlist 并被 buyer agent 正式呈现给主人 的次数 / 机会请求次数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Detail View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被用户要求展开详情的比例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结果指标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Action Conversion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预约、试用、咨询、购买等动作转化率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Shown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有赞助关系的结果中，披露被正常展示的比例，应接近 100%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经复核后判定 claim 与实际不符的比例，应尽量低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护栏指标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Complaint / Spam Rate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用户或 buyer agent 对骚扰、误导、低相关的投诉率</w:t>
            </w:r>
          </w:p>
        </w:tc>
      </w:tr>
      <w:tr>
        <w:tc>
          <w:tcPr>
            <w:tcW w:type="dxa" w:w="1587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运营指标</w:t>
            </w:r>
          </w:p>
        </w:tc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Agent Coverage</w:t>
            </w:r>
          </w:p>
        </w:tc>
        <w:tc>
          <w:tcPr>
            <w:tcW w:type="dxa" w:w="4535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已验证且可上线的目标 agent 数量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082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指标</w:t>
            </w:r>
          </w:p>
        </w:tc>
        <w:tc>
          <w:tcPr>
            <w:tcW w:type="dxa" w:w="4989"/>
            <w:shd w:fill="EFF8F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建议目标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已验证合作 buyer agents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10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每个垂类可投放 Offer 数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50 个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Disclosure 展示率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≥ 99%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Claim mismatch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1%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平均请求返回时延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&lt; 800ms</w:t>
            </w:r>
          </w:p>
        </w:tc>
      </w:tr>
      <w:tr>
        <w:tc>
          <w:tcPr>
            <w:tcW w:type="dxa" w:w="4082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Qualified shortlist rate</w:t>
            </w:r>
          </w:p>
        </w:tc>
        <w:tc>
          <w:tcPr>
            <w:tcW w:type="dxa" w:w="4989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在目标垂类内形成稳定基线，首月重点看趋势而非绝对值</w:t>
            </w:r>
          </w:p>
        </w:tc>
      </w:tr>
    </w:tbl>
    <w:p>
      <w:pPr>
        <w:pStyle w:val="SmallTex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阶段</w:t>
            </w:r>
          </w:p>
        </w:tc>
        <w:tc>
          <w:tcPr>
            <w:tcW w:type="dxa" w:w="6690"/>
            <w:shd w:fill="EAF1FC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73D78"/>
                <w:sz w:val="19"/>
              </w:rPr>
              <w:t>目标交付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0（0–4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定义垂类、完成数据 schema、手动接入 2–3 个合作方、完成 PRD 与技术方案评审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1（4–10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上线 Discovery、Offer Compiler、Opportunity Exchange、基础排序与手动结算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2（10–16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补齐事件回执、信誉账本、披露审计、风险规则、运营看板</w:t>
            </w:r>
          </w:p>
        </w:tc>
      </w:tr>
      <w:tr>
        <w:tc>
          <w:tcPr>
            <w:tcW w:type="dxa" w:w="2381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Phase 3（16–24 周）</w:t>
            </w:r>
          </w:p>
        </w:tc>
        <w:tc>
          <w:tcPr>
            <w:tcW w:type="dxa" w:w="6690"/>
            <w:tcBorders>
              <w:left w:val="single" w:sz="6" w:space="0" w:color="D6DCEA"/>
              <w:top w:val="single" w:sz="6" w:space="0" w:color="D6DCEA"/>
              <w:right w:val="single" w:sz="6" w:space="0" w:color="D6DCEA"/>
              <w:bottom w:val="single" w:sz="6" w:space="0" w:color="D6DCEA"/>
            </w:tcBorders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18"/>
              </w:rPr>
              <w:t>引入保证金、申诉、bandit 优化、多垂类扩展与更丰富激励模型</w:t>
            </w:r>
          </w:p>
        </w:tc>
      </w:tr>
    </w:tbl>
    <w:p>
      <w:pPr>
        <w:pStyle w:val="SmallText"/>
      </w:pP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我们第一阶段聚焦哪个垂类，是否优先选择结构化程度高、转化可验证的 B2B 软件？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buyer agent 的最终排序控制权归谁：平台统一策略、合作方自定义策略，还是混合模式？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保证金与 slashing 何时上线，是否会影响早期 partner 接入阻力？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哪些事件可作为付费事件，是否优先采用 CPQR 而非更复杂的 CPS？</w:t>
      </w:r>
    </w:p>
    <w:p>
      <w:pPr>
        <w:pStyle w:val="BulletCustom"/>
        <w:ind w:left="312" w:hanging="181"/>
      </w:pPr>
      <w:r>
        <w:rPr>
          <w:rFonts w:ascii="Noto Sans CJK SC" w:hAnsi="Noto Sans CJK SC" w:eastAsia="Noto Sans CJK SC" w:cs="Noto Sans CJK SC"/>
          <w:b/>
          <w:i w:val="0"/>
          <w:color w:val="2B63B5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披露文案与 UI 呈现标准由谁定义，是否允许 buyer agent 做二次包装？</w:t>
      </w:r>
    </w:p>
    <w:p>
      <w:pPr>
        <w:pStyle w:val="Heading1"/>
      </w:pPr>
      <w:r>
        <w:t>10. 结论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Promotion Agent 平台的关键，不是“帮广告主买到别人的 agent 排名”，而是搭建一套可持续的 agent 商业分发生态：</w:t>
      </w:r>
      <w:r>
        <w:rPr>
          <w:rFonts w:ascii="Noto Sans CJK SC" w:hAnsi="Noto Sans CJK SC" w:eastAsia="Noto Sans CJK SC" w:cs="Noto Sans CJK SC"/>
          <w:b/>
          <w:i w:val="0"/>
          <w:color w:val="173D78"/>
          <w:sz w:val="21"/>
        </w:rPr>
        <w:t>先保证用户价值，再允许商业激励优化分发效率。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1"/>
        </w:rPr>
        <w:t>MVP 应该围绕“高质量供给 + 可验证结果 + 可治理合作关系”三个支点展开，优先跑通单一垂类的闭环，然后再扩展到更开放的合作网络。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56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t>Promotion Agent 平台 PRD｜内部讨论稿</w:t>
          </w:r>
        </w:p>
      </w:tc>
      <w:tc>
        <w:tcPr>
          <w:tcW w:type="dxa" w:w="3969"/>
          <w:tcBorders>
            <w:left w:val="nil"/>
            <w:top w:val="nil"/>
            <w:right w:val="nil"/>
            <w:bottom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 w:cs="Noto Sans CJK SC"/>
              <w:b w:val="0"/>
              <w:i w:val="0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8F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20"/>
    </w:pPr>
    <w:rPr>
      <w:rFonts w:ascii="Noto Serif CJK SC" w:hAnsi="Noto Serif CJK SC" w:eastAsia="Noto Serif CJK SC"/>
      <w:b/>
      <w:color w:val="173D78"/>
      <w:sz w:val="48"/>
    </w:rPr>
  </w:style>
  <w:style w:type="paragraph" w:customStyle="1" w:styleId="CustomSubtitle">
    <w:name w:val="CustomSubtitle"/>
    <w:pPr>
      <w:spacing w:after="80"/>
    </w:pPr>
    <w:rPr>
      <w:rFonts w:ascii="Noto Sans CJK SC" w:hAnsi="Noto Sans CJK SC" w:eastAsia="Noto Sans CJK SC"/>
      <w:color w:val="5F6B7A"/>
      <w:sz w:val="23"/>
    </w:rPr>
  </w:style>
  <w:style w:type="paragraph" w:customStyle="1" w:styleId="BulletCustom">
    <w:name w:val="BulletCustom"/>
    <w:pPr>
      <w:spacing w:after="40" w:line="300" w:lineRule="auto"/>
      <w:ind w:left="312" w:hanging="181"/>
    </w:pPr>
    <w:rPr>
      <w:rFonts w:ascii="Noto Sans CJK SC" w:hAnsi="Noto Sans CJK SC" w:eastAsia="Noto Sans CJK SC"/>
      <w:sz w:val="21"/>
    </w:rPr>
  </w:style>
  <w:style w:type="paragraph" w:customStyle="1" w:styleId="SmallText">
    <w:name w:val="SmallText"/>
    <w:pPr>
      <w:spacing w:after="40"/>
    </w:pPr>
    <w:rPr>
      <w:rFonts w:ascii="Noto Sans CJK SC" w:hAnsi="Noto Sans CJK SC" w:eastAsia="Noto Sans CJK SC"/>
      <w:color w:val="5F6B7A"/>
      <w:sz w:val="17"/>
    </w:rPr>
  </w:style>
  <w:style w:type="paragraph" w:customStyle="1" w:styleId="Mono">
    <w:name w:val="Mono"/>
    <w:pPr>
      <w:spacing w:line="276" w:lineRule="auto" w:after="20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