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rPr>
          <w:rFonts w:ascii="Noto Serif CJK SC" w:hAnsi="Noto Serif CJK SC" w:eastAsia="Noto Serif CJK SC" w:cs="Noto Serif CJK SC"/>
          <w:b/>
          <w:i w:val="0"/>
          <w:color w:val="173D78"/>
          <w:sz w:val="48"/>
        </w:rPr>
        <w:t>Promotion Agent 平台</w:t>
      </w:r>
    </w:p>
    <w:p>
      <w:pPr>
        <w:pStyle w:val="CustomSubtitle"/>
      </w:pPr>
      <w:r>
        <w:rPr>
          <w:rFonts w:ascii="Noto Sans CJK SC" w:hAnsi="Noto Sans CJK SC" w:eastAsia="Noto Sans CJK SC" w:cs="Noto Sans CJK SC"/>
          <w:b/>
          <w:i w:val="0"/>
          <w:color w:val="128F90"/>
          <w:sz w:val="28"/>
        </w:rPr>
        <w:t>产品需求文档（PRD）</w:t>
      </w:r>
    </w:p>
    <w:p>
      <w:pPr>
        <w:pStyle w:val="CustomSubtitle"/>
      </w:pPr>
      <w:r>
        <w:rPr>
          <w:rFonts w:ascii="Noto Sans CJK SC" w:hAnsi="Noto Sans CJK SC" w:eastAsia="Noto Sans CJK SC" w:cs="Noto Sans CJK SC"/>
          <w:b w:val="0"/>
          <w:i w:val="0"/>
          <w:color w:val="5F6B7A"/>
          <w:sz w:val="23"/>
        </w:rPr>
        <w:t>面向 Agent-to-Agent 的可发现、可授权、可披露的 Sponsored Recommendation Network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EAF1FC"/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0"/>
              </w:rPr>
              <w:t>版本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v1.2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EAF1FC"/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0"/>
              </w:rPr>
              <w:t>状态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内部评审版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EAF1FC"/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0"/>
              </w:rPr>
              <w:t>日期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2026-03-17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EAF1FC"/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0"/>
              </w:rPr>
              <w:t>适用对象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产品、技术、风控、商务、运营</w:t>
            </w:r>
          </w:p>
        </w:tc>
      </w:tr>
    </w:tbl>
    <w:p>
      <w:pPr>
        <w:pStyle w:val="SmallTex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8F8"/>
            <w:tcBorders>
              <w:left w:val="single" w:sz="8" w:space="0" w:color="128F90"/>
              <w:top w:val="single" w:sz="8" w:space="0" w:color="128F90"/>
              <w:right w:val="single" w:sz="8" w:space="0" w:color="128F90"/>
              <w:bottom w:val="single" w:sz="8" w:space="0" w:color="128F9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一句话定义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该平台帮助广告主自动发现匹配的 buyer / user agent，在满足相关性、用户效用和披露要求的前提下，将自家产品以结构化 Offer 的形式送入对方 agent 的优先候选集，并通过可验证的归因与奖惩机制形成闭环。</w:t>
            </w:r>
          </w:p>
        </w:tc>
      </w:tr>
    </w:tbl>
    <w:p>
      <w:pPr>
        <w:pStyle w:val="SmallTex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F3EB"/>
            <w:tcBorders>
              <w:left w:val="single" w:sz="8" w:space="0" w:color="E07A2B"/>
              <w:top w:val="single" w:sz="8" w:space="0" w:color="E07A2B"/>
              <w:right w:val="single" w:sz="8" w:space="0" w:color="E07A2B"/>
              <w:bottom w:val="single" w:sz="8" w:space="0" w:color="E07A2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产品立场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本产品不以“秘密买排序”为目标，而是把赞助机制建立在用户价值、真实性和可披露的合作关系上。奖励长期稳定、真实可信、被用户接受的供给方；惩罚虚假、骚扰、低相关和不可验证的投放行为。</w:t>
            </w:r>
          </w:p>
        </w:tc>
      </w:tr>
    </w:tbl>
    <w:p>
      <w:pPr>
        <w:pStyle w:val="SmallText"/>
      </w:pPr>
    </w:p>
    <w:p>
      <w:pPr>
        <w:pStyle w:val="SmallText"/>
      </w:pPr>
      <w:r>
        <w:rPr>
          <w:rFonts w:ascii="Noto Sans CJK SC" w:hAnsi="Noto Sans CJK SC" w:eastAsia="Noto Sans CJK SC" w:cs="Noto Sans CJK SC"/>
          <w:b w:val="0"/>
          <w:i/>
          <w:color w:val="5F6B7A"/>
          <w:sz w:val="18"/>
        </w:rPr>
        <w:t>建议从结构化程度高、转化可验证的单一垂类切入，例如 SaaS 采购、教育产品、旅游或消费电子。</w:t>
      </w:r>
    </w:p>
    <w:p>
      <w:r>
        <w:br w:type="page"/>
      </w:r>
    </w:p>
    <w:p>
      <w:pPr>
        <w:pStyle w:val="Heading1"/>
      </w:pPr>
      <w:r>
        <w:t>1. 文档摘要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1FC"/>
            <w:tcBorders>
              <w:left w:val="single" w:sz="8" w:space="0" w:color="2B63B5"/>
              <w:top w:val="single" w:sz="8" w:space="0" w:color="2B63B5"/>
              <w:right w:val="single" w:sz="8" w:space="0" w:color="2B63B5"/>
              <w:bottom w:val="single" w:sz="8" w:space="0" w:color="2B63B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产品目标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建立一套面向 agent 的推广与分发平台：自动发现可合作的 buyer agents，向其返回可计算、可验证、可披露的商业提案，并通过质量校正后的 sponsored ranking 机制，让真正适合用户的产品优先呈现。</w:t>
            </w:r>
          </w:p>
        </w:tc>
      </w:tr>
    </w:tbl>
    <w:p>
      <w:pPr>
        <w:pStyle w:val="SmallText"/>
      </w:pPr>
    </w:p>
    <w:p>
      <w:pPr>
        <w:pStyle w:val="Heading2"/>
      </w:pPr>
      <w:r>
        <w:t>1.1 业务问题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传统广告主要面向“人”投放，而在 agent 时代，很多筛选、比较、推荐与购买动作将由用户侧 agent 先行完成。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如果继续沿用面向人的文案广告模式，buyer agent 很难稳定理解商品能力、适用边界、价格约束与证明材料。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如果完全采用“付费置顶”逻辑，又会迅速损害 buyer agent 对平台的信任，长期导致 spam、虚假 claim 和低价值曝光。</w:t>
      </w:r>
    </w:p>
    <w:p>
      <w:pPr>
        <w:pStyle w:val="Heading2"/>
      </w:pPr>
      <w:r>
        <w:t>1.2 核心方案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将推广对象从“人”转换为“对方 agent”，并将投放内容从“文案”转换为结构化 OfferCard、ProofBundle 和可执行 Action。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用 OpportunityRequest / BidResponse 的方式建立 buyer agent 与 seller agent 的机会交换机制。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排序上采用“先过线、再赞助”的原则：先满足相关性、预期用户效用、可信度与披露要求，再允许商业激励影响合格候选的相对顺序。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奖惩机制主要作用于供给质量、信誉与可见度，而不是直接绕过用户价值去操纵最终结果。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决策项</w:t>
            </w:r>
          </w:p>
        </w:tc>
        <w:tc>
          <w:tcPr>
            <w:tcW w:type="dxa" w:w="7257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默认方案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产品入口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优先接入公开 registry、platform gallery、marketplace 与合作 buyer agents，不以扫描私有个人 agent 为目标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交互对象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推送结构化 Offer，而非仅推送广告文案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排序原则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相关性与用户效用先过线，再进入 sponsored reranking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计费方式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MVP 以 CPQR / CPA 为主，不以 CPM 为核心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奖惩对象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惩罚虚假、骚扰、低相关；奖励稳定转化与高满意度供给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协议选择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外部接入兼容 A2A + MCP，内部热路径使用自有 RPC / event bus</w:t>
            </w:r>
          </w:p>
        </w:tc>
      </w:tr>
    </w:tbl>
    <w:p>
      <w:pPr>
        <w:pStyle w:val="SmallText"/>
      </w:pPr>
    </w:p>
    <w:p>
      <w:pPr>
        <w:pStyle w:val="Heading1"/>
      </w:pPr>
      <w:r>
        <w:t>2. 背景、目标与边界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未来越来越多的搜索、比较、筛选和交易前动作，会先由 agent 代表用户完成。广告与推荐机制必须适配 agent 的输入与决策逻辑。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agent 比人更依赖结构化事实、可验证证据、清晰约束和协议级互操作，而不适合只依赖情绪化、模糊化文案。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但是用户偏好并不只有理性维度，因此平台需要同时建模“理性匹配”和“感性表达适配”，并把后者约束在合规与用户价值边界内。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9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目标</w:t>
            </w:r>
          </w:p>
        </w:tc>
        <w:tc>
          <w:tcPr>
            <w:tcW w:type="dxa" w:w="226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定义</w:t>
            </w:r>
          </w:p>
        </w:tc>
        <w:tc>
          <w:tcPr>
            <w:tcW w:type="dxa" w:w="6009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成功判断</w:t>
            </w:r>
          </w:p>
        </w:tc>
      </w:tr>
      <w:tr>
        <w:tc>
          <w:tcPr>
            <w:tcW w:type="dxa" w:w="79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G1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高效发现与接入目标 agent</w:t>
            </w:r>
          </w:p>
        </w:tc>
        <w:tc>
          <w:tcPr>
            <w:tcW w:type="dxa" w:w="60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自动发现、解析、评分并管理潜在 buyer / user agent 合作入口</w:t>
            </w:r>
          </w:p>
        </w:tc>
      </w:tr>
      <w:tr>
        <w:tc>
          <w:tcPr>
            <w:tcW w:type="dxa" w:w="79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G2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把商品编译为 agent 可消费对象</w:t>
            </w:r>
          </w:p>
        </w:tc>
        <w:tc>
          <w:tcPr>
            <w:tcW w:type="dxa" w:w="60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支持 OfferCard、ProofBundle、Narrative 变体、Action 接口</w:t>
            </w:r>
          </w:p>
        </w:tc>
      </w:tr>
      <w:tr>
        <w:tc>
          <w:tcPr>
            <w:tcW w:type="dxa" w:w="79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G3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建立高质量 sponsored shortlist 机制</w:t>
            </w:r>
          </w:p>
        </w:tc>
        <w:tc>
          <w:tcPr>
            <w:tcW w:type="dxa" w:w="60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使广告主产品在满足用户价值前提下获得更高展示优先级</w:t>
            </w:r>
          </w:p>
        </w:tc>
      </w:tr>
      <w:tr>
        <w:tc>
          <w:tcPr>
            <w:tcW w:type="dxa" w:w="79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G4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形成可验证的归因和奖惩闭环</w:t>
            </w:r>
          </w:p>
        </w:tc>
        <w:tc>
          <w:tcPr>
            <w:tcW w:type="dxa" w:w="60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以事件回执、信誉账本、保证金和申诉机制保障生态质量</w:t>
            </w:r>
          </w:p>
        </w:tc>
      </w:tr>
    </w:tbl>
    <w:p>
      <w:pPr>
        <w:pStyle w:val="SmallText"/>
      </w:pP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不以渗透或接管用户的私有 agent 为目标。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不允许低相关、低可信的商品仅凭出价越过高质量候选。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MVP 阶段不追求开放互联网级别的实时广告交易网络。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不以点击率为唯一优化目标，避免系统学出标题党、骚扰式或误导性推荐。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角色</w:t>
            </w:r>
          </w:p>
        </w:tc>
        <w:tc>
          <w:tcPr>
            <w:tcW w:type="dxa" w:w="294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在系统中的职责</w:t>
            </w:r>
          </w:p>
        </w:tc>
        <w:tc>
          <w:tcPr>
            <w:tcW w:type="dxa" w:w="4422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核心诉求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广告主 / 品牌运营</w:t>
            </w:r>
          </w:p>
        </w:tc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配置商品、预算、激励策略和证据材料</w:t>
            </w:r>
          </w:p>
        </w:tc>
        <w:tc>
          <w:tcPr>
            <w:tcW w:type="dxa" w:w="442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低门槛配置活动，清楚知道哪些 agent 值得接入，结果可追踪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BD / Partner 运营</w:t>
            </w:r>
          </w:p>
        </w:tc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拓展 buyer agent 合作方并完成接入</w:t>
            </w:r>
          </w:p>
        </w:tc>
        <w:tc>
          <w:tcPr>
            <w:tcW w:type="dxa" w:w="442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快速识别高价值 agent，跟踪审核、谈判和上线状态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Buyer Agent 运营方</w:t>
            </w:r>
          </w:p>
        </w:tc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接收商业提案并服务终端用户</w:t>
            </w:r>
          </w:p>
        </w:tc>
        <w:tc>
          <w:tcPr>
            <w:tcW w:type="dxa" w:w="442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确保推荐质量、可披露、可结算、不会被 spam 污染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风控 / 平台运营</w:t>
            </w:r>
          </w:p>
        </w:tc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审核类目、claim、合作方信誉和争议</w:t>
            </w:r>
          </w:p>
        </w:tc>
        <w:tc>
          <w:tcPr>
            <w:tcW w:type="dxa" w:w="442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有证据链、可处罚、可申诉、可恢复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Heading1"/>
      </w:pPr>
      <w:r>
        <w:t>3. 产品范围与模块划分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8F1"/>
            <w:tcBorders>
              <w:left w:val="single" w:sz="8" w:space="0" w:color="5E9E6E"/>
              <w:top w:val="single" w:sz="8" w:space="0" w:color="5E9E6E"/>
              <w:right w:val="single" w:sz="8" w:space="0" w:color="5E9E6E"/>
              <w:bottom w:val="single" w:sz="8" w:space="0" w:color="5E9E6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MVP 只做三件事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① 找到并接入少量高价值 buyer agents；② 把广告主产品编译为结构化 Offer 并参与 shortlist；③ 跑通“入围 → 展示 → 详情 → 行动 → 结算”的闭环。其余能力如复杂 bandit 优化、开放竞价市场、大规模第三方 self-serve 可放到后续版本。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2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模块</w:t>
            </w:r>
          </w:p>
        </w:tc>
        <w:tc>
          <w:tcPr>
            <w:tcW w:type="dxa" w:w="226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名称</w:t>
            </w:r>
          </w:p>
        </w:tc>
        <w:tc>
          <w:tcPr>
            <w:tcW w:type="dxa" w:w="5216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说明</w:t>
            </w:r>
          </w:p>
        </w:tc>
        <w:tc>
          <w:tcPr>
            <w:tcW w:type="dxa" w:w="1020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优先级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M1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 Discovery &amp; Registry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抓取公开 registry / partner feed / agent card，生成 AgentLead，支持评分与筛选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M2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 Verification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校验身份、协议、认证方式、支持的 sponsored / disclosure 能力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M3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Offer Compiler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将商品、价格、证据、叙事变体和 action 编译为 OfferCard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M4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Opportunity Exchange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接收 buyer agent 机会请求，筛选 eligible campaign，并返回 BidResponse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M5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Ranking &amp; Policy Engine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执行相关性门槛、utility floor、trust gate 与 sponsored reranking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M6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Measurement &amp; Settlement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记录事件回执，支持 CPQR / CPA / CPS 归因与结算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M7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Reputation Ledger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维护信誉分、保证金、惩罚、恢复和申诉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M8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Admin Console &amp; Dashboard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供运营查看 agent 漏斗、活动表现、争议与风控状态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</w:tbl>
    <w:p>
      <w:pPr>
        <w:pStyle w:val="SmallText"/>
      </w:pP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下图为平台推荐的 MVP 技术形态。外部面向 buyer agent / seller agent 采用开放协议兼容层，内部则拆分为发现、编译、机会交换、排序、计量、信誉和风控等服务。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8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otion_agen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Text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5F6B7A"/>
          <w:sz w:val="17"/>
        </w:rPr>
        <w:t>图 1  Promotion Agent 平台核心技术架构（示意）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可发现：合作入口必须可以被发现、被标注、被审核，而不是黑箱接入。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可授权：所有需要访问资源或代表用户执行动作的链路必须有显式授权模型。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可披露：赞助推荐必须可识别、可解释、可审计。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可验证：价格、库存、claim、转化和结算必须有证据或回执支持。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可治理：处罚、恢复、申诉、手动复核要内建，而非事后拼接。</w:t>
      </w:r>
    </w:p>
    <w:p>
      <w:pPr>
        <w:pStyle w:val="Heading1"/>
      </w:pPr>
      <w:r>
        <w:t>4. 关键业务流程</w:t>
      </w:r>
    </w:p>
    <w:p>
      <w:pPr>
        <w:pStyle w:val="Heading2"/>
      </w:pPr>
      <w:r>
        <w:t>4.1 流程 A：发现并接入目标 agent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1.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Discovery Service 定期从 registry、marketplace、合作方目录或公开 Agent Card 抓取候选 agent。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2.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系统将原始信息标准化为 AgentLead，并计算 ICP 匹配、skill 匹配、reach proxy、认证难度等评分。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3.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运营按分数、类目、地区、协议能力、是否接受 sponsored / disclosure 等条件筛选潜在线索。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4.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对通过初筛的 agent 进行身份与能力验证，确认是否支持披露、回执、授权、速率限制和结算条款。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5.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验证通过的 agent 进入 Partner 状态，可被活动定向选择。</w:t>
      </w:r>
    </w:p>
    <w:p>
      <w:pPr>
        <w:pStyle w:val="Heading2"/>
      </w:pPr>
      <w:r>
        <w:t>4.2 流程 B：广告主创建可投放 Offer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1.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广告主在控制台配置产品、价格、类目、地区、适用人群、证明材料、行动接口和激励模型。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2.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Offer Compiler 将原始商品信息编译为 OfferCard，并生成 rational / premium / simple 等叙事变体。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3.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Policy Engine 对类目限制、claim 完整性、缺失证据、禁止词或风险素材进行预检查。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4.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审核通过后，活动进入 Active 状态，可参与后续 opportunity exchange。</w:t>
      </w:r>
    </w:p>
    <w:p>
      <w:pPr>
        <w:pStyle w:val="Heading2"/>
      </w:pPr>
      <w:r>
        <w:t>4.3 流程 C：buyer agent 产生机会并请求商业候选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1.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当 buyer agent 识别到其主人存在明确意图时，向平台发起 OpportunityRequest。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2.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系统依据 category、预算、地区、任务类型、约束条件和 policy 先做 eligibility 过滤。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3.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符合门槛的活动返回 BidResponse，内容包含 offer、证据、预计效用特征、披露文案、激励金额和 action。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4.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Ranking Engine 按 relevance、expected utility、trust、affective fit、bid 等综合分排序。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5.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buyer agent 仅在 disclosure_required 为 true 且 disclosure 可呈现时展示 sponsored shortlist。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阶段</w:t>
            </w:r>
          </w:p>
        </w:tc>
        <w:tc>
          <w:tcPr>
            <w:tcW w:type="dxa" w:w="3572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主要输入</w:t>
            </w:r>
          </w:p>
        </w:tc>
        <w:tc>
          <w:tcPr>
            <w:tcW w:type="dxa" w:w="4932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主要输出</w:t>
            </w:r>
          </w:p>
        </w:tc>
      </w:tr>
      <w:tr>
        <w:tc>
          <w:tcPr>
            <w:tcW w:type="dxa" w:w="113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发现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Registry / Agent Card / Partner Feed</w:t>
            </w:r>
          </w:p>
        </w:tc>
        <w:tc>
          <w:tcPr>
            <w:tcW w:type="dxa" w:w="493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AgentLead、验证状态、可接入 buyer agent 列表</w:t>
            </w:r>
          </w:p>
        </w:tc>
      </w:tr>
      <w:tr>
        <w:tc>
          <w:tcPr>
            <w:tcW w:type="dxa" w:w="113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投放准备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商品数据、证明材料、预算</w:t>
            </w:r>
          </w:p>
        </w:tc>
        <w:tc>
          <w:tcPr>
            <w:tcW w:type="dxa" w:w="493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OfferCard、Campaign、Policy 预检结果</w:t>
            </w:r>
          </w:p>
        </w:tc>
      </w:tr>
      <w:tr>
        <w:tc>
          <w:tcPr>
            <w:tcW w:type="dxa" w:w="113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机会交换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OpportunityRequest</w:t>
            </w:r>
          </w:p>
        </w:tc>
        <w:tc>
          <w:tcPr>
            <w:tcW w:type="dxa" w:w="493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BidResponse、shortlist 候选、排序结果</w:t>
            </w:r>
          </w:p>
        </w:tc>
      </w:tr>
      <w:tr>
        <w:tc>
          <w:tcPr>
            <w:tcW w:type="dxa" w:w="113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结果闭环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Event receipt、争议单</w:t>
            </w:r>
          </w:p>
        </w:tc>
        <w:tc>
          <w:tcPr>
            <w:tcW w:type="dxa" w:w="493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归因、结算、信誉更新、处罚/申诉记录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Heading1"/>
      </w:pPr>
      <w:r>
        <w:t>5.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ID</w:t>
            </w:r>
          </w:p>
        </w:tc>
        <w:tc>
          <w:tcPr>
            <w:tcW w:type="dxa" w:w="1020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模块</w:t>
            </w:r>
          </w:p>
        </w:tc>
        <w:tc>
          <w:tcPr>
            <w:tcW w:type="dxa" w:w="4365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需求描述</w:t>
            </w:r>
          </w:p>
        </w:tc>
        <w:tc>
          <w:tcPr>
            <w:tcW w:type="dxa" w:w="3572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验收标准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FR-01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发现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支持从至少 2 类来源导入候选 agent（如公开 registry 与合作方目录）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系统可创建 AgentLead，并记录来源与抓取时间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FR-02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发现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解析 AgentLead 的类目、skill、地区、认证方式、接入地址和联系方式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关键信息缺失项可被标记并进入人工补全队列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FR-03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验证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维护 partner 生命周期：New / Reviewing / Verified / Active / Suspended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状态变更有操作日志与责任人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FR-04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Offer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支持广告主配置商品、价格、地区、证据、行动接口和激励模型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生成可发布的 OfferCard 版本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FR-05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Policy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预检类目限制、claim 缺失、披露文案缺失和高风险素材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高风险活动不能进入 Active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FR-06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Opportunity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接收 OpportunityRequest 并完成 eligibility 过滤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只返回满足硬约束与 policy 的候选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FR-07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Ranking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执行 relevance floor、utility floor、trust gate 和 sponsored reranking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输出排序解释字段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FR-08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Measurement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支持至少 5 类回执事件：shortlisted、shown、detail_view、handoff、conversion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事件可按 intent_id / offer_id 关联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FR-09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Settlement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 CPQR 与 CPA 两种结算策略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可导出结算明细与账单草案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FR-10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Console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提供活动、agent、结果漏斗和风控状态的后台看板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运营可按 agent / campaign / 垂类筛选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ID</w:t>
            </w:r>
          </w:p>
        </w:tc>
        <w:tc>
          <w:tcPr>
            <w:tcW w:type="dxa" w:w="1020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模块</w:t>
            </w:r>
          </w:p>
        </w:tc>
        <w:tc>
          <w:tcPr>
            <w:tcW w:type="dxa" w:w="4309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需求描述</w:t>
            </w:r>
          </w:p>
        </w:tc>
        <w:tc>
          <w:tcPr>
            <w:tcW w:type="dxa" w:w="3628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说明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FR-11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信誉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引入保证金与 slashing 机制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对 claim mismatch 与严重违规可自动冻结部分金额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FR-12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信誉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 partner 申诉与人工复核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处罚记录可追溯、可恢复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FR-13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优化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引入 contextual bandit 或多臂实验提升排序效果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在 guardrail 指标不恶化的前提下提升核心转化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FR-14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发现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自动估计 reach proxy 与 monetization readiness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提升 BD 线索优先级准确率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FR-15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扩展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 CPS 或更复杂的混合激励模型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结算规则可配置且可审计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FR-16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平台化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 self-serve partner onboarding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合作方可提交资料并完成基础验证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页面</w:t>
            </w:r>
          </w:p>
        </w:tc>
        <w:tc>
          <w:tcPr>
            <w:tcW w:type="dxa" w:w="7257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主要内容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工作台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线索总览、活动概览、异常提醒、待审核事项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Agent CRM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AgentLead 列表、状态流转、分数、协议能力、合作备注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Campaign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商品配置、预算、激励方式、目标 agent、运行状态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Evidence Center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价格证明、案例、资质证书、截图、更新时间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Measurement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事件漏斗、归因、账单明细、争议队列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Risk Center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投诉、claim mismatch、spam、人工复核、处罚记录</w:t>
            </w:r>
          </w:p>
        </w:tc>
      </w:tr>
    </w:tbl>
    <w:p>
      <w:pPr>
        <w:pStyle w:val="SmallText"/>
      </w:pPr>
    </w:p>
    <w:p>
      <w:pPr>
        <w:pStyle w:val="Heading2"/>
      </w:pPr>
      <w:r>
        <w:t>5.1 Agent Discovery</w:t>
      </w:r>
    </w:p>
    <w:p>
      <w:pPr/>
      <w:r>
        <w:t>Agent Discovery 指平台持续发现、解析、评估并接入潜在 buyer agents 的能力。其目标不是扫描用户私有 agent，而是把可发现、可授权、可披露、可回执的合作入口转化为可运营的 PartnerAgent。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71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子能力</w:t>
            </w:r>
          </w:p>
        </w:tc>
        <w:tc>
          <w:tcPr>
            <w:tcW w:type="dxa" w:w="2551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输入</w:t>
            </w:r>
          </w:p>
        </w:tc>
        <w:tc>
          <w:tcPr>
            <w:tcW w:type="dxa" w:w="2041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输出</w:t>
            </w:r>
          </w:p>
        </w:tc>
        <w:tc>
          <w:tcPr>
            <w:tcW w:type="dxa" w:w="3175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关键要求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Source Connectors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registry、marketplace、partner feed、public card、人工导入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原始 AgentLead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支持周期拉取、增量抓取、失败重试与来源标记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Card &amp; Feed Parser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Agent Card、平台 profile、目录 API 返回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标准化 AgentLead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解析 provider、skills、geo、auth、card_url、商业模式与回执能力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Identity &amp; Dedup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域名、主体信息、公钥、联系人、endpoint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统一身份主记录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支持主体合并、重复线索去重与历史变更追踪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Lead Scoring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AgentLead + 产品 ICP + 垂类策略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评分结果与分层标签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输出 ICP fit、skill match、reach proxy、commercial readiness、integration ease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Verification Workflow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鉴权信息、签名、公网可用性、合同条款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验证状态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完成身份校验、权限校验、SLA 校验、receipt 能力校验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Partner Lifecycle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验证结果、商务条款、风控状态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PartnerAgent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生命周期至少支持 New、Parsed、Verified、CommercialQualified、Active、Paused、Blocked</w:t>
            </w:r>
          </w:p>
        </w:tc>
      </w:tr>
    </w:tbl>
    <w:p>
      <w:pPr/>
      <w:r>
        <w:t>建议的潜在线索评分公式如下：</w:t>
      </w:r>
    </w:p>
    <w:p>
      <w:pPr>
        <w:pStyle w:val="Mono"/>
      </w:pPr>
      <w:r>
        <w:t>LeadScore = 0.35*ICPFit + 0.25*SkillMatch + 0.15*ReachProxy + 0.15*CommercialReadiness + 0.10*IntegrationEase</w:t>
      </w:r>
    </w:p>
    <w:p>
      <w:pPr>
        <w:pStyle w:val="BulletCustom"/>
      </w:pPr>
      <w:r>
        <w:t>• 规模化分发名单的最低准入条件：身份已验证、支持披露、支持 delivery receipt 与 presentation receipt、且近 30 天 SLA 达标。</w:t>
      </w:r>
    </w:p>
    <w:p>
      <w:pPr>
        <w:pStyle w:val="BulletCustom"/>
      </w:pPr>
      <w:r>
        <w:t>• Discovery 结果必须记录 evidence_ref、last_verified_at 与 verification_owner，避免只保留静态字符串描述。</w:t>
      </w:r>
    </w:p>
    <w:p>
      <w:pPr>
        <w:pStyle w:val="BulletCustom"/>
      </w:pPr>
      <w:r>
        <w:t>• 对不接受商业接入或不允许结果回执的 agent，只能进入观察名单，不进入自动推广名单。</w:t>
      </w:r>
    </w:p>
    <w:p>
      <w:pPr>
        <w:pStyle w:val="Heading2"/>
      </w:pPr>
      <w:r>
        <w:t>5.2 Distribution</w:t>
      </w:r>
    </w:p>
    <w:p>
      <w:pPr/>
      <w:r>
        <w:t>Distribution 指平台将 OfferCard、ProofBundle 与激励策略按正确时机送达 buyer agent，并尽可能进入其当前机会的 shortlist 的过程。平台不做“全网群发文案”，而是按机会、类目、地区与合作能力做精准调度。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分发模式</w:t>
            </w:r>
          </w:p>
        </w:tc>
        <w:tc>
          <w:tcPr>
            <w:tcW w:type="dxa" w:w="2438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触发条件</w:t>
            </w:r>
          </w:p>
        </w:tc>
        <w:tc>
          <w:tcPr>
            <w:tcW w:type="dxa" w:w="2608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内容</w:t>
            </w:r>
          </w:p>
        </w:tc>
        <w:tc>
          <w:tcPr>
            <w:tcW w:type="dxa" w:w="2778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适用场景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Catalog Sync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合作方上线、活动激活、周期全量同步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 基线目录、能力声明、proof 索引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低频基础同步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Delta Push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价格、库存、claim、地区、证据更新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字段增量、失效通知、proof 刷新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中频变更传播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Opportunity-Time Delivery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 发起 OpportunityRequest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当前机会的 BidResponse、行动接口与披露文案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高价值实时候选返回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调度控制</w:t>
            </w:r>
          </w:p>
        </w:tc>
        <w:tc>
          <w:tcPr>
            <w:tcW w:type="dxa" w:w="4535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  <w:tc>
          <w:tcPr>
            <w:tcW w:type="dxa" w:w="3118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最低要求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Cohort Builder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按垂类、地区、skills、预算带、商业模式给 buyer agents 分群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支持静态规则 + 动态标签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Dispatch Planner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决定哪些 agent 收到哪些 offer、何时发送、预算如何分配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支持优先级、预算、频控与黑白名单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Rate Limit &amp; Circuit Breaker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防止某个 provider 被突发请求压垮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provider 级限流、熔断与冷却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Idempotency &amp; Retry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保证失败可重试但不重复结算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request_id / idempotency_key / dead-letter queue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Delivery Trace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记录一次分发从创建到回执的完整链路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trace_id、delivery_id、task_id 全链路可追踪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17"/>
            <w:shd w:fill="EDEDED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状态</w:t>
            </w:r>
          </w:p>
        </w:tc>
        <w:tc>
          <w:tcPr>
            <w:tcW w:type="dxa" w:w="5896"/>
            <w:shd w:fill="EDEDED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含义</w:t>
            </w:r>
          </w:p>
        </w:tc>
        <w:tc>
          <w:tcPr>
            <w:tcW w:type="dxa" w:w="2324"/>
            <w:shd w:fill="EDEDED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能否作为成功分发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queued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已进入调度队列，尚未实际发送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sent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平台已向目标 agent 发起发送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received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对方接口确认收到 payload 或 task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validated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对方完成签名、格式、policy 校验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ingested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 已被纳入该 agent 的可评估集合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eligible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该机会下通过过滤门槛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shortlisted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进入 shortlist，但尚不代表用户可见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presented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结果已呈现给主人且披露已显示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</w:tr>
    </w:tbl>
    <w:p>
      <w:pPr>
        <w:pStyle w:val="BulletCustom"/>
      </w:pPr>
      <w:r>
        <w:t>• 默认把 Opportunity-Time Delivery 作为最重要的分发路径；Catalog Sync 与 Delta Push 主要用于降低实时机会时的上下文装载成本。</w:t>
      </w:r>
    </w:p>
    <w:p>
      <w:pPr>
        <w:pStyle w:val="BulletCustom"/>
      </w:pPr>
      <w:r>
        <w:t>• 分发成功的业务定义以 presented 为准，而不是 sent 或 received。</w:t>
      </w:r>
    </w:p>
    <w:p>
      <w:pPr>
        <w:pStyle w:val="BulletCustom"/>
      </w:pPr>
      <w:r>
        <w:t>• 所有对外发送必须携带 request_id、campaign_id、offer_id、trace_id 和 idempotency_key。</w:t>
      </w:r>
    </w:p>
    <w:p>
      <w:pPr>
        <w:pStyle w:val="Heading2"/>
      </w:pPr>
      <w:r>
        <w:t>5.3 Measurement &amp; Attribution</w:t>
      </w:r>
    </w:p>
    <w:p>
      <w:pPr/>
      <w:r>
        <w:t>Measurement &amp; Attribution 的核心是把“送达 agent”“进入候选”“呈现给主人”“产生动作/转化”分开计量，并以 signed receipt 为可信依据沉淀到账本中。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850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等级</w:t>
            </w:r>
          </w:p>
        </w:tc>
        <w:tc>
          <w:tcPr>
            <w:tcW w:type="dxa" w:w="1644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名称</w:t>
            </w:r>
          </w:p>
        </w:tc>
        <w:tc>
          <w:tcPr>
            <w:tcW w:type="dxa" w:w="4535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  <w:tc>
          <w:tcPr>
            <w:tcW w:type="dxa" w:w="2608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默认用途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L1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Reachable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已获取有效入口，鉴权方式与 endpoint 可用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合作评估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L2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Delivered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请求已被目标 agent 或其接入层接收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运维监控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L3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Ingested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payload 已被校验并纳入可处理队列或目录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运维监控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L4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Eligible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当前机会下通过门槛过滤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排序优化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L5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Shortlisted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进入 shortlist，但不代表已经对主人可见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排序优化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L6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Presented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已呈现给主人，且披露信息一并呈现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默认最小计费口径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L7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Viewed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主人打开或停留在结果上，形成可见信号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效果优化 / 可选计费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L8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Interacted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主人点击、展开详情、预约、领取、试用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效果计费 / 归因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L9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Converted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形成订单、合同、付费或其他业务转化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结果结算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主题</w:t>
            </w:r>
          </w:p>
        </w:tc>
        <w:tc>
          <w:tcPr>
            <w:tcW w:type="dxa" w:w="7710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默认规则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计量依据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仅把带签名 receipt 或经平台可信接入层确认的事件写入 ledger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默认计费事件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L6 offer.presented 起；L7/L8/L9 依据合作模式配置为可计费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归因主键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trace_id + opportunity_id + offer_id + buyer_agent_id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展示去重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同一 owner_session_ref 下，同一 offer 在 30 分钟内重复 presented/viewed 只计一次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互动去重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同一 action_id + interaction_type + owner_session_ref 的重复事件按幂等处理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转化窗口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默认 7 天用于 demo/试用，30 天用于成单；支持按类目覆写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隐私处理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不回传原始 PII；owner_session_ref、order_ref 可采用 hash 或平台代理引用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争议处理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账单争议默认 7 天内可发起 appeal，冻结相关金额直至复核完成</w:t>
            </w:r>
          </w:p>
        </w:tc>
      </w:tr>
    </w:tbl>
    <w:p>
      <w:pPr>
        <w:pStyle w:val="BulletCustom"/>
      </w:pPr>
      <w:r>
        <w:t>• 没有 presentation receipt 能力的合作方，不进入规模化分发名单。</w:t>
      </w:r>
    </w:p>
    <w:p>
      <w:pPr>
        <w:pStyle w:val="BulletCustom"/>
      </w:pPr>
      <w:r>
        <w:t>• L1-L3 只用于运维与合作评估，不作为业务成功或计费依据。</w:t>
      </w:r>
    </w:p>
    <w:p>
      <w:pPr>
        <w:pStyle w:val="BulletCustom"/>
      </w:pPr>
      <w:r>
        <w:t>• L4-L5 可用于模型优化与预算调整，但默认不直接计费。</w:t>
      </w:r>
    </w:p>
    <w:p>
      <w:pPr>
        <w:pStyle w:val="SmallText"/>
      </w:pPr>
      <w:r>
        <w:t>完整事件 schema 见 7.3。</w:t>
      </w:r>
    </w:p>
    <w:p>
      <w:pPr/>
    </w:p>
    <w:p>
      <w:pPr>
        <w:pStyle w:val="Heading2"/>
      </w:pPr>
      <w:r>
        <w:t>5.4 OPC Verification &amp; Guru-Risk Filter</w:t>
      </w:r>
    </w:p>
    <w:p>
      <w:pPr/>
      <w:r>
        <w:t>本模块用于识别“真实依靠终端客户付费获得贡献利润的 OPC”和“主要依靠卖课、陪跑、社群或收益叙事获客的伪 OPC”。平台只把前者纳入可规模化推广名单；后者按教育/卖课业务分类，默认不进入正式投放池。</w:t>
      </w:r>
    </w:p>
    <w:p>
      <w:pPr>
        <w:pStyle w:val="BulletCustom"/>
      </w:pPr>
      <w:r>
        <w:t>只认最近 3–6 个月可勾稽的净回款与贡献利润近似值，不认单日截图、口播营收或学员见证。</w:t>
      </w:r>
    </w:p>
    <w:p>
      <w:pPr>
        <w:pStyle w:val="BulletCustom"/>
      </w:pPr>
      <w:r>
        <w:t>主要收入来自“教别人如何复制该模式”的主体，分类为教育/卖课业务，而非真实盈利 OPC。</w:t>
      </w:r>
    </w:p>
    <w:p>
      <w:pPr>
        <w:pStyle w:val="BulletCustom"/>
      </w:pPr>
      <w:r>
        <w:t>没有完成支付、银行、订单、退款四账勾稽的主体，不进入自动推广白名单。</w:t>
      </w:r>
    </w:p>
    <w:p>
      <w:pPr>
        <w:pStyle w:val="Heading3"/>
      </w:pPr>
      <w:r>
        <w:t>5.4.1 验真证据包要求</w:t>
      </w:r>
    </w:p>
    <w:p>
      <w:pPr/>
      <w:r>
        <w:t>所有候选 OPC 在进入正式推广名单前，必须提交可核验的 Proof Bundle。系统按证据强度而非叙事强度做判断。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证据类别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最低要求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主要用途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结论影响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主体信息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主体名称、注册号/统一社会信用代码、成立时间、经营状态、历史变更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确认商业主体真实存在且可追责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缺失则不得通过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支付结算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最近 3–6 个月的支付平台结算记录或导出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验证已结算收入与回款节奏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核心强证据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银行入账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最近 3–6 个月银行入账或结算流水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与支付结算做金额勾稽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核心强证据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订单/合同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订单导出、合同清单、SKU/服务包、金额、时间、退款状态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证明收入来自真实交易而非口径拼接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核心强证据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退款/拒付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退款额、拒付额、退款原因、周期分布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防止只晒营收不晒净回款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异常则降级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客户与交付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抽样客户、交付件、售后记录、回访凭据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验证客户真实存在且交付发生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缺失则人审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页面与内容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官网/落地页/产品页/课程页链接与抓取快照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识别卖课信号、收益承诺、产品页强弱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高风险则降级或拒绝</w:t>
            </w:r>
          </w:p>
        </w:tc>
      </w:tr>
    </w:tbl>
    <w:p>
      <w:pPr>
        <w:pStyle w:val="Heading3"/>
      </w:pPr>
      <w:r>
        <w:t>5.4.2 评分卡、阈值与硬性拒绝规则</w:t>
      </w:r>
    </w:p>
    <w:p>
      <w:pPr/>
      <w:r>
        <w:t>系统同时计算“真实性得分”和“卖课风险分”，并结合默认阈值给出通过、试投、人审或拒绝结论。</w:t>
      </w:r>
    </w:p>
    <w:p>
      <w:pPr>
        <w:pStyle w:val="Mono"/>
      </w:pPr>
      <w:r>
        <w:t>VerificationScore = 0.20*Identity + 0.30*RevenueVerifiability + 0.20*RevenueMixHealth + 0.20*CustomerDeliveryEvidence + 0.10*BehaviorRiskInverse</w:t>
      </w:r>
    </w:p>
    <w:p>
      <w:pPr>
        <w:pStyle w:val="Mono"/>
      </w:pPr>
      <w:r>
        <w:t>GuruRiskScore = 0.25*EarningsClaimIntensity + 0.20*CourseDependency + 0.15*ProofOpacity + 0.15*TestimonialReliance + 0.15*RefundAbnormality + 0.10*CoerciveSalesPattern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评分维度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权重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核心判断点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默认硬失败条件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身份真实性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20%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主体是否真实、连续经营、可追责，基础资料是否齐全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主体信息无法核验或经营状态异常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收入可验证性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30%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支付、银行、订单、退款是否能勾稽，是否能形成净回款近似值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无法提供近 3 个月以上的勾稽证据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收入结构健康度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20%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主要收入是否来自终端客户，而非课程/陪跑/社群/咨询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主要收入来自卖课或收益陪跑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客户与交付证据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20%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是否存在随机抽样可验证订单、客户与交付链路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客户与交付无法抽样验证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行为风险反向分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10%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是否存在夸大收益、逼单、稀缺制造、案例轰炸等风险模式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高强度收益承诺且真实产品页薄弱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结论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默认阈值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运营动作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VerificationScore ≥ 80 且 GuruRiskScore &lt; 30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进入正式推广名单，可开放规模化分发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试投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VerificationScore 70–79，且无硬失败项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限额投放 + 30 天复核 + 更严监控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人审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VerificationScore 60–69，或关键证据冲突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转人工复核，不自动扩量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拒绝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VerificationScore &lt; 60，或命中任一硬失败项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不进入正式投放池；必要时加入观察或黑名单</w:t>
            </w:r>
          </w:p>
        </w:tc>
      </w:tr>
    </w:tbl>
    <w:p>
      <w:pPr>
        <w:pStyle w:val="SmallText"/>
      </w:pPr>
      <w:r>
        <w:t>默认阈值建议：external_customer_revenue_ratio &lt; 0.70 时转人工复核；knowledge_revenue_ratio &gt; 0.30 时至少进入试投或人审；若收入主引擎明确为课程、陪跑、训练营或“教别人复制该模式”，则直接按教育/卖课业务分类，不按真实盈利 OPC 处理。</w:t>
      </w:r>
    </w:p>
    <w:p>
      <w:pPr>
        <w:pStyle w:val="BulletCustom"/>
      </w:pPr>
      <w:r>
        <w:t>只给截图不给导出或 live walkthrough 的主体，直接拒绝。</w:t>
      </w:r>
    </w:p>
    <w:p>
      <w:pPr>
        <w:pStyle w:val="BulletCustom"/>
      </w:pPr>
      <w:r>
        <w:t>只谈营收不谈退款、拒付、广告费与履约成本的主体，至少进入人工复核。</w:t>
      </w:r>
    </w:p>
    <w:p>
      <w:pPr>
        <w:pStyle w:val="BulletCustom"/>
      </w:pPr>
      <w:r>
        <w:t>页面内容以收益承诺、学员案例、限时开营、名额稀缺为主，而真实产品页明显薄弱的主体，默认高风险。</w:t>
      </w:r>
    </w:p>
    <w:p>
      <w:pPr>
        <w:pStyle w:val="Heading3"/>
      </w:pPr>
      <w:r>
        <w:t>5.4.3 审核流程图</w:t>
      </w:r>
    </w:p>
    <w:p>
      <w:pPr/>
      <w:r>
        <w:t>下图展示了从线索进入到月度持续监控的默认审核闭环。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6659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_verification_flow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65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Text"/>
        <w:jc w:val="center"/>
      </w:pPr>
      <w:r>
        <w:t>图 2  OPC 验真与反卖课过滤流程（示意）</w:t>
      </w:r>
    </w:p>
    <w:p>
      <w:pPr>
        <w:pStyle w:val="Heading3"/>
      </w:pPr>
      <w:r>
        <w:t>5.4.4 持续监控与重新审核</w:t>
      </w:r>
    </w:p>
    <w:p>
      <w:pPr/>
      <w:r>
        <w:t>OPC 验真不是一次性审核，而是持续监控。月度复核用于识别收入结构漂移、退款异常、页面内容变化与卖课化倾向。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复核项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默认观察点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触发动作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净回款与贡献利润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连续两期下降或无法解释的大幅波动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降级为试投或转人工复核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退款/拒付率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显著高于同类目基线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暂停扩量并补充解释材料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课程/陪跑收入占比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连续上升且超过预警线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重新分类或拒绝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页面与话术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收益承诺、案例轰炸、稀缺营销增强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提高 GuruRiskScore 并重跑审核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客户与交付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抽样失败、交付链路缺失、客诉上升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限制投放并触发治理流程</w:t>
            </w:r>
          </w:p>
        </w:tc>
      </w:tr>
    </w:tbl>
    <w:p>
      <w:pPr>
        <w:pStyle w:val="Heading2"/>
      </w:pPr>
      <w:r>
        <w:t>5.5 Agent-native GTM &amp; Channel Strategy</w:t>
      </w:r>
    </w:p>
    <w:p>
      <w:pPr/>
      <w:r>
        <w:t>本节定义平台如何从 owner outreach 迁移到 agent-native GTM：目标不是绕过 owner 或管理员权限，而是进入 agent 的发现、授权、编排和回执链路，让对方在合适意图下主动把我们的 Offer 交给主人。</w:t>
      </w:r>
    </w:p>
    <w:p>
      <w:pPr>
        <w:pStyle w:val="BulletCustom"/>
      </w:pPr>
      <w:r>
        <w:t>• Promotion Agent 要从“联系 owner 的营销工具”升级成“可被其他 agent 安全发现、授权和调用的 Seller Agent”。</w:t>
      </w:r>
    </w:p>
    <w:p>
      <w:pPr>
        <w:pStyle w:val="BulletCustom"/>
      </w:pPr>
      <w:r>
        <w:t>• 对无法开放公开发现的 agent，平台应争取 direct configuration、企业管理员配置或平台侧上架，而不是继续依赖逐个 owner 冷启动邮件。</w:t>
      </w:r>
    </w:p>
    <w:p>
      <w:pPr>
        <w:pStyle w:val="Heading3"/>
      </w:pPr>
      <w:r>
        <w:t>5.5.1 渠道优先级与进入方式</w:t>
      </w:r>
    </w:p>
    <w:p>
      <w:pPr/>
      <w:r>
        <w:t>渠道应按“可发现性 × 可授权性 × 可回执性 × 商业成熟度”排序。优先进入 registry、gallery、marketplace 和 orchestrator connector；这些入口的共同特点是：它们天然属于 agent 的发现链路，而不是 owner 的收件箱。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渠道类型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核心入口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进入动作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默认定位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公开 registry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行业目录、生态 registry、垂类 agent 名录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登记 public discovery profile，持续同步能力与验证状态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P0：首批高信任线索来源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平台 gallery / marketplace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企业平台、agent 商店、应用市场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满足平台上架与审核要求，提交可接入 endpoint 与能力声明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P0：面向用户侧流量的主入口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orchestrator / connector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主 agent 编排器、workflow 平台、delegate connector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提供稳定 endpoint、测试样例和委托能力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P1：进入现有任务流的最快路径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partner direct configuration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合作方后台、白名单配置、专属接入表单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通过 BD / 解决方案 / 技术支持完成定向接入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P1：高价值但非公开入口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owner email / form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管理员邮箱、采购表单、商务邮箱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仅用于引导管理员完成上架、授权或合同流程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兜底渠道：不是主分发入口</w:t>
            </w:r>
          </w:p>
        </w:tc>
      </w:tr>
    </w:tbl>
    <w:p>
      <w:pPr>
        <w:pStyle w:val="Heading3"/>
      </w:pPr>
      <w:r>
        <w:t>5.5.2 能力声明与商业扩展</w:t>
      </w:r>
    </w:p>
    <w:p>
      <w:pPr/>
      <w:r>
        <w:t>Promotion Agent 需要同时维护两层能力声明：公开能力层用于被发现，授权后能力层用于暴露商业接入规则。公开层不追求暴露一切；它只负责让对方知道“你是谁、会什么、怎么鉴权”。更敏感的商业条款和回执能力，应在认证后再展示。</w:t>
      </w:r>
    </w:p>
    <w:p>
      <w:pPr>
        <w:pStyle w:val="Mono"/>
      </w:pPr>
      <w:r>
        <w:t>CommercialReady = public_card_valid AND auth_supported AND disclosure_supported AND receipt_supported AND policy_supported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232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能力层</w:t>
            </w:r>
          </w:p>
        </w:tc>
        <w:tc>
          <w:tcPr>
            <w:tcW w:type="dxa" w:w="3816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最低要求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主要用途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Public Discovery Profile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provider、endpoint、domains/skills、协议类型、认证方式、可验证身份信息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让 registry、gallery、buyer agent 或 orchestrator 能发现并初筛你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Authenticated Commercial Extension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是否接受商业机会、placement 类型、披露要求、receipt 模式、billing 模式、rate limit、policy endpoint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让合作方判断是否值得接入，并在授权后读取更完整的商业规则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Runtime Health Snapshot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最近验证时间、最近 7/30 天成功率、平均延迟、receipt 覆盖率、风控状态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为自动扩量、降级和 partner 复审提供依据</w:t>
            </w:r>
          </w:p>
        </w:tc>
      </w:tr>
    </w:tbl>
    <w:p>
      <w:pPr>
        <w:pStyle w:val="Heading3"/>
      </w:pPr>
      <w:r>
        <w:t>5.5.3 授权、接入与委托流程</w:t>
      </w:r>
    </w:p>
    <w:p>
      <w:pPr/>
      <w:r>
        <w:t>运行时应采用分层接入：发现链路解决“能不能找到你”，商业扩展解决“值不值得接你”，执行链路解决“怎么协同”，回执链路解决“怎么证明结果”。任何涉及用户数据、代表用户行动或计费的步骤，都必须建立在显式授权和可审计事件之上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层级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主要对象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发现层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public card / registry record / marketplace listing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让 buyer agent 或平台先发现你，并完成基础能力与身份判断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商业层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authenticated commercial extension / partner terms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在授权后暴露 placement、receipt、billing、policy 与限流能力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执行层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opportunity / bid / delegate task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在运行时交换机会、返回 offer，并完成委托或协商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回执层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delivery / presentation / action receipts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证明送达、呈现、互动与结算所需事件已发生</w:t>
            </w:r>
          </w:p>
        </w:tc>
      </w:tr>
    </w:tbl>
    <w:p>
      <w:pPr>
        <w:pStyle w:val="Heading3"/>
      </w:pPr>
      <w:r>
        <w:t>5.5.4 Partner onboarding 与阶段化转化</w:t>
      </w:r>
    </w:p>
    <w:p>
      <w:pPr/>
      <w:r>
        <w:t>运营侧的核心目标，是把原本依赖人工触达的联系方式，转化为可持续的 partner onboarding 管道。每条线索都应有明确的阶段状态、负责人、阻塞项和升级条件。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进入条件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平台动作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升级条件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lead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已发现 public card / endpoint / 平台入口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建档、抓取元数据、打初始分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身份可验证且具备基本接入信息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verified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通过身份、签名或 endpoint 验证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补全渠道档案，启动技术预审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商业能力声明齐备并能完成认证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sandbox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已获取测试环境或受限调用权限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跑 discovery / auth / receipt 探针，记录 SLA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机会请求、回执和披露测试通过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pilot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合同与风控条件满足，试投额度已核定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开启小流量、限预算、强监控试点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presentation receipt 稳定，转化与投诉达标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scaled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试点通过且近 30 天 SLA 稳定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纳入规模化分发与自动优化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可签更深合作条款或扩展到更多类目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strategic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具有平台型 reach 或关键垂类优势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共建 schema、专属支持、联合运营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保持高质量并通过周期复审</w:t>
            </w:r>
          </w:p>
        </w:tc>
      </w:tr>
    </w:tbl>
    <w:p>
      <w:pPr>
        <w:pStyle w:val="Heading3"/>
      </w:pPr>
      <w:r>
        <w:t>5.5.5 Agent lead scoring 与渠道运营</w:t>
      </w:r>
    </w:p>
    <w:p>
      <w:pPr/>
      <w:r>
        <w:t>渠道运营既要看单个 agent 的质量，也要看渠道本身能否稳定产出“可接入、可委托、可回执”的 buyer agents。评分不再围绕“谁像潜在客户”，而是围绕“谁像可规模化接入的 buyer agent 入口”。</w:t>
      </w:r>
    </w:p>
    <w:p>
      <w:pPr>
        <w:pStyle w:val="Mono"/>
      </w:pPr>
      <w:r>
        <w:t>NativeGTMScore = 0.30*CommercialReadiness + 0.25*ICPFit + 0.20*SkillMatch + 0.15*PlatformReach + 0.10*IntegrationEase</w:t>
      </w:r>
    </w:p>
    <w:p>
      <w:pPr>
        <w:pStyle w:val="BulletCustom"/>
      </w:pPr>
      <w:r>
        <w:t>• 没有 public card 或无法验证 endpoint 的线索，只进入人工观察池，不进入自动发现与分发名单。</w:t>
      </w:r>
    </w:p>
    <w:p>
      <w:pPr>
        <w:pStyle w:val="BulletCustom"/>
      </w:pPr>
      <w:r>
        <w:t>• 没有 presentation receipt 的 agent 可进入试点，但默认不进入自动扩量名单。</w:t>
      </w:r>
    </w:p>
    <w:p>
      <w:pPr>
        <w:pStyle w:val="BulletCustom"/>
      </w:pPr>
      <w:r>
        <w:t>• 邮件、表单和人工沟通只用于 BD、法务、管理员协作与故障兜底，不计为主分发通道。</w:t>
      </w:r>
    </w:p>
    <w:p>
      <w:pPr>
        <w:pStyle w:val="BulletCustom"/>
      </w:pPr>
      <w:r>
        <w:t>• 渠道运营同时追踪 lead→verified→sandbox→pilot→scaled 的阶段转化率、平均接入周期和 presentation receipt 覆盖率。</w:t>
      </w:r>
    </w:p>
    <w:p>
      <w:pPr>
        <w:pStyle w:val="SmallText"/>
      </w:pPr>
      <w:r>
        <w:t>相关渠道、能力与 onboarding schema 见 7.5。</w:t>
      </w:r>
    </w:p>
    <w:p>
      <w:pPr>
        <w:pStyle w:val="Heading1"/>
      </w:pPr>
      <w:r>
        <w:t>6. 排序、奖惩与治理机制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8F1"/>
            <w:tcBorders>
              <w:left w:val="single" w:sz="8" w:space="0" w:color="5E9E6E"/>
              <w:top w:val="single" w:sz="8" w:space="0" w:color="5E9E6E"/>
              <w:right w:val="single" w:sz="8" w:space="0" w:color="5E9E6E"/>
              <w:bottom w:val="single" w:sz="8" w:space="0" w:color="5E9E6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先过线，再赞助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所有商业候选必须先通过相关性门槛、用户效用门槛、信誉门槛和披露能力要求。赞助金额只能影响合格候选之间的相对顺序，不能让明显不适配或高风险候选越级。</w:t>
            </w:r>
          </w:p>
        </w:tc>
      </w:tr>
    </w:tbl>
    <w:p>
      <w:pPr>
        <w:pStyle w:val="SmallText"/>
      </w:pPr>
    </w:p>
    <w:p>
      <w:pPr>
        <w:pStyle w:val="Mono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7"/>
        </w:rPr>
        <w:t>eligible_i = policy_pass ∧ relevance_i ≥ τr ∧ expected_user_utility_i ≥ τu ∧ trust_i ≥ τt</w:t>
      </w:r>
    </w:p>
    <w:p>
      <w:pPr>
        <w:pStyle w:val="Mono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7"/>
        </w:rPr>
        <w:t>priority_score_i = 0.35*relevance + 0.25*utility + 0.15*trust + 0.15*affective_fit + 0.10*bid_norm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更高入围率：高信誉、高满意度供给方获得更高 eligible 概率。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更低成本：对优质 partner 可降低 reserve floor 或开放更高价值展示位。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能力增益：开放更多 action surface，例如试用申请、预约、直达下单。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信任增益：在 buyer agent 侧得到更高默认可信度和更少人工复核。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信誉惩罚：claim mismatch、虚假价格、虚假库存导致 trust score 下调。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经济惩罚：保证金冻结或 slashing，用于覆盖争议成本和生态风险。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流量惩罚：对低相关轰炸、重复投放、超频请求进行限流、cooldown 或封禁。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治理惩罚：严重违规进入人工审查，必要时永久拉黑。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FCF3EB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字段</w:t>
            </w:r>
          </w:p>
        </w:tc>
        <w:tc>
          <w:tcPr>
            <w:tcW w:type="dxa" w:w="6690"/>
            <w:shd w:fill="FCF3EB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用途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sponsored_flag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标识该结果是否为商业合作结果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disclosure_text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呈现给终端用户的披露文案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ranking_reason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对 buyer agent 返回的排序解释摘要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proof_bundle_ref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与 claim 相关的证据引用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audit_trace_id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用于追踪整条决策链路的审计 ID</w:t>
            </w:r>
          </w:p>
        </w:tc>
      </w:tr>
    </w:tbl>
    <w:p>
      <w:pPr>
        <w:pStyle w:val="SmallText"/>
      </w:pPr>
    </w:p>
    <w:p>
      <w:pPr>
        <w:pStyle w:val="Heading1"/>
      </w:pPr>
      <w:r>
        <w:t>7. 核心数据模型与接口对象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对象</w:t>
            </w:r>
          </w:p>
        </w:tc>
        <w:tc>
          <w:tcPr>
            <w:tcW w:type="dxa" w:w="238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说明</w:t>
            </w:r>
          </w:p>
        </w:tc>
        <w:tc>
          <w:tcPr>
            <w:tcW w:type="dxa" w:w="4989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关键字段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AgentLead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潜在 buyer / user agent 线索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来源、类目、skills、地区、认证方式、合作状态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PartnerAgent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已验证的合作 agent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能力声明、endpoint、security、SLA、披露能力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Campaign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一次商业投放活动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预算、目标类目、目标 agent、结算模型、状态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OfferCard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 可消费的商品对象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价格、适用对象、约束、claim、action、叙事变体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ProofBundle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支撑 claim 的证据集合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案例、证书、FAQ、产品文档、更新时间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OpportunityRequest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buyer agent 发来的机会对象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用户意图、约束、placement、policy、sponsored slot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BidResponse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平台返回给 buyer agent 的商业候选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offer、预计效用、出价、披露文案、TTL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EventReceipt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结果回执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事件类型、时间、intent_id、offer_id、签名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SettlementReceipt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结算结果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费用、归因窗口、状态、争议标签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ReputationRecord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信誉账本记录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加分、扣分、原因、证据、申诉状态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对象</w:t>
            </w:r>
          </w:p>
        </w:tc>
        <w:tc>
          <w:tcPr>
            <w:tcW w:type="dxa" w:w="7143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最小字段建议</w:t>
            </w:r>
          </w:p>
        </w:tc>
      </w:tr>
      <w:tr>
        <w:tc>
          <w:tcPr>
            <w:tcW w:type="dxa" w:w="19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AgentLead</w:t>
            </w:r>
          </w:p>
        </w:tc>
        <w:tc>
          <w:tcPr>
            <w:tcW w:type="dxa" w:w="714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agent_id, source, provider_org, card_url, verticals[], skills[], geo[], auth_modes[], accepts_sponsored, supports_disclosure, trust_seed, lead_score</w:t>
            </w:r>
          </w:p>
        </w:tc>
      </w:tr>
      <w:tr>
        <w:tc>
          <w:tcPr>
            <w:tcW w:type="dxa" w:w="19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OpportunityRequest</w:t>
            </w:r>
          </w:p>
        </w:tc>
        <w:tc>
          <w:tcPr>
            <w:tcW w:type="dxa" w:w="714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intent_id, category, task_type, constraints{}, placement, relevance_floor, utility_floor, sponsored_slots, disclosure_required</w:t>
            </w:r>
          </w:p>
        </w:tc>
      </w:tr>
      <w:tr>
        <w:tc>
          <w:tcPr>
            <w:tcW w:type="dxa" w:w="19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BidResponse</w:t>
            </w:r>
          </w:p>
        </w:tc>
        <w:tc>
          <w:tcPr>
            <w:tcW w:type="dxa" w:w="714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bid_id, offer_id, campaign_id, bid_value, expected_utility, affective_fit, trust_score, disclosure_text, action_endpoints[], ttl_seconds</w:t>
            </w:r>
          </w:p>
        </w:tc>
      </w:tr>
      <w:tr>
        <w:tc>
          <w:tcPr>
            <w:tcW w:type="dxa" w:w="19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SettlementReceipt</w:t>
            </w:r>
          </w:p>
        </w:tc>
        <w:tc>
          <w:tcPr>
            <w:tcW w:type="dxa" w:w="714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settlement_id, billing_model, event_type, amount, currency, attribution_window, status, dispute_flag, generated_at</w:t>
            </w:r>
          </w:p>
        </w:tc>
      </w:tr>
    </w:tbl>
    <w:p>
      <w:pPr>
        <w:pStyle w:val="SmallTex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>{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"intent_id": "int_001",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"category": "crm_software",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"task_type": "compare_and_shortlist",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"constraints": {"company_size": "50-200", "budget_max": 80000, "geo": ["CN"]},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"placement": "shortlist",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"relevance_floor": 0.72,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"utility_floor": 0.68,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"sponsored_slots": 1,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"disclosure_required": true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>}</w:t>
            </w:r>
          </w:p>
        </w:tc>
      </w:tr>
    </w:tbl>
    <w:p>
      <w:pPr>
        <w:pStyle w:val="SmallText"/>
      </w:pPr>
    </w:p>
    <w:p>
      <w:pPr>
        <w:pStyle w:val="Heading2"/>
      </w:pPr>
      <w:r>
        <w:t>7.3 完整事件 Schema</w:t>
      </w:r>
    </w:p>
    <w:p>
      <w:pPr/>
      <w:r>
        <w:t>以下 schema 作为平台内部 canonical event contract。外部协议可通过 A2A、MCP 或 HTTP webhook 映射，但进入计量、结算与风控账本前必须转换为统一事件格式。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41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907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6690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spec_version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事件协议版本，例如 1.0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event_id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事件唯一标识，建议 UUID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event_type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事件类型，例如 offer.presented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occurred_at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事件发生时间，UTC ISO 8601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trace_id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贯穿一次机会与分发链路的主追踪 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correlation_id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用于把重试、回调或上游请求串联起来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producer_agent_id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发出事件的 agent 或系统组件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consumer_agent_id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接收事件的 agent 或系统组件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buyer_agent_id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涉及的 buyer agent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seller_agent_id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涉及的 seller / promotion agent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campaign_id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广告活动 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商品 / Offer 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opportunity_id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机会请求 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delivery_id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分发链路 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task_id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外部协议任务 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environment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prod / staging / test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signature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对外可结算 receipt 建议使用 JWS 或等效签名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payload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事件体，按 event_type 填充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268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event_type</w:t>
            </w:r>
          </w:p>
        </w:tc>
        <w:tc>
          <w:tcPr>
            <w:tcW w:type="dxa" w:w="1814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事件生产者</w:t>
            </w:r>
          </w:p>
        </w:tc>
        <w:tc>
          <w:tcPr>
            <w:tcW w:type="dxa" w:w="3231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用途</w:t>
            </w:r>
          </w:p>
        </w:tc>
        <w:tc>
          <w:tcPr>
            <w:tcW w:type="dxa" w:w="2324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默认归属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opportunity.requested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发起机会请求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排序上下文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bid.returned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promotion agent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返回 offer 与出价信息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排序输入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delivery.sent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promotion platform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记录平台已发起发送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运维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delivery.received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 / 接入层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确认 transport 已接收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运维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delivery.validated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 / 接入层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确认签名、格式、policy 校验结果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运维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offer.ingested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确认 offer 已纳入处理或目录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运维 / 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offer.eligible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当前机会下通过门槛过滤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offer.shortlisted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进入 shortlist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offer.presented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 / renderer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呈现给主人并显示披露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计量 / 计费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owner.viewed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 / UI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主人看到了结果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计量 / 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owner.interacted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 / UI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主人点击、展开、预约等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计量 / 归因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conversion.attributed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 / 商家 / 归因服务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确认业务转化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结算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billing.settled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settlement service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账单与分账完成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财务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partner.penalized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governance service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处罚已生效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治理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appeal.opened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partner portal / ops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合作方发起申诉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治理</w:t>
            </w:r>
          </w:p>
        </w:tc>
      </w:tr>
    </w:tbl>
    <w:p>
      <w:pPr>
        <w:pStyle w:val="Heading3"/>
      </w:pPr>
      <w:r>
        <w:t>7.3.1 Opportunity 与 Bid 事件体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category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机会所属类目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task_type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compare、recommend、book、buy 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placement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organic / sponsored / shortlist / card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constraints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object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预算、地区、品类禁入、时间窗等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relevance_floor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相关性最低阈值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utility_floor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预期用户效用最低阈值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sponsored_slots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integer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本次机会允许的赞助位数量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disclosure_required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boolean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是否必须展示披露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session_ref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匿名化的会话引用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expires_at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datetime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机会失效时间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bid_id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一次返回候选的唯一 ID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offer_snapshot_ref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对应的 Offer 快照引用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predicted_relevance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预测相关性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predicted_utility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预测用户效用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predicted_affective_fit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预测感性适配度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bid_amount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商业激励金额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bid_currency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币种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action_set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array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可执行动作集合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disclosure_text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呈现给主人的披露文案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ttl_seconds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integer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该返回可被复用的有效期</w:t>
            </w:r>
          </w:p>
        </w:tc>
      </w:tr>
    </w:tbl>
    <w:p>
      <w:pPr>
        <w:pStyle w:val="Heading3"/>
      </w:pPr>
      <w:r>
        <w:t>7.3.2 Delivery 与 Validation 事件体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channel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catalog_sync / delta_push / opportunity_time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attempt_no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integer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第几次发送尝试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payload_hash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发送内容摘要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idempotency_key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幂等键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sent_to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目标 endpoint 或 channel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transport_status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HTTP / webhook / queue 的状态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receipt_status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accepted / rejected / timeout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received_at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datetime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对方接收时间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validation_result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pass / fail / partial_pass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signature_verified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boolean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签名是否通过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policy_result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policy 校验结果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reject_reason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拒绝原因编码或描述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normalized_offer_ref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标准化后的 offer 引用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ingestion_ref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对方系统内的 ingestion 或 catalog 引用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catalog_version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目录版本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accepted_fields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array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被接受的字段列表</w:t>
            </w:r>
          </w:p>
        </w:tc>
      </w:tr>
    </w:tbl>
    <w:p>
      <w:pPr>
        <w:pStyle w:val="Heading3"/>
      </w:pPr>
      <w:r>
        <w:t>7.3.3 Shortlist、Presentation 与 User Action 事件体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eligibility_reason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通过门槛的原因或标签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relevance_score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该机会下的相关性得分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utility_score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该机会下的效用得分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trust_score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当前信任得分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shortlist_id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shortlist 引用 ID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shortlist_rank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integer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进入 shortlist 的排序名次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placement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最终展示位类型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presented_rank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integer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展示给主人的排序名次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disclosure_shown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boolean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披露是否实际展示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render_hash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展示内容摘要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owner_session_ref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主人会话匿名引用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ui_surface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chat_card、sidebar、email_digest 等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view_id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一次 view 的唯一标识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dwell_ms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integer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停留时长，毫秒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visibility_ratio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可见比例或等效 viewability 指标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interaction_type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click、expand、save、book_demo 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action_id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触发的动作 ID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interaction_value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可选数值，例如优惠券面额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source_event_id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通常指 offer.presented 或 owner.viewed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owner_session_ref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主人会话匿名引用</w:t>
            </w:r>
          </w:p>
        </w:tc>
      </w:tr>
    </w:tbl>
    <w:p>
      <w:pPr>
        <w:pStyle w:val="Heading3"/>
      </w:pPr>
      <w:r>
        <w:t>7.3.4 Conversion、Billing 与 Governance 事件体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conversion_id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业务转化 ID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order_ref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订单或合同引用，可哈希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value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转化金额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currency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币种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attribution_model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last_touch、multi_touch、qualified_recommendation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attribution_window_hours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integer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归因窗口，小时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conversion_time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datetime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转化发生时间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billable_event_type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实际触发结算的事件类型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bill_amount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结算金额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settlement_status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pending、approved、paid、reversed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penalty_id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处罚单号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reason_code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处罚原因编码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severity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low / medium / high / critical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trust_delta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信任分变动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frozen_amount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冻结或扣减金额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target_penalty_id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申诉针对的处罚单号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appeal_status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opened、reviewing、upheld、reversed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related_event_id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关联的证据事件</w:t>
            </w:r>
          </w:p>
        </w:tc>
      </w:tr>
    </w:tbl>
    <w:p>
      <w:pPr>
        <w:pStyle w:val="SmallText"/>
      </w:pPr>
      <w:r>
        <w:t>关键约束：所有进入 ledger 的外部回执事件，必须携带可验证的 event_id、trace_id、occurred_at 和 signature；若缺少这四项，则只能作为运维日志，不作为结算依据。</w:t>
      </w:r>
    </w:p>
    <w:p>
      <w:pPr/>
    </w:p>
    <w:p>
      <w:pPr>
        <w:pStyle w:val="Heading2"/>
      </w:pPr>
      <w:r>
        <w:t>7.4 OPC Verification Schema</w:t>
      </w:r>
    </w:p>
    <w:p>
      <w:pPr/>
      <w:r>
        <w:t>以下对象用于把 OPC 验真、反卖课过滤、人工审核与持续复核纳入统一 CRM 与治理账本。</w:t>
      </w:r>
    </w:p>
    <w:p>
      <w:pPr>
        <w:pStyle w:val="Heading3"/>
      </w:pPr>
      <w:r>
        <w:t>7.4.1 OPCProfile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字段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必填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opc_id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OPC 在平台内的唯一标识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legal_entity_name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主体名称或登记名称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registration_id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公司号、统一社会信用代码或等效注册号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operator_type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individual / micro_team / studio / company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primary_business_type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 / service / education / mixed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business_model_primary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主要收入模式，例如 saas、service_retainer、course、community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website_url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官网或主要站点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product_page_url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真实产品/服务页面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course_page_url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课程/训练营/社群页面，若存在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entity_verification_status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 / passed / failed / expired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onboarding_channel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BD、表单、自助申请、合作推荐等</w:t>
            </w:r>
          </w:p>
        </w:tc>
      </w:tr>
    </w:tbl>
    <w:p>
      <w:pPr>
        <w:pStyle w:val="Heading3"/>
      </w:pPr>
      <w:r>
        <w:t>7.4.2 RevenueEvidence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字段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必填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evidence_id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一份收入证据记录的唯一标识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opc_id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所属 OPC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period_start / period_end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证据覆盖周期，建议按月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payout_source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支付渠道或结算来源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settlement_amount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支付平台已结算金额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bank_inflow_amount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对应周期银行入账金额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order_count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integer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订单/合同数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refund_amount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退款金额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chargeback_amount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拒付金额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variable_cost_estimate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与成交强相关的可变成本估算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contribution_profit_estimate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净回款减去可变成本后的近似贡献利润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reconciliation_status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 / partial / passed / failed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source_ref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文件、报表或审计来源引用</w:t>
            </w:r>
          </w:p>
        </w:tc>
      </w:tr>
    </w:tbl>
    <w:p>
      <w:pPr>
        <w:pStyle w:val="Heading3"/>
      </w:pPr>
      <w:r>
        <w:t>7.4.3 VerificationReview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字段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必填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review_id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一次审核的唯一标识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opc_id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所属 OPC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verification_score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真实性综合得分，0–100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guru_risk_score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卖课/收益叙事风险分，0–100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external_customer_revenue_ratio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终端客户收入 ÷ 总收入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knowledge_revenue_ratio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课程/训练营/社群/咨询收入 ÷ 总收入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proof_bundle_status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 / partial / insufficient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customer_sample_status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 / passed / failed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page_classification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product-led / mixed / course-led / unclear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decision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approved / probation / manual_review / rejected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reviewer_owner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审核责任人或审核队列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valid_until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本次审核有效期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decision_reason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结论说明与命中的规则</w:t>
            </w:r>
          </w:p>
        </w:tc>
      </w:tr>
    </w:tbl>
    <w:p>
      <w:pPr>
        <w:pStyle w:val="Heading3"/>
      </w:pPr>
      <w:r>
        <w:t>7.4.4 MonthlyHealthSnapshot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字段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必填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snapshot_id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月度快照唯一标识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opc_id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所属 OPC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month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统计月份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net_cash_in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净回款近似值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contribution_profit_estimate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当月贡献利润近似值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refund_rate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退款金额 ÷ 结算金额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chargeback_rate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拒付金额 ÷ 结算金额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external_customer_revenue_ratio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终端客户收入占比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knowledge_revenue_ratio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课程/陪跑/社群收入占比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traffic_concentration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主要获客渠道集中度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risk_delta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相对上期的风险变化值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status_recommendation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keep / downgrade / manual_review / reject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escalation_required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是否需要升级人工处理</w:t>
            </w:r>
          </w:p>
        </w:tc>
      </w:tr>
    </w:tbl>
    <w:p>
      <w:pPr>
        <w:pStyle w:val="SmallText"/>
      </w:pPr>
      <w:r>
        <w:t>建议把 OPC 审核结果与推广资格直接挂钩：approved 才能进入正式推广白名单；probation 仅可获得限额流量；manual_review 和 rejected 默认不参与自动扩量。</w:t>
      </w:r>
    </w:p>
    <w:p>
      <w:pPr>
        <w:pStyle w:val="Heading2"/>
      </w:pPr>
      <w:r>
        <w:t>7.5 Agent-native GTM Schema</w:t>
      </w:r>
    </w:p>
    <w:p>
      <w:pPr/>
      <w:r>
        <w:t>以下对象用于统一管理 agent-native 渠道、公开能力声明、商业扩展、partner onboarding 与能力验证结果，使自动发现、BD 推进、试点扩量和风控降级共享同一套数据基线。</w:t>
      </w:r>
    </w:p>
    <w:p>
      <w:pPr>
        <w:pStyle w:val="Heading3"/>
      </w:pPr>
      <w:r>
        <w:t>7.5.1 AgentLead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必填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agent_lead_id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候选 buyer agent 线索唯一标识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discovery_source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线索来源，如 registry、marketplace、connector 或 direct config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public_card_url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公开能力声明地址或可发现入口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endpoint_url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运行时调用 endpoint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provider_org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提供方组织名称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intent_domains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string[]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该 agent 服务的意图域或业务垂类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skills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string[]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对外声明的主要能力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supported_protocols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string[]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支持的接入协议或接口类型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auth_modes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string[]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支持的认证模式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disclosure_supported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是否支持赞助披露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receipt_modes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string[]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支持返回的 receipt 类型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commercial_readiness_score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商业接入成熟度评分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verification_status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observe / verified / sandbox / pilot / scaled / blocked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last_verified_at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datetime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最近一次验证时间</w:t>
            </w:r>
          </w:p>
        </w:tc>
      </w:tr>
    </w:tbl>
    <w:p>
      <w:pPr>
        <w:pStyle w:val="Heading3"/>
      </w:pPr>
      <w:r>
        <w:t>7.5.2 ChannelProfile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必填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channel_id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渠道档案唯一标识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channel_type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registry / gallery / marketplace / connector / direct_config / owner_email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operator_name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渠道运营方或平台方名称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discovery_method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poll / webhook / manual_submit / import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onboarding_mode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self_serve / assisted / managed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expected_reach_proxy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预估 reach proxy，用于初始渠道价值判断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supports_receipts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string[]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该渠道内常见或要求支持的 receipt 类型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rate_limit_policy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渠道侧的速率或配额限制说明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cost_model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该渠道的上架费、技术费或合作成本模型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channel_status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active / observe / paused / blocked</w:t>
            </w:r>
          </w:p>
        </w:tc>
      </w:tr>
    </w:tbl>
    <w:p>
      <w:pPr>
        <w:pStyle w:val="Heading3"/>
      </w:pPr>
      <w:r>
        <w:t>7.5.3 CommercialExtension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必填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extension_version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商业扩展声明版本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accepts_commercial_opportunity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是否接受商业机会请求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placement_types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string[]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支持的 placement 类型，如 shortlist / detail / compare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disclosure_required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该合作方是否要求显式披露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receipt_modes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string[]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支持的 receipt 类型，如 delivery / presented / viewed / acted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billing_modes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string[]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支持的计费模式，如 CPQR / CPA / CPS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supported_intent_domains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string[]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可接受的意图域或商品类目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max_qps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默认速率上限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policy_endpoint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用于查询 policy / eligibility / claim 规则的地址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contract_required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是否必须先签约再开放调用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signature_scheme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商业回执与能力声明所使用的签名方式</w:t>
            </w:r>
          </w:p>
        </w:tc>
      </w:tr>
    </w:tbl>
    <w:p>
      <w:pPr>
        <w:pStyle w:val="Heading3"/>
      </w:pPr>
      <w:r>
        <w:t>7.5.4 PartnerOnboardingCase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必填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case_id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一次 onboarding 案例的唯一标识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agent_lead_id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关联的 AgentLead 标识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channel_id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来自哪个渠道或入口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current_stage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lead / verified / sandbox / pilot / scaled / strategic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contract_status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not_started / negotiating / signed / blocked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sandbox_status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not_ready / ready / failed / passed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pilot_budget_limit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试点预算或配额上限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technical_owner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负责技术接入的 owner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business_owner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负责商务推进的 owner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blocker_code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当前阻塞原因代码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next_review_at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datetime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下次复核或推进时间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launched_at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datetime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正式进入试点或规模化的时间</w:t>
            </w:r>
          </w:p>
        </w:tc>
      </w:tr>
    </w:tbl>
    <w:p>
      <w:pPr>
        <w:pStyle w:val="Heading3"/>
      </w:pPr>
      <w:r>
        <w:t>7.5.5 CapabilityVerificationSnapshot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必填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snapshot_id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一次能力验证快照的唯一标识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agent_lead_id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关联的 AgentLead 标识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public_card_valid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公开能力声明是否通过结构与签名校验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auth_test_passed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授权与认证探针是否通过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opportunity_test_passed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机会请求/委托测试是否通过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receipt_test_passed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delivery / presentation / action 回执链路是否通过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presentation_receipt_supported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是否具备用于规模化投放的 presentation receipt 能力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mean_latency_ms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最近一次或最近窗口平均延迟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success_rate_7d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number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近 7 天探针或真实调用成功率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risk_tier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low / medium / high，用于扩量与降级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last_probe_at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datetime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最近一次探针完成时间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recommended_tier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observe / pilot / scale，对运营的推荐级别</w:t>
            </w:r>
          </w:p>
        </w:tc>
      </w:tr>
    </w:tbl>
    <w:p>
      <w:pPr>
        <w:pStyle w:val="SmallText"/>
      </w:pPr>
      <w:r>
        <w:t>建议将 7.5 中的对象与 5.5 的运营指标直接打通：自动发现、partner onboarding、试点扩量与风控降级共享同一套 canonical IDs。</w:t>
      </w:r>
    </w:p>
    <w:p>
      <w:pPr>
        <w:pStyle w:val="Heading1"/>
      </w:pPr>
      <w:r>
        <w:t>8. 技术实现建议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外部发现、任务协商、artifact 交换采用 A2A 兼容思路，便于和 buyer agent / partner agent 对接。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对外暴露 catalog、proof verification、measurement、billing、policy 查询等能力时，采用 MCP 工具/资源模式更利于标准化接入。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内部高频热路径（排序、竞价、事件处理）不直接依赖协议层，而使用低延迟内部 RPC + event bus 实现。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服务</w:t>
            </w:r>
          </w:p>
        </w:tc>
        <w:tc>
          <w:tcPr>
            <w:tcW w:type="dxa" w:w="6123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职责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agent-discovery-service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抓取、标准化、评分、去重 AgentLead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partner-crm-service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维护合作方信息、审核状态、合同与备注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offer-compiler-service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把商品编译为 OfferCard / ProofBundle / Narrative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opportunity-exchange-service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接收请求、过滤 eligible 活动、返回 BidResponse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ranking-service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计算 relevance、utility、trust、bid 综合分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measurement-service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接收回执、归因、出具结算明细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reputation-ledger-service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更新信誉、保证金、惩罚和申诉状态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policy-risk-service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类目、披露、反作弊、claim 校验、异常检测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组件</w:t>
            </w:r>
          </w:p>
        </w:tc>
        <w:tc>
          <w:tcPr>
            <w:tcW w:type="dxa" w:w="6803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用途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PostgreSQL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campaign、partner、settlement、audit 数据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Redis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短时状态、节流、机会请求缓存、排序窗口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Kafka / Pulsar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事件流、回执、异步风控、结算任务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向量库 / pgvector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意图与 offer 检索、agent 相似度计算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Object Storage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证据包、截图、文档、审计附件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Feature Store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在线特征与模型服务特征管理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FCF3EB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维度</w:t>
            </w:r>
          </w:p>
        </w:tc>
        <w:tc>
          <w:tcPr>
            <w:tcW w:type="dxa" w:w="7370"/>
            <w:shd w:fill="FCF3EB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要求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性能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P0 目标：单次机会请求在 800ms 内返回 shortlist（不含对端展示耗时）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可靠性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关键链路幂等；event receipt 至少一次投递；排序服务可水平扩展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所有受保护资源必须走标准授权；禁止 token 透传与不受控代理调用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审计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从请求、排序、披露到结算的每一步都要保留 trace_id 和操作者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可解释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对外返回 ranking_reason，对内保留完整特征与版本信息</w:t>
            </w:r>
          </w:p>
        </w:tc>
      </w:tr>
    </w:tbl>
    <w:p>
      <w:pPr>
        <w:pStyle w:val="SmallText"/>
      </w:pP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赞助结果必须可披露，并且 buyer agent 必须具备展示披露信息的能力。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对价格、库存、认证、疗效、收益等高风险 claim，必须要求证据与更新时间。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所有惩罚都要能解释，并且保留人工复核与申诉入口，避免误伤优质 partner。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用户相关数据最小化处理，只消费完成排序和结算所必需的意图与约束信息。</w:t>
      </w:r>
    </w:p>
    <w:p>
      <w:r>
        <w:br w:type="page"/>
      </w:r>
    </w:p>
    <w:p>
      <w:pPr>
        <w:pStyle w:val="Heading1"/>
      </w:pPr>
      <w:r>
        <w:t>9. 指标、里程碑与待决事项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指标类型</w:t>
            </w:r>
          </w:p>
        </w:tc>
        <w:tc>
          <w:tcPr>
            <w:tcW w:type="dxa" w:w="238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指标名</w:t>
            </w:r>
          </w:p>
        </w:tc>
        <w:tc>
          <w:tcPr>
            <w:tcW w:type="dxa" w:w="4535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定义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北极星指标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Qualified Recommendation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进入合格 shortlist 并被 buyer agent 正式呈现给主人 的次数 / 机会请求次数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结果指标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Detail View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被用户要求展开详情的比例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结果指标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Action Conversion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预约、试用、咨询、购买等动作转化率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护栏指标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Disclosure Shown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有赞助关系的结果中，披露被正常展示的比例，应接近 100%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护栏指标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Claim Mismatch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经复核后判定 claim 与实际不符的比例，应尽量低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护栏指标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Complaint / Spam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用户或 buyer agent 对骚扰、误导、低相关的投诉率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运营指标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Qualified Agent Coverage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已验证且可上线的目标 agent 数量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082"/>
            <w:shd w:fill="EFF8F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指标</w:t>
            </w:r>
          </w:p>
        </w:tc>
        <w:tc>
          <w:tcPr>
            <w:tcW w:type="dxa" w:w="4989"/>
            <w:shd w:fill="EFF8F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建议目标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已验证合作 buyer agents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≥ 10 个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每个垂类可投放 Offer 数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≥ 50 个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Disclosure 展示率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≥ 99%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Claim mismatch rate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&lt; 1%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平均请求返回时延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&lt; 800ms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Qualified shortlist rate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在目标垂类内形成稳定基线，首月重点看趋势而非绝对值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阶段</w:t>
            </w:r>
          </w:p>
        </w:tc>
        <w:tc>
          <w:tcPr>
            <w:tcW w:type="dxa" w:w="6690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目标交付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Phase 0（0–4 周）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定义垂类、完成数据 schema、手动接入 2–3 个合作方、完成 PRD 与技术方案评审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Phase 1（4–10 周）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上线 Discovery、Offer Compiler、Opportunity Exchange、基础排序与手动结算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Phase 2（10–16 周）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补齐事件回执、信誉账本、披露审计、风险规则、运营看板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Phase 3（16–24 周）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引入保证金、申诉、bandit 优化、多垂类扩展与更丰富激励模型</w:t>
            </w:r>
          </w:p>
        </w:tc>
      </w:tr>
    </w:tbl>
    <w:p>
      <w:pPr>
        <w:pStyle w:val="SmallText"/>
      </w:pP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我们第一阶段聚焦哪个垂类，是否优先选择结构化程度高、转化可验证的 B2B 软件？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buyer agent 的最终排序控制权归谁：平台统一策略、合作方自定义策略，还是混合模式？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保证金与 slashing 何时上线，是否会影响早期 partner 接入阻力？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哪些事件可作为付费事件，是否优先采用 CPQR 而非更复杂的 CPS？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披露文案与 UI 呈现标准由谁定义，是否允许 buyer agent 做二次包装？</w:t>
      </w:r>
    </w:p>
    <w:p>
      <w:pPr>
        <w:pStyle w:val="Heading1"/>
      </w:pPr>
      <w:r>
        <w:t>10. 结论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Promotion Agent 平台的关键，不是“帮广告主买到别人的 agent 排名”，而是搭建一套可持续的 agent 商业分发生态：</w:t>
      </w:r>
      <w:r>
        <w:rPr>
          <w:rFonts w:ascii="Noto Sans CJK SC" w:hAnsi="Noto Sans CJK SC" w:eastAsia="Noto Sans CJK SC" w:cs="Noto Sans CJK SC"/>
          <w:b/>
          <w:i w:val="0"/>
          <w:color w:val="173D78"/>
          <w:sz w:val="21"/>
        </w:rPr>
        <w:t>先保证用户价值，再允许商业激励优化分发效率。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MVP 应该围绕“高质量供给 + 可验证结果 + 可治理合作关系”三个支点展开，优先跑通单一垂类的闭环，然后再扩展到更开放的合作网络。</w:t>
      </w:r>
    </w:p>
    <w:sectPr w:rsidR="00FC693F" w:rsidRPr="0006063C" w:rsidSect="00034616">
      <w:footerReference w:type="default" r:id="rId9"/>
      <w:pgSz w:w="11906" w:h="16838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5669"/>
          <w:tcBorders>
            <w:left w:val="nil"/>
            <w:top w:val="nil"/>
            <w:right w:val="nil"/>
            <w:bottom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Noto Sans CJK SC" w:hAnsi="Noto Sans CJK SC" w:eastAsia="Noto Sans CJK SC" w:cs="Noto Sans CJK SC"/>
              <w:b w:val="0"/>
              <w:i w:val="0"/>
              <w:color w:val="5F6B7A"/>
              <w:sz w:val="17"/>
            </w:rPr>
            <w:t>Promotion Agent 平台 PRD｜内部讨论稿</w:t>
          </w:r>
        </w:p>
      </w:tc>
      <w:tc>
        <w:tcPr>
          <w:tcW w:type="dxa" w:w="3969"/>
          <w:tcBorders>
            <w:left w:val="nil"/>
            <w:top w:val="nil"/>
            <w:right w:val="nil"/>
            <w:bottom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oto Sans CJK SC" w:hAnsi="Noto Sans CJK SC" w:eastAsia="Noto Sans CJK SC" w:cs="Noto Sans CJK SC"/>
              <w:b w:val="0"/>
              <w:i w:val="0"/>
              <w:color w:val="5F6B7A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D7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8F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120"/>
    </w:pPr>
    <w:rPr>
      <w:rFonts w:ascii="Noto Serif CJK SC" w:hAnsi="Noto Serif CJK SC" w:eastAsia="Noto Serif CJK SC"/>
      <w:b/>
      <w:color w:val="173D78"/>
      <w:sz w:val="48"/>
    </w:rPr>
  </w:style>
  <w:style w:type="paragraph" w:customStyle="1" w:styleId="CustomSubtitle">
    <w:name w:val="CustomSubtitle"/>
    <w:pPr>
      <w:spacing w:after="80"/>
    </w:pPr>
    <w:rPr>
      <w:rFonts w:ascii="Noto Sans CJK SC" w:hAnsi="Noto Sans CJK SC" w:eastAsia="Noto Sans CJK SC"/>
      <w:color w:val="5F6B7A"/>
      <w:sz w:val="23"/>
    </w:rPr>
  </w:style>
  <w:style w:type="paragraph" w:customStyle="1" w:styleId="BulletCustom">
    <w:name w:val="BulletCustom"/>
    <w:pPr>
      <w:spacing w:after="40" w:line="300" w:lineRule="auto"/>
      <w:ind w:left="312" w:hanging="181"/>
    </w:pPr>
    <w:rPr>
      <w:rFonts w:ascii="Noto Sans CJK SC" w:hAnsi="Noto Sans CJK SC" w:eastAsia="Noto Sans CJK SC"/>
      <w:sz w:val="21"/>
    </w:rPr>
  </w:style>
  <w:style w:type="paragraph" w:customStyle="1" w:styleId="SmallText">
    <w:name w:val="SmallText"/>
    <w:pPr>
      <w:spacing w:after="40"/>
    </w:pPr>
    <w:rPr>
      <w:rFonts w:ascii="Noto Sans CJK SC" w:hAnsi="Noto Sans CJK SC" w:eastAsia="Noto Sans CJK SC"/>
      <w:color w:val="5F6B7A"/>
      <w:sz w:val="17"/>
    </w:rPr>
  </w:style>
  <w:style w:type="paragraph" w:customStyle="1" w:styleId="Mono">
    <w:name w:val="Mono"/>
    <w:pPr>
      <w:spacing w:line="276" w:lineRule="auto" w:after="20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