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0250 Packaging Standards</w:t>
      </w:r>
    </w:p>
    <w:p>
      <w:pPr>
        <w:pStyle w:val="Heading2"/>
      </w:pPr>
      <w:r>
        <w:t>2.1 Carton Labelling</w:t>
      </w:r>
    </w:p>
    <w:p>
      <w:r>
        <w:t>Each outer carton shall carry a label showing the part number, the drawing revision, the quantity contained, the purchase order number and the date of packing. Labels shall be printed at 300 dpi or better and shall remain legible after transit.</w:t>
      </w:r>
    </w:p>
    <w:p>
      <w:r>
        <w:t>Where a label is found unreadable on arrival at the receiving dock, the carton shall be held and the supplier notified. Reprint the labels, apply them over the originals without obscuring any other marking, and verify print quality against a retained sample before release.</w:t>
      </w:r>
    </w:p>
    <w:p>
      <w:pPr>
        <w:pStyle w:val="Heading2"/>
      </w:pPr>
      <w:r>
        <w:t>2.4 Barcode Symbology</w:t>
      </w:r>
    </w:p>
    <w:p>
      <w:r>
        <w:t>Barcodes shall use Code 128 unless the purchase order specifies otherwise. The encoded value shall match the printed part number exactly, including leading zeros and the dash. A barcode that scans to a different value than the printed text is a rejectable nonconformance and the whole shipment shall be held.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