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0250 Surface Finish</w:t>
      </w:r>
    </w:p>
    <w:p>
      <w:pPr>
        <w:pStyle w:val="Heading2"/>
      </w:pPr>
      <w:r>
        <w:t>3.2 Surface Finish</w:t>
      </w:r>
    </w:p>
    <w:p>
      <w:r>
        <w:t>Machined surfaces called out on the drawing shall achieve a surface roughness of Ra 1.6 micrometres or better. Surfaces not called out shall be free of burrs, raised edges and loose swarf. Roughness shall be measured with a calibrated profilometer over a 12 mm evaluation length, taking the arithmetic mean of three readings spaced along the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