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0250 Weld Standards</w:t>
      </w:r>
    </w:p>
    <w:p>
      <w:pPr>
        <w:pStyle w:val="Heading2"/>
      </w:pPr>
      <w:r>
        <w:t>4.1 Scope</w:t>
      </w:r>
    </w:p>
    <w:p>
      <w:r>
        <w:t>This standard defines acceptance criteria and supplier disposition for welded assemblies supplied against a drawing that invokes it. It applies to fillet and butt welds on carbon steel and stainless steel brackets, mounts and frames.</w:t>
      </w:r>
    </w:p>
    <w:p>
      <w:pPr>
        <w:pStyle w:val="Heading2"/>
      </w:pPr>
      <w:r>
        <w:t>4.2 Weld Seam Cracking</w:t>
      </w:r>
    </w:p>
    <w:p>
      <w:r>
        <w:t>Cracking in a fillet or butt weld seam is cause for rejection of the affected part. Transverse cracks, longitudinal cracks and crater cracks shall all be treated as rejectable regardless of length. On discovery at incoming inspection, segregate the affected lot and quarantine it pending disposition.</w:t>
      </w:r>
    </w:p>
    <w:p>
      <w:r>
        <w:t>The cracked seam shall be ground out to sound metal for the full length of the crack plus 25 mm beyond each visible end. Re-weld to the original joint profile using the qualified procedure for the base material. After re-welding, the repaired region shall be re-inspected by dye penetrant in accordance with section 7.1.</w:t>
      </w:r>
    </w:p>
    <w:p>
      <w:r>
        <w:t>A part that fails re-inspection twice shall be scrapped and shall not be reworked a third time. Record each repair against the lot traveller and return the traveller with the shipment.</w:t>
      </w:r>
    </w:p>
    <w:p>
      <w:pPr>
        <w:pStyle w:val="Heading2"/>
      </w:pPr>
      <w:r>
        <w:t>4.3 Weld Porosity Limits</w:t>
      </w:r>
    </w:p>
    <w:p>
      <w:r>
        <w:t>Porosity shall be assessed visually at 10x magnification over the full length of the seam. The limits below apply to every weld covered by this standard.</w:t>
      </w:r>
    </w:p>
    <w:tbl>
      <w:tblPr>
        <w:tblStyle w:val="TableGrid"/>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Limit</w:t>
            </w:r>
          </w:p>
        </w:tc>
      </w:tr>
      <w:tr>
        <w:tc>
          <w:tcPr>
            <w:tcW w:type="dxa" w:w="4320"/>
          </w:tcPr>
          <w:p>
            <w:r>
              <w:t>Scattered porosity</w:t>
            </w:r>
          </w:p>
        </w:tc>
        <w:tc>
          <w:tcPr>
            <w:tcW w:type="dxa" w:w="4320"/>
          </w:tcPr>
          <w:p>
            <w:r>
              <w:t>2 percent by area maximum over any 25 mm of seam</w:t>
            </w:r>
          </w:p>
        </w:tc>
      </w:tr>
      <w:tr>
        <w:tc>
          <w:tcPr>
            <w:tcW w:type="dxa" w:w="4320"/>
          </w:tcPr>
          <w:p>
            <w:r>
              <w:t>Clustered porosity</w:t>
            </w:r>
          </w:p>
        </w:tc>
        <w:tc>
          <w:tcPr>
            <w:tcW w:type="dxa" w:w="4320"/>
          </w:tcPr>
          <w:p>
            <w:r>
              <w:t>Rejectable at any level</w:t>
            </w:r>
          </w:p>
        </w:tc>
      </w:tr>
      <w:tr>
        <w:tc>
          <w:tcPr>
            <w:tcW w:type="dxa" w:w="4320"/>
          </w:tcPr>
          <w:p>
            <w:r>
              <w:t>Wormholes and blowholes</w:t>
            </w:r>
          </w:p>
        </w:tc>
        <w:tc>
          <w:tcPr>
            <w:tcW w:type="dxa" w:w="4320"/>
          </w:tcPr>
          <w:p>
            <w:r>
              <w:t>Rejectable at any level</w:t>
            </w:r>
          </w:p>
        </w:tc>
      </w:tr>
      <w:tr>
        <w:tc>
          <w:tcPr>
            <w:tcW w:type="dxa" w:w="4320"/>
          </w:tcPr>
          <w:p>
            <w:r>
              <w:t>Crater pipe</w:t>
            </w:r>
          </w:p>
        </w:tc>
        <w:tc>
          <w:tcPr>
            <w:tcW w:type="dxa" w:w="4320"/>
          </w:tcPr>
          <w:p>
            <w:r>
              <w:t>Rejectable where it breaks the surface</w:t>
            </w:r>
          </w:p>
        </w:tc>
      </w:tr>
    </w:tbl>
    <w:p>
      <w:r>
        <w:t>Where porosity exceeds the limit, grind out the porous region to sound metal and re-weld to the original joint profile. Verify shielding gas flow rate and base material cleanliness before the next production run, and state the corrective action taken on the certificate of conformance.</w:t>
      </w:r>
    </w:p>
    <w:p>
      <w:pPr>
        <w:pStyle w:val="Heading2"/>
      </w:pPr>
      <w:r>
        <w:t>4.4 Weld Undercut</w:t>
      </w:r>
    </w:p>
    <w:p>
      <w:r>
        <w:t>Undercut deeper than 0.5 mm, or exceeding 10 percent of the base material thickness where that is less, is rejectable. Undercut within the limit requires no rework and shall not be blended.</w:t>
      </w:r>
    </w:p>
    <w:p>
      <w:pPr>
        <w:pStyle w:val="Heading2"/>
      </w:pPr>
      <w:r>
        <w:t>7.1 Re-inspection After Repair</w:t>
      </w:r>
    </w:p>
    <w:p>
      <w:r>
        <w:t>Every repaired weld shall be re-inspected before the part is released. Dye penetrant inspection is the default method. Radiographic inspection is required where the joint is a full penetration butt weld carrying a primary load path. Re-inspection results shall accompany the shipment.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